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新疆库尔勒市机关事务管理局</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第一部分部门概况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第一部分部门概况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一）根据国家有关方针政策，负责拟定并组织实施机关事务管理工作的有关规章制度和具体措施，推动机关事务管理工作高质量发展，逐步建立和推进市直机关事务管理工作集中化、专业化、社会化的服务体系。（二）负责库尔勒市本级党政机关办公用房、配建公益房、门面房的权属登记、清理、使用、调配、管理工作。（三）负责库尔勒市本级机关事务的管理、保障、服务工作；负责市党政机关大楼和“九馆三中心”公共设备的维修维护和公共区域的治安保卫、保洁服务、会务服务等后勤服务保障和管理工作。（四）负责库尔勒市本级党政机关公务用车的清理、登记、调配、管理工作；负责重大会议、重大活动及市委、人大、政府、政协的车辆服务保障和管理。（五）负责库尔勒市本级党政机关公产、公务用车的资产处置工作。（六）负责库尔勒市本级党政机关公共机构节能减排工作。负责党政机关公共机构节约能源资源宣传、监督和管理工作，会同相关单位制定库尔勒市公共机构节能规划、规章制度并组织实施，开展全市公共机构能耗统计、评价和考核工作。（七）负责管理本局所属事业单位，督导检查其所承担的具体业务工作。（八）负责本局及所属事业单位的党群思想政治工作，承担党的建设、党风廉政建设和反腐败、保密、精神文明、维护稳定、“访惠聚”、平安建设、民族团结、安全生产、扶贫等工作。（九）完成市委、市人民政府交办的其他任务。（十）提供接待服务，保障市委接待工作贯彻落实。（十一）拟定公务接待工作规范。（十二）负责副县级以上领导同志各类调研、考察工作组和全市大型会议、活动的公务接待。（十三）负责市党政代表团赴区内外考察学习、交流联络工作。</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新疆库尔勒市机关事务管理局2024年度，实有人数40人，其中：在职人员21人，减少4人；离休人员0人，较上年无变化；退休人员19人，增加3人。</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从部门决算单位构成看，新疆库尔勒市机关事务管理局部门决算包括：新疆库尔勒市机关事务管理局本级决算及所属单位决算。</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新疆库尔勒市机关事务管理局本级下设6个科室，分别是：党政办公室、资产管理室、后勤服务管理室、公共机构节能管理室、公务用车管理室、办公用房管理室。</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纳入新疆库尔勒市机关事务管理局2024年度部门决算编制范围的下属预算单位包括：</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新疆库尔勒市机关事务管理局，库尔勒市合作交流中心</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2024年度收入总计3,891.93万元，其中：本年收入合计3,891.93万元，使用非财政拨款结余（含专用结余）0.00万元，年初结转和结余0.00万元。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2024年度支出总计3,891.93万元，其中：本年支出合计3,891.93万元，结余分配0.00万元，年末结转和结余0.00万元。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收入支出总体与上年相比，减少224.54万元，下降5.45%，主要原因是：厉行节约，减少办公大楼维修维护费支出；人员减少，工资社保等费用支出减少。</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本年收入3,891.93万元，其中：财政拨款收入3,891.93万元,占100.00%；上级补助收入0.00万元,占0.00%；事业收入0.00万元，占0.00%；经营收入0.00万元,占0.00%；附属单位上缴收入0.00万元，占0.00%；其他收入0.00万元，占0.00%。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本年支出3,891.93万元，其中：基本支出2,291.93万元，占58.89%；项目支出1,600.00万元，占41.11%；上缴上级支出0.00万元，占0.00%；经营支出0.00万元，占0.00%；对附属单位补助支出0.00万元，占0.00%。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3,891.93万元，其中：年初财政拨款结转和结余0.00万元，本年财政拨款收入3,891.93万元。财政拨款支出总计3,891.93万元，其中：年末财政拨款结转和结余0.00万元，本年财政拨款支出3,891.93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财政拨款收入支出总体与上年相比，减少224.54万元，下降5.45%，主要原因是：厉行节约，减少办公大楼维修维护费支出，退休</w:t>
      </w:r>
      <w:r>
        <w:rPr>
          <w:rFonts w:hint="eastAsia" w:ascii="仿宋_GB2312" w:eastAsia="仿宋_GB2312"/>
          <w:b w:val="0"/>
          <w:sz w:val="32"/>
          <w:szCs w:val="32"/>
          <w:lang w:val="en-US" w:eastAsia="zh-CN"/>
        </w:rPr>
        <w:t>3</w:t>
      </w:r>
      <w:r>
        <w:rPr>
          <w:rFonts w:ascii="仿宋_GB2312" w:eastAsia="仿宋_GB2312"/>
          <w:b w:val="0"/>
          <w:sz w:val="32"/>
          <w:szCs w:val="32"/>
        </w:rPr>
        <w:t>人，调出1人，工资社保等费用支出减少。与年初预算相比，年初预算数4,489.49万元，决算数3,891.93万元，预决算差异率-13.31%，主要原因是：年初安排九馆三中心租赁费项目预算2207.38万元，决算1600.00万元，减少607.38万元；项目经费支出减少。</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2,291.93万元，占本年支出合计的58.89%。与上年相比，增加195.36万元，增长9.32%，主要原因是：本年将国有资本经营预算财政拨款全部调整至一般公共预算财政拨款中，所以该款项较上年增加。与年初预算相比，年初预算数2,002.11万元，决算数2,291.93万元，预决算差异率14.48%，主要原因是：本年将国有资本经营预算财政拨款全部调整至一般公共预算财政拨款中，所以该款项较上年增加。</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一般公共服务支出（类）2,137.66万元，占93.27%。</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社会保障和就业支出（类）75.00万元，占3.27%。</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卫生健康支出（类）18.67万元，占0.81%。</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节能环保支出（类）20.00万元，占0.87%。</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住房保障支出（类）33.20万元，占1.45%。</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其他支出（类）7.41万元，占0.32%。</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一般公共服务支出（类）政府办公厅（室）及相关机构事务（款）事业运行（项）：支出决算数为876.00万元，比上年决算增加170.55万元，增长24.18%，主要原因是：上年未支付办公大楼公用采暖费及劳务费，本年支出办公大楼公用采暖费及劳务费，因此本年决算数较上年增加</w:t>
      </w:r>
      <w:r>
        <w:rPr>
          <w:rFonts w:hint="eastAsia" w:ascii="仿宋_GB2312" w:eastAsia="仿宋_GB2312"/>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政府办公厅（室）及相关机构事务（款）其他政府办公厅（室）及相关机构事务支出（项）：支出决算数为1,259.66万元，比上年决算增加266.54万元，增长26.84%，主要原因是：本年下半年增加购买后勤服务项目，物业管理费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一般公共服务支出（类）组织事务（款）其他组织事务支出（项）：支出决算数为2.00万元，比上年决算增加2.00万元，增长100.00%，主要原因是：上年无第一书记工作经费，本年预算安排第一书记经费2</w:t>
      </w:r>
      <w:r>
        <w:rPr>
          <w:rFonts w:hint="eastAsia" w:ascii="仿宋_GB2312" w:eastAsia="仿宋_GB2312"/>
          <w:b w:val="0"/>
          <w:sz w:val="32"/>
          <w:szCs w:val="32"/>
          <w:lang w:val="en-US" w:eastAsia="zh-CN"/>
        </w:rPr>
        <w:t>.00</w:t>
      </w:r>
      <w:r>
        <w:rPr>
          <w:rFonts w:ascii="仿宋_GB2312" w:eastAsia="仿宋_GB2312"/>
          <w:b w:val="0"/>
          <w:sz w:val="32"/>
          <w:szCs w:val="32"/>
        </w:rPr>
        <w:t>万元，因此决算数据较上年增加。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教育支出（类）进修及培训（款）培训支出（项）：支出决算数为0.00万元，比上年决算减少0.23万元，下降100.00%，主要原因是：上年无培训费支出，本年1人参加培训，支付培训费0.23万元，因此培训费较上年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社会保障和就业支出（类）行政事业单位养老支出（款）事业单位离退休（项）：支出决算数为13.80万元，比上年决算增加4.25万元，增长44.50%，主要原因是：本年退休</w:t>
      </w:r>
      <w:r>
        <w:rPr>
          <w:rFonts w:hint="eastAsia" w:ascii="仿宋_GB2312" w:eastAsia="仿宋_GB2312"/>
          <w:b w:val="0"/>
          <w:sz w:val="32"/>
          <w:szCs w:val="32"/>
          <w:lang w:val="en-US" w:eastAsia="zh-CN"/>
        </w:rPr>
        <w:t>3</w:t>
      </w:r>
      <w:r>
        <w:rPr>
          <w:rFonts w:ascii="仿宋_GB2312" w:eastAsia="仿宋_GB2312"/>
          <w:b w:val="0"/>
          <w:sz w:val="32"/>
          <w:szCs w:val="32"/>
        </w:rPr>
        <w:t>人，事业单位离退休费较上年增加。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社会保障和就业支出（类）行政事业单位养老支出（款）机关事业单位基本养老保险缴费支出（项）：支出决算数为39.15万元，比上年决算减少0.35万元，下降0.89%，主要原因是：本年退休</w:t>
      </w:r>
      <w:r>
        <w:rPr>
          <w:rFonts w:hint="eastAsia" w:ascii="仿宋_GB2312" w:eastAsia="仿宋_GB2312"/>
          <w:b w:val="0"/>
          <w:sz w:val="32"/>
          <w:szCs w:val="32"/>
          <w:lang w:val="en-US" w:eastAsia="zh-CN"/>
        </w:rPr>
        <w:t>3</w:t>
      </w:r>
      <w:r>
        <w:rPr>
          <w:rFonts w:ascii="仿宋_GB2312" w:eastAsia="仿宋_GB2312"/>
          <w:b w:val="0"/>
          <w:sz w:val="32"/>
          <w:szCs w:val="32"/>
        </w:rPr>
        <w:t>人、调出1人，机关事业单位养老保险缴费支出较上年减少。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社会保障和就业支出（类）行政事业单位养老支出（款）机关事业单位职业年金缴费支出（项）：支出决算数为22.05万元，比上年决算增加22.05万元，增长100.00%，主要原因是：本年退休</w:t>
      </w:r>
      <w:r>
        <w:rPr>
          <w:rFonts w:hint="eastAsia" w:ascii="仿宋_GB2312" w:eastAsia="仿宋_GB2312"/>
          <w:b w:val="0"/>
          <w:sz w:val="32"/>
          <w:szCs w:val="32"/>
          <w:lang w:val="en-US" w:eastAsia="zh-CN"/>
        </w:rPr>
        <w:t>3</w:t>
      </w:r>
      <w:r>
        <w:rPr>
          <w:rFonts w:ascii="仿宋_GB2312" w:eastAsia="仿宋_GB2312"/>
          <w:b w:val="0"/>
          <w:sz w:val="32"/>
          <w:szCs w:val="32"/>
        </w:rPr>
        <w:t>人，单位承担的职业年金缴纳至社保，因此职业年金缴费较上年增加。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就业补助（款）公益性岗位补贴（项）：支出决算数为0.00万元，比上年决算减少286.50万元，下降100.00%，主要原因是：本年公益性岗位人员全部签署解除劳动合同，无公益性岗位人员支出，因此公益性岗位补贴较上年下降。</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卫生健康支出（类）行政事业单位医疗（款）事业单位医疗（项）：支出决算数为18.67万元，比上年决算减少11.38万元，下降37.87%，主要原因是：本年退休</w:t>
      </w:r>
      <w:r>
        <w:rPr>
          <w:rFonts w:hint="eastAsia" w:ascii="仿宋_GB2312" w:eastAsia="仿宋_GB2312"/>
          <w:b w:val="0"/>
          <w:sz w:val="32"/>
          <w:szCs w:val="32"/>
          <w:lang w:val="en-US" w:eastAsia="zh-CN"/>
        </w:rPr>
        <w:t>3</w:t>
      </w:r>
      <w:r>
        <w:rPr>
          <w:rFonts w:ascii="仿宋_GB2312" w:eastAsia="仿宋_GB2312"/>
          <w:b w:val="0"/>
          <w:sz w:val="32"/>
          <w:szCs w:val="32"/>
        </w:rPr>
        <w:t>人、调出1人，事业单位医疗保险缴费支出较上年减少。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节能环保支出（类）能源节约利用（款）能源节约利用（项）：支出决算数为20.00万元，比上年决算增加20.00万元，增长100.00%，主要原因是：</w:t>
      </w:r>
      <w:r>
        <w:rPr>
          <w:rFonts w:hint="eastAsia" w:ascii="仿宋_GB2312" w:eastAsia="仿宋_GB2312"/>
          <w:b w:val="0"/>
          <w:sz w:val="32"/>
          <w:szCs w:val="32"/>
          <w:lang w:val="en-US" w:eastAsia="zh-CN"/>
        </w:rPr>
        <w:t>上</w:t>
      </w:r>
      <w:r>
        <w:rPr>
          <w:rFonts w:ascii="仿宋_GB2312" w:eastAsia="仿宋_GB2312"/>
          <w:b w:val="0"/>
          <w:sz w:val="32"/>
          <w:szCs w:val="32"/>
        </w:rPr>
        <w:t>年未安排该奖补资金，</w:t>
      </w:r>
      <w:r>
        <w:rPr>
          <w:rFonts w:hint="eastAsia" w:ascii="仿宋_GB2312" w:eastAsia="仿宋_GB2312"/>
          <w:b w:val="0"/>
          <w:sz w:val="32"/>
          <w:szCs w:val="32"/>
          <w:lang w:val="en-US" w:eastAsia="zh-CN"/>
        </w:rPr>
        <w:t>本</w:t>
      </w:r>
      <w:r>
        <w:rPr>
          <w:rFonts w:ascii="仿宋_GB2312" w:eastAsia="仿宋_GB2312"/>
          <w:b w:val="0"/>
          <w:sz w:val="32"/>
          <w:szCs w:val="32"/>
        </w:rPr>
        <w:t>年预算安排新能源车奖补资金20万元，因此决算数据较上年增加。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住房保障支出（类）住房改革支出（款）住房公积金（项）：支出决算数为33.20万元，比上年决算增加1.04万元，增长3.23%，主要原因是：2024年工资调增，此项支出增加。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其他支出（类）其他支出（款）其他支出（项）：支出决算数为7.41万元，比上年决算增加7.41万元，增长100.00%，主要原因是：上年无此项支出，本年安排的以前年度访惠聚工作经费，因此决算数据较上年增加。</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2,291.93万元，其中：人员经费1,188.67万元，包括：基本工资、津贴补贴、奖金、伙食补助费、绩效工资、机关事业单位基本养老保险缴费、职业年金缴费、职工基本医疗保险缴费、其他社会保障缴费、住房公积金、其他工资福利支出、退休费和奖励金。</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1,103.26万元，包括：办公费、水费、电费、邮电费、取暖费、物业管理费、差旅费、维修（护）费、公务接待费、劳务费、工会经费、公务用车运行维护费、其他交通费用、税金及附加费用、其他商品和服务支出、办公设备购置、专用设备购置和费用补贴。</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2024年度政府性基金预算财政拨款收入总计1,600.00万元，其中：年初结转和结余0.00万元，本年收入1,600.00万元。政府性基金预算财政拨款支出总计1,600.00万元，其中：年末结转和结余0.00万元，本年支出1,600.00万元。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政府性基金预算财政拨款收入支出总体与上年相比，减少376.90万元，下降19.07%，主要原因是：九馆三中心产权单位是库尔勒国泰资产投资管理有限公司，我单位每年需缴纳租赁费2207.38万元（包含物业服务费、场馆租赁费），物业服务费由该公司先行支付后再与我单位进行结算，本年该公司支付的物业服务费将上年减少376.9</w:t>
      </w:r>
      <w:r>
        <w:rPr>
          <w:rFonts w:hint="eastAsia" w:ascii="仿宋_GB2312" w:eastAsia="仿宋_GB2312"/>
          <w:b w:val="0"/>
          <w:sz w:val="32"/>
          <w:szCs w:val="32"/>
          <w:lang w:val="en-US" w:eastAsia="zh-CN"/>
        </w:rPr>
        <w:t>0</w:t>
      </w:r>
      <w:r>
        <w:rPr>
          <w:rFonts w:ascii="仿宋_GB2312" w:eastAsia="仿宋_GB2312"/>
          <w:b w:val="0"/>
          <w:sz w:val="32"/>
          <w:szCs w:val="32"/>
        </w:rPr>
        <w:t>万元。与年初预算相比，年初预算数2,207.38万元，决算数1,600.00万元，预决算差异率-27.52%，主要原因是：九馆三中心产权单位是库尔勒国泰资产投资管理有限公司，我单位每年需缴纳租赁费2207.38万元（包含物业服务费、场馆租赁费），部分物业服务费该公司先行支付后未与我单位进行结算，因此决算支出较预算数减少。</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政府性基金预算财政拨款支出1,600.00万元。</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城乡社区支出（类）国有土地使用权出让收入安排的支出（款）其他国有土地使用权出让收入安排的支出（项）：支出决算数为1,600.00万元，比上年决算减少376.90万元，下降19.07%，主要原因是：九馆三中心产权单位是库尔勒国泰资产投资管理有限公司，我单位每年需缴纳租赁费2207.38万元（包含物业服务费、场馆租赁费），部分物业服务费该公司先行支付后未与我单位进行结算，因此支出决算较上年减少。</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本部门本年度无国有资本经营预算财政拨款收入、支出及结转和结余，国有资本经营预算财政拨款收入支出决算表为空表。</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ascii="仿宋_GB2312" w:eastAsia="仿宋_GB2312"/>
          <w:b w:val="0"/>
          <w:sz w:val="32"/>
          <w:szCs w:val="32"/>
        </w:rPr>
      </w:pPr>
      <w:r>
        <w:rPr>
          <w:rFonts w:hint="eastAsia" w:ascii="仿宋_GB2312" w:eastAsia="仿宋_GB2312"/>
          <w:color w:val="auto"/>
          <w:sz w:val="32"/>
          <w:szCs w:val="32"/>
          <w:highlight w:val="none"/>
          <w:lang w:val="zh-CN" w:eastAsia="zh-CN"/>
        </w:rPr>
        <w:t>国有资本经营预算财政拨款支出</w:t>
      </w:r>
      <w:r>
        <w:rPr>
          <w:rFonts w:hint="eastAsia" w:ascii="仿宋_GB2312" w:eastAsia="仿宋_GB2312"/>
          <w:color w:val="auto"/>
          <w:sz w:val="32"/>
          <w:szCs w:val="32"/>
          <w:highlight w:val="none"/>
          <w:lang w:val="en-US" w:eastAsia="zh-CN"/>
        </w:rPr>
        <w:t>0.00</w:t>
      </w:r>
      <w:r>
        <w:rPr>
          <w:rFonts w:hint="eastAsia" w:ascii="仿宋_GB2312" w:eastAsia="仿宋_GB2312"/>
          <w:color w:val="auto"/>
          <w:sz w:val="32"/>
          <w:szCs w:val="32"/>
          <w:highlight w:val="none"/>
          <w:lang w:val="zh-CN" w:eastAsia="zh-CN"/>
        </w:rPr>
        <w:t>万元。</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ascii="仿宋_GB2312" w:eastAsia="仿宋_GB2312"/>
          <w:b w:val="0"/>
          <w:sz w:val="32"/>
          <w:szCs w:val="32"/>
        </w:rPr>
      </w:pPr>
      <w:r>
        <w:rPr>
          <w:rFonts w:hint="eastAsia" w:ascii="仿宋_GB2312" w:hAnsi="仿宋_GB2312" w:eastAsia="仿宋_GB2312" w:cs="仿宋_GB2312"/>
          <w:color w:val="auto"/>
          <w:kern w:val="0"/>
          <w:sz w:val="32"/>
          <w:szCs w:val="32"/>
          <w:highlight w:val="none"/>
        </w:rPr>
        <w:t>国有资本经营预算支出（类）国有企业政策性补贴（款）国有企业政策性补贴（项）:支出决算数为</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.00</w:t>
      </w:r>
      <w:r>
        <w:rPr>
          <w:rFonts w:hint="eastAsia" w:ascii="仿宋_GB2312" w:hAnsi="仿宋_GB2312" w:eastAsia="仿宋_GB2312" w:cs="仿宋_GB2312"/>
          <w:color w:val="auto"/>
          <w:kern w:val="0"/>
          <w:sz w:val="32"/>
          <w:szCs w:val="32"/>
          <w:highlight w:val="none"/>
          <w:lang w:val="en-US" w:eastAsia="zh-CN"/>
        </w:rPr>
        <w:t>万元</w:t>
      </w:r>
      <w:r>
        <w:rPr>
          <w:rFonts w:hint="eastAsia" w:ascii="仿宋_GB2312" w:hAnsi="仿宋_GB2312" w:eastAsia="仿宋_GB2312" w:cs="仿宋_GB2312"/>
          <w:color w:val="auto"/>
          <w:kern w:val="0"/>
          <w:sz w:val="32"/>
          <w:szCs w:val="32"/>
          <w:highlight w:val="none"/>
        </w:rPr>
        <w:t>，比上年决算</w:t>
      </w:r>
      <w:r>
        <w:rPr>
          <w:rFonts w:hint="eastAsia" w:eastAsia="仿宋_GB2312" w:cs="Times New Roman"/>
          <w:color w:val="auto"/>
          <w:kern w:val="2"/>
          <w:sz w:val="30"/>
          <w:szCs w:val="30"/>
          <w:highlight w:val="none"/>
          <w:lang w:val="en-US" w:eastAsia="zh-CN" w:bidi="ar-SA"/>
        </w:rPr>
        <w:t>减少</w:t>
      </w:r>
      <w:r>
        <w:rPr>
          <w:rFonts w:hint="eastAsia" w:ascii="仿宋_GB2312" w:hAnsi="仿宋_GB2312" w:eastAsia="仿宋_GB2312" w:cs="仿宋_GB2312"/>
          <w:color w:val="auto"/>
          <w:kern w:val="0"/>
          <w:sz w:val="32"/>
          <w:szCs w:val="32"/>
          <w:highlight w:val="none"/>
          <w:lang w:val="en-US" w:eastAsia="zh-CN"/>
        </w:rPr>
        <w:t>43</w:t>
      </w:r>
      <w:r>
        <w:rPr>
          <w:rFonts w:hint="eastAsia" w:ascii="仿宋_GB2312" w:hAnsi="仿宋_GB2312" w:eastAsia="仿宋_GB2312" w:cs="仿宋_GB2312"/>
          <w:color w:val="auto"/>
          <w:kern w:val="0"/>
          <w:sz w:val="32"/>
          <w:szCs w:val="32"/>
          <w:highlight w:val="none"/>
        </w:rPr>
        <w:t>.00</w:t>
      </w:r>
      <w:r>
        <w:rPr>
          <w:rFonts w:hint="eastAsia" w:ascii="仿宋_GB2312" w:hAnsi="仿宋_GB2312" w:eastAsia="仿宋_GB2312" w:cs="仿宋_GB2312"/>
          <w:color w:val="auto"/>
          <w:kern w:val="0"/>
          <w:sz w:val="32"/>
          <w:szCs w:val="32"/>
          <w:highlight w:val="none"/>
          <w:lang w:val="en-US" w:eastAsia="zh-CN"/>
        </w:rPr>
        <w:t>万元</w:t>
      </w:r>
      <w:r>
        <w:rPr>
          <w:rFonts w:hint="eastAsia" w:ascii="仿宋_GB2312" w:hAnsi="仿宋_GB2312" w:eastAsia="仿宋_GB2312" w:cs="仿宋_GB2312"/>
          <w:color w:val="auto"/>
          <w:kern w:val="0"/>
          <w:sz w:val="32"/>
          <w:szCs w:val="32"/>
          <w:highlight w:val="none"/>
        </w:rPr>
        <w:t>，</w:t>
      </w:r>
      <w:r>
        <w:rPr>
          <w:rFonts w:hint="eastAsia" w:eastAsia="仿宋_GB2312" w:cs="Times New Roman"/>
          <w:color w:val="auto"/>
          <w:kern w:val="2"/>
          <w:sz w:val="30"/>
          <w:szCs w:val="30"/>
          <w:highlight w:val="none"/>
          <w:lang w:val="en-US" w:eastAsia="zh-CN" w:bidi="ar-SA"/>
        </w:rPr>
        <w:t>下降</w:t>
      </w:r>
      <w:r>
        <w:rPr>
          <w:rFonts w:hint="eastAsia" w:ascii="仿宋_GB2312" w:hAnsi="仿宋_GB2312" w:eastAsia="仿宋_GB2312" w:cs="仿宋_GB2312"/>
          <w:color w:val="auto"/>
          <w:kern w:val="0"/>
          <w:sz w:val="32"/>
          <w:szCs w:val="32"/>
          <w:highlight w:val="none"/>
          <w:lang w:val="en-US" w:eastAsia="zh-CN"/>
        </w:rPr>
        <w:t>100.00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本年</w:t>
      </w:r>
      <w:r>
        <w:rPr>
          <w:rFonts w:hint="eastAsia" w:ascii="仿宋_GB2312" w:eastAsia="仿宋_GB2312"/>
          <w:color w:val="auto"/>
          <w:sz w:val="32"/>
          <w:szCs w:val="32"/>
          <w:highlight w:val="none"/>
          <w:lang w:val="zh-CN" w:eastAsia="zh-CN"/>
        </w:rPr>
        <w:t>将</w:t>
      </w:r>
      <w:r>
        <w:rPr>
          <w:rFonts w:hint="eastAsia" w:ascii="仿宋_GB2312" w:eastAsia="仿宋_GB2312"/>
          <w:color w:val="auto"/>
          <w:sz w:val="32"/>
          <w:szCs w:val="32"/>
          <w:highlight w:val="none"/>
          <w:lang w:val="en-US" w:eastAsia="zh-CN"/>
        </w:rPr>
        <w:t>国有资本经营预算财政拨款收入全部调整至一般公共预算收入。</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264.80万元，比上年减少14.33万元，下降5.13%，主要原因是：严格执行三公经费预算，严禁超预算支出。其中：因公出国（境）费支出0.00万元,占0.00%，与上年相比无变化，主要原因是：我单位无因公出国（境）费；公务用车购置及运行维护费支出176.08万元，占66.50%，比上年减少14.25万元，下降7.49%，主要原因是：严格执行公务用车运行年初预算，严禁超预算支出；公务接待费支出88.72万元，占33.50%，比上年减少0.08万元，下降0.09%，主要原因是：厉行节约，本年公务接待费较上年降低。</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因公出国（境）费支出0.00万元，开支内容包括我单位无因公出国（境）费。单位全年安排的因公出国（境）团组0个，因公出国（境）0人次。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176.08万元，其中：公务用车购置费0.00万元，公务用车运行维护费176.08万元。公务用车运行维护费开支内容包括车辆保险、维修维护、油料款、过路费。公务用车购置数0辆，公务用车保有量69辆。国有资产占用情况中固定资产车辆16辆，与公务用车保有量差异原因是：四大办车辆编制在原单位，车辆在市机关事务管理局统一管理。</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公务接待费88.72万元，开支内容包括。单位全年安排的国内公务接待560批次，7,500人次。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264.80万元，决算数264.80万元，预决算差异率0.00%，主要原因是：严格执行三公经费预算，严禁超预算支出。其中：因公出国（境）费全年预算数0.00万元，决算数0.00万元，预决算差异率0.00%，主要原因是：我单位无因公出国（境）费。公务用车购置费全年预算数0.00万元，决算数0.00万元，预决算差异率0.00%，主要原因是：我单位无公务用车购置费。公务用车运行维护费全年预算数176.08万元，决算数176.08万元，预决算差异率0.00%，主要原因是：严格执行公务用车运行年初预算，严禁超预算支出。公务接待费全年预算数88.72万元，决算数88.72万元，预决算差异率0.00%，主要原因是：严格执行公务接待全年预算，严禁超预算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公用经费支出1,103.26万元，比上年增加559.33万元，增长102.83%，主要原因是：本年将食堂经费474.76万元从对个人和家庭的补助支出列支到商品和服务支出的伙食补助费，缴纳办公大楼公用采暖费，因此公用经费增加。</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2024年度政府采购支出总额336.24万元，其中：政府采购货物支出9.42万元、政府采购工程支出25.15万元、政府采购服务支出301.66万元。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授予中小企业合同金额335.80万元，占政府采购支出总额的99.87%，其中：授予小微企业合同金额310.51万元，占政府采购支出总额的92.35%。</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21,323.66平方米，价值2,575.94万元。车辆16辆，价值612.64万元，其中：副部（省）级及以上领导用车0辆、主要负责人用车0辆、机要通信用车0辆、应急保障用车0辆、执法执勤用车0辆、特种专业技术用车0辆、离退休干部服务用车0辆、其他用车16辆，其他用车主要是：四套班子及市属相关单位外出调研、考察用车;单价100万元（含）以上设备（不含车辆）0台。</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根据预算绩效管理要求，本部门2024年度预算绩效管理形成整体支出绩效自评表</w:t>
      </w:r>
      <w:r>
        <w:rPr>
          <w:rFonts w:hint="eastAsia" w:ascii="仿宋_GB2312" w:eastAsia="仿宋_GB2312"/>
          <w:b w:val="0"/>
          <w:sz w:val="32"/>
          <w:szCs w:val="32"/>
          <w:lang w:val="en-US" w:eastAsia="zh-CN"/>
        </w:rPr>
        <w:t>0</w:t>
      </w:r>
      <w:r>
        <w:rPr>
          <w:rFonts w:ascii="仿宋_GB2312" w:eastAsia="仿宋_GB2312"/>
          <w:b w:val="0"/>
          <w:sz w:val="32"/>
          <w:szCs w:val="32"/>
        </w:rPr>
        <w:t>个，全年预算总额</w:t>
      </w:r>
      <w:r>
        <w:rPr>
          <w:rFonts w:hint="eastAsia" w:ascii="仿宋_GB2312" w:eastAsia="仿宋_GB2312"/>
          <w:b w:val="0"/>
          <w:sz w:val="32"/>
          <w:szCs w:val="32"/>
          <w:lang w:val="en-US" w:eastAsia="zh-CN"/>
        </w:rPr>
        <w:t>0.00</w:t>
      </w:r>
      <w:r>
        <w:rPr>
          <w:rFonts w:ascii="仿宋_GB2312" w:eastAsia="仿宋_GB2312"/>
          <w:b w:val="0"/>
          <w:sz w:val="32"/>
          <w:szCs w:val="32"/>
        </w:rPr>
        <w:t>万元，实际执行总额</w:t>
      </w:r>
      <w:r>
        <w:rPr>
          <w:rFonts w:hint="eastAsia" w:ascii="仿宋_GB2312" w:eastAsia="仿宋_GB2312"/>
          <w:b w:val="0"/>
          <w:sz w:val="32"/>
          <w:szCs w:val="32"/>
          <w:lang w:val="en-US" w:eastAsia="zh-CN"/>
        </w:rPr>
        <w:t>0.00</w:t>
      </w:r>
      <w:r>
        <w:rPr>
          <w:rFonts w:ascii="仿宋_GB2312" w:eastAsia="仿宋_GB2312"/>
          <w:b w:val="0"/>
          <w:sz w:val="32"/>
          <w:szCs w:val="32"/>
        </w:rPr>
        <w:t>万元；预算绩效评价项目</w:t>
      </w:r>
      <w:r>
        <w:rPr>
          <w:rFonts w:hint="eastAsia" w:ascii="仿宋_GB2312" w:eastAsia="仿宋_GB2312"/>
          <w:b w:val="0"/>
          <w:sz w:val="32"/>
          <w:szCs w:val="32"/>
          <w:lang w:val="en-US" w:eastAsia="zh-CN"/>
        </w:rPr>
        <w:t>8</w:t>
      </w:r>
      <w:r>
        <w:rPr>
          <w:rFonts w:ascii="仿宋_GB2312" w:eastAsia="仿宋_GB2312"/>
          <w:b w:val="0"/>
          <w:sz w:val="32"/>
          <w:szCs w:val="32"/>
        </w:rPr>
        <w:t>个，全年预算数</w:t>
      </w:r>
      <w:r>
        <w:rPr>
          <w:rFonts w:hint="eastAsia" w:ascii="仿宋_GB2312" w:eastAsia="仿宋_GB2312"/>
          <w:b w:val="0"/>
          <w:sz w:val="32"/>
          <w:szCs w:val="32"/>
          <w:lang w:val="en-US" w:eastAsia="zh-CN"/>
        </w:rPr>
        <w:t>3284.22</w:t>
      </w:r>
      <w:r>
        <w:rPr>
          <w:rFonts w:ascii="仿宋_GB2312" w:eastAsia="仿宋_GB2312"/>
          <w:b w:val="0"/>
          <w:sz w:val="32"/>
          <w:szCs w:val="32"/>
        </w:rPr>
        <w:t>万元，全年执行数</w:t>
      </w:r>
      <w:r>
        <w:rPr>
          <w:rFonts w:hint="eastAsia" w:ascii="仿宋_GB2312" w:eastAsia="仿宋_GB2312"/>
          <w:b w:val="0"/>
          <w:sz w:val="32"/>
          <w:szCs w:val="32"/>
          <w:lang w:val="en-US" w:eastAsia="zh-CN"/>
        </w:rPr>
        <w:t>2678.09</w:t>
      </w:r>
      <w:r>
        <w:rPr>
          <w:rFonts w:ascii="仿宋_GB2312" w:eastAsia="仿宋_GB2312"/>
          <w:b w:val="0"/>
          <w:sz w:val="32"/>
          <w:szCs w:val="32"/>
        </w:rPr>
        <w:t>万元。预算绩效管理取得的成效：</w:t>
      </w:r>
      <w:r>
        <w:rPr>
          <w:rFonts w:hint="default" w:ascii="仿宋_GB2312" w:hAnsi="仿宋_GB2312" w:eastAsia="仿宋_GB2312" w:cs="仿宋_GB2312"/>
          <w:color w:val="auto"/>
          <w:kern w:val="0"/>
          <w:sz w:val="32"/>
          <w:szCs w:val="32"/>
          <w:highlight w:val="none"/>
          <w:lang w:val="en-US" w:eastAsia="zh-CN"/>
        </w:rPr>
        <w:t>我部门整体绩效自评表，由各单位自行编制并公开</w:t>
      </w:r>
      <w:r>
        <w:rPr>
          <w:rFonts w:ascii="仿宋_GB2312" w:eastAsia="仿宋_GB2312"/>
          <w:b w:val="0"/>
          <w:sz w:val="32"/>
          <w:szCs w:val="32"/>
        </w:rPr>
        <w:t>。发现的问题及原因：</w:t>
      </w:r>
      <w:r>
        <w:rPr>
          <w:rFonts w:hint="default" w:ascii="仿宋_GB2312" w:hAnsi="仿宋_GB2312" w:eastAsia="仿宋_GB2312" w:cs="仿宋_GB2312"/>
          <w:color w:val="auto"/>
          <w:kern w:val="0"/>
          <w:sz w:val="32"/>
          <w:szCs w:val="32"/>
          <w:highlight w:val="none"/>
          <w:lang w:val="en-US" w:eastAsia="zh-CN"/>
        </w:rPr>
        <w:t>我部门整体绩效自评表，由各单位自行编制并公开。</w:t>
      </w:r>
      <w:r>
        <w:rPr>
          <w:rFonts w:ascii="仿宋_GB2312" w:eastAsia="仿宋_GB2312"/>
          <w:b w:val="0"/>
          <w:sz w:val="32"/>
          <w:szCs w:val="32"/>
        </w:rPr>
        <w:t>下一步改进措施：具体附部门整体支出绩效自评表，项目支出绩效自评表和部门评价报告。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bookmarkStart w:id="0" w:name="_GoBack"/>
      <w:bookmarkEnd w:id="0"/>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lang w:eastAsia="zh-CN"/>
        </w:rPr>
      </w:pPr>
      <w:r>
        <w:rPr>
          <w:rFonts w:hint="eastAsia" w:ascii="仿宋_GB2312" w:eastAsia="仿宋_GB2312"/>
          <w:b w:val="0"/>
          <w:sz w:val="32"/>
          <w:szCs w:val="32"/>
        </w:rPr>
        <w:t>根据预算绩效管理要求，我部门2024年度预算绩效管理整体支出绩效自评表0个，全年预算总额0万元，实际执行总额0万元。我部门整体绩效自评表，由各单位自行编制并公开</w:t>
      </w:r>
      <w:r>
        <w:rPr>
          <w:rFonts w:hint="eastAsia" w:ascii="仿宋_GB2312" w:eastAsia="仿宋_GB2312"/>
          <w:b w:val="0"/>
          <w:sz w:val="32"/>
          <w:szCs w:val="32"/>
          <w:lang w:eastAsia="zh-CN"/>
        </w:rPr>
        <w:t>。</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jc w:val="left"/>
        <w:outlineLvl w:val="1"/>
      </w:pPr>
      <w:r>
        <w:drawing>
          <wp:inline distT="0" distB="0" distL="114300" distR="114300">
            <wp:extent cx="5481320" cy="6565265"/>
            <wp:effectExtent l="0" t="0" r="5080" b="317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4"/>
                    <a:stretch>
                      <a:fillRect/>
                    </a:stretch>
                  </pic:blipFill>
                  <pic:spPr>
                    <a:xfrm>
                      <a:off x="0" y="0"/>
                      <a:ext cx="5481320" cy="656526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80050" cy="5906135"/>
            <wp:effectExtent l="0" t="0" r="6350" b="698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5">
                      <a:grayscl/>
                    </a:blip>
                    <a:stretch>
                      <a:fillRect/>
                    </a:stretch>
                  </pic:blipFill>
                  <pic:spPr>
                    <a:xfrm>
                      <a:off x="0" y="0"/>
                      <a:ext cx="5480050" cy="590613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81320" cy="6392545"/>
            <wp:effectExtent l="0" t="0" r="5080" b="8255"/>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6">
                      <a:grayscl/>
                    </a:blip>
                    <a:stretch>
                      <a:fillRect/>
                    </a:stretch>
                  </pic:blipFill>
                  <pic:spPr>
                    <a:xfrm>
                      <a:off x="0" y="0"/>
                      <a:ext cx="5481320" cy="639254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85765" cy="6670675"/>
            <wp:effectExtent l="0" t="0" r="635" b="4445"/>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7"/>
                    <a:stretch>
                      <a:fillRect/>
                    </a:stretch>
                  </pic:blipFill>
                  <pic:spPr>
                    <a:xfrm>
                      <a:off x="0" y="0"/>
                      <a:ext cx="5485765" cy="667067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81320" cy="6419850"/>
            <wp:effectExtent l="0" t="0" r="5080" b="1143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8">
                      <a:grayscl/>
                    </a:blip>
                    <a:stretch>
                      <a:fillRect/>
                    </a:stretch>
                  </pic:blipFill>
                  <pic:spPr>
                    <a:xfrm>
                      <a:off x="0" y="0"/>
                      <a:ext cx="5481320" cy="641985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76875" cy="6514465"/>
            <wp:effectExtent l="0" t="0" r="9525" b="8255"/>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9"/>
                    <a:stretch>
                      <a:fillRect/>
                    </a:stretch>
                  </pic:blipFill>
                  <pic:spPr>
                    <a:xfrm>
                      <a:off x="0" y="0"/>
                      <a:ext cx="5476875" cy="651446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85130" cy="2799080"/>
            <wp:effectExtent l="0" t="0" r="1270" b="5080"/>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pic:cNvPicPr>
                      <a:picLocks noChangeAspect="1"/>
                    </pic:cNvPicPr>
                  </pic:nvPicPr>
                  <pic:blipFill>
                    <a:blip r:embed="rId10">
                      <a:grayscl/>
                    </a:blip>
                    <a:stretch>
                      <a:fillRect/>
                    </a:stretch>
                  </pic:blipFill>
                  <pic:spPr>
                    <a:xfrm>
                      <a:off x="0" y="0"/>
                      <a:ext cx="5485130" cy="279908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85130" cy="2308225"/>
            <wp:effectExtent l="0" t="0" r="127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5485130" cy="230822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83860" cy="1777365"/>
            <wp:effectExtent l="0" t="0" r="2540" b="5715"/>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pic:cNvPicPr>
                      <a:picLocks noChangeAspect="1"/>
                    </pic:cNvPicPr>
                  </pic:nvPicPr>
                  <pic:blipFill>
                    <a:blip r:embed="rId12"/>
                    <a:stretch>
                      <a:fillRect/>
                    </a:stretch>
                  </pic:blipFill>
                  <pic:spPr>
                    <a:xfrm>
                      <a:off x="0" y="0"/>
                      <a:ext cx="5483860" cy="1777365"/>
                    </a:xfrm>
                    <a:prstGeom prst="rect">
                      <a:avLst/>
                    </a:prstGeom>
                    <a:noFill/>
                    <a:ln>
                      <a:noFill/>
                    </a:ln>
                  </pic:spPr>
                </pic:pic>
              </a:graphicData>
            </a:graphic>
          </wp:inline>
        </w:drawing>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compat>
    <w:useFELayout/>
    <w:splitPgBreakAndParaMark/>
    <w:compatSetting w:name="compatibilityMode" w:uri="http://schemas.microsoft.com/office/word" w:val="12"/>
  </w:compat>
  <w:rsids>
    <w:rsidRoot w:val="00000000"/>
    <w:rsid w:val="03206C82"/>
    <w:rsid w:val="0CC53D69"/>
    <w:rsid w:val="19E2321B"/>
    <w:rsid w:val="2D82495C"/>
    <w:rsid w:val="2E1927F7"/>
    <w:rsid w:val="300B0CFD"/>
    <w:rsid w:val="32CD2906"/>
    <w:rsid w:val="355834E0"/>
    <w:rsid w:val="3C6F00EA"/>
    <w:rsid w:val="4281700F"/>
    <w:rsid w:val="485930FD"/>
    <w:rsid w:val="4A71786F"/>
    <w:rsid w:val="4BC1081B"/>
    <w:rsid w:val="59564FDE"/>
    <w:rsid w:val="60BD5394"/>
    <w:rsid w:val="620C243C"/>
    <w:rsid w:val="6A50206B"/>
    <w:rsid w:val="71663F96"/>
    <w:rsid w:val="760878B0"/>
    <w:rsid w:val="7690584F"/>
    <w:rsid w:val="7BFE3752"/>
    <w:rsid w:val="7C5E2A77"/>
    <w:rsid w:val="7C8C27C9"/>
    <w:rsid w:val="7D017D0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4</TotalTime>
  <ScaleCrop>false</ScaleCrop>
  <LinksUpToDate>false</LinksUpToDate>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2025-08-13T10:32:00Z</dcterms:created>
  <dc:creator>Administrator</dc:creator>
  <cp:lastModifiedBy>lenovo</cp:lastModifiedBy>
  <dcterms:modified xsi:type="dcterms:W3CDTF">2025-08-20T04:14:04Z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6FFEE7690F65460C93CFB27B81CE5A90</vt:lpwstr>
  </property>
</Properties>
</file>