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市健身中心及规划展示中心两馆租赁费项目支出绩效评价</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1"/>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项目名称：市健身中心及规划展示中心两馆租赁费</w:t>
      </w:r>
    </w:p>
    <w:p>
      <w:pPr>
        <w:spacing w:line="700" w:lineRule="exact"/>
        <w:ind w:left="1436" w:leftChars="684"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库尔勒市机关事务管理局</w:t>
      </w:r>
      <w:r>
        <w:rPr>
          <w:rFonts w:hint="default" w:ascii="Times New Roman" w:hAnsi="Times New Roman" w:eastAsia="仿宋_GB2312" w:cs="Times New Roman"/>
          <w:kern w:val="0"/>
          <w:sz w:val="36"/>
          <w:szCs w:val="36"/>
        </w:rPr>
        <w:t>主管部门（公章）：</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李永杰</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27</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7"/>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项目背景</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市健身中心及规划展示中心</w:t>
      </w:r>
      <w:r>
        <w:rPr>
          <w:rFonts w:hint="eastAsia" w:ascii="Times New Roman" w:hAnsi="Times New Roman" w:eastAsia="仿宋_GB2312" w:cs="Times New Roman"/>
          <w:sz w:val="32"/>
          <w:szCs w:val="32"/>
          <w:highlight w:val="none"/>
          <w:lang w:val="en-US" w:eastAsia="zh-CN"/>
        </w:rPr>
        <w:t>建筑面积为</w:t>
      </w:r>
      <w:r>
        <w:rPr>
          <w:rFonts w:hint="eastAsia" w:eastAsia="仿宋_GB2312" w:cs="Times New Roman"/>
          <w:sz w:val="32"/>
          <w:szCs w:val="32"/>
          <w:highlight w:val="none"/>
          <w:lang w:val="en-US" w:eastAsia="zh-CN"/>
        </w:rPr>
        <w:t>52788.53</w:t>
      </w:r>
      <w:r>
        <w:rPr>
          <w:rFonts w:hint="eastAsia" w:ascii="Times New Roman" w:hAnsi="Times New Roman" w:eastAsia="仿宋_GB2312" w:cs="Times New Roman"/>
          <w:sz w:val="32"/>
          <w:szCs w:val="32"/>
          <w:highlight w:val="none"/>
          <w:lang w:val="en-US" w:eastAsia="zh-CN"/>
        </w:rPr>
        <w:t>平方米，位于库尔勒市南市区延安路西侧，为了充分利用</w:t>
      </w:r>
      <w:r>
        <w:rPr>
          <w:rFonts w:hint="default" w:ascii="Times New Roman" w:hAnsi="Times New Roman" w:eastAsia="仿宋_GB2312" w:cs="Times New Roman"/>
          <w:sz w:val="32"/>
          <w:szCs w:val="32"/>
          <w:highlight w:val="none"/>
          <w:lang w:val="en-US" w:eastAsia="zh-CN"/>
        </w:rPr>
        <w:t>市健身中心及规划展示中心</w:t>
      </w:r>
      <w:r>
        <w:rPr>
          <w:rFonts w:hint="eastAsia" w:ascii="Times New Roman" w:hAnsi="Times New Roman" w:eastAsia="仿宋_GB2312" w:cs="Times New Roman"/>
          <w:sz w:val="32"/>
          <w:szCs w:val="32"/>
          <w:highlight w:val="none"/>
          <w:lang w:val="en-US" w:eastAsia="zh-CN"/>
        </w:rPr>
        <w:t>等服务功能设施完备的特点，加强对外提升库尔勒市的营商环境，加快库尔勒市经济建设和社会发展速度，进一步推进服务市民便利化，推进行政效能建设，库尔勒市机关事务管理局采取租赁方式，租赁</w:t>
      </w:r>
      <w:r>
        <w:rPr>
          <w:rFonts w:hint="default" w:ascii="Times New Roman" w:hAnsi="Times New Roman" w:eastAsia="仿宋_GB2312" w:cs="Times New Roman"/>
          <w:sz w:val="32"/>
          <w:szCs w:val="32"/>
          <w:highlight w:val="none"/>
          <w:lang w:val="en-US" w:eastAsia="zh-CN"/>
        </w:rPr>
        <w:t>市健身中心及规划展示中心</w:t>
      </w:r>
      <w:r>
        <w:rPr>
          <w:rFonts w:hint="eastAsia" w:ascii="Times New Roman" w:hAnsi="Times New Roman" w:eastAsia="仿宋_GB2312" w:cs="Times New Roman"/>
          <w:sz w:val="32"/>
          <w:szCs w:val="32"/>
          <w:highlight w:val="none"/>
          <w:lang w:val="en-US" w:eastAsia="zh-CN"/>
        </w:rPr>
        <w:t>（简称“两馆”），主要负责</w:t>
      </w:r>
      <w:r>
        <w:rPr>
          <w:rFonts w:hint="eastAsia" w:eastAsia="仿宋_GB2312" w:cs="Times New Roman"/>
          <w:sz w:val="32"/>
          <w:szCs w:val="32"/>
          <w:highlight w:val="none"/>
          <w:lang w:val="en-US" w:eastAsia="zh-CN"/>
        </w:rPr>
        <w:t>两</w:t>
      </w:r>
      <w:r>
        <w:rPr>
          <w:rFonts w:hint="eastAsia" w:ascii="Times New Roman" w:hAnsi="Times New Roman" w:eastAsia="仿宋_GB2312" w:cs="Times New Roman"/>
          <w:sz w:val="32"/>
          <w:szCs w:val="32"/>
          <w:highlight w:val="none"/>
          <w:lang w:val="en-US" w:eastAsia="zh-CN"/>
        </w:rPr>
        <w:t>馆水、电、暖、设施设备维护维修、卫生保洁、安保等后勤服务保障工作，为各个场馆做好后勤服务，提供良好的办公环境，保证各项设备设施运行正常，保证各项工作有序进行。根据当年实际发生的相关费用情况，支付租金及物业管理服务费用。</w:t>
      </w:r>
    </w:p>
    <w:p>
      <w:pPr>
        <w:pStyle w:val="11"/>
        <w:numPr>
          <w:ilvl w:val="0"/>
          <w:numId w:val="0"/>
        </w:numPr>
        <w:spacing w:before="0" w:after="0" w:line="560" w:lineRule="exact"/>
        <w:ind w:firstLine="643" w:firstLineChars="200"/>
        <w:jc w:val="both"/>
        <w:rPr>
          <w:rFonts w:hint="default" w:ascii="Times New Roman" w:hAnsi="Times New Roman" w:eastAsia="仿宋_GB2312" w:cs="Times New Roman"/>
          <w:kern w:val="2"/>
        </w:rPr>
      </w:pPr>
      <w:r>
        <w:rPr>
          <w:rFonts w:hint="default" w:ascii="Times New Roman" w:hAnsi="Times New Roman" w:eastAsia="仿宋_GB2312" w:cs="Times New Roman"/>
          <w:kern w:val="2"/>
          <w:lang w:val="en-US" w:eastAsia="zh-CN"/>
        </w:rPr>
        <w:t>2.</w:t>
      </w:r>
      <w:r>
        <w:rPr>
          <w:rFonts w:hint="default" w:ascii="Times New Roman" w:hAnsi="Times New Roman" w:eastAsia="仿宋_GB2312" w:cs="Times New Roman"/>
          <w:kern w:val="2"/>
        </w:rPr>
        <w:t>项目主要内容：</w:t>
      </w:r>
    </w:p>
    <w:p>
      <w:pPr>
        <w:shd w:val="clear"/>
        <w:spacing w:line="600" w:lineRule="exact"/>
        <w:ind w:firstLine="640" w:firstLineChars="200"/>
        <w:outlineLvl w:val="0"/>
        <w:rPr>
          <w:rFonts w:hint="eastAsia"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项目主要内容：市健身中心及规划展示中心两馆租赁费</w:t>
      </w:r>
      <w:r>
        <w:rPr>
          <w:rFonts w:hint="eastAsia" w:ascii="Times New Roman" w:hAnsi="Times New Roman" w:eastAsia="仿宋_GB2312" w:cs="Times New Roman"/>
          <w:sz w:val="32"/>
          <w:szCs w:val="32"/>
          <w:highlight w:val="none"/>
          <w:lang w:val="en-US" w:eastAsia="zh-CN"/>
        </w:rPr>
        <w:t>项目按照库尔勒国泰国有资产投资管理有限公司与住建局签订PPP项目协议，国泰公司与机关事务管理局签订</w:t>
      </w:r>
      <w:r>
        <w:rPr>
          <w:rFonts w:hint="default" w:ascii="Times New Roman" w:hAnsi="Times New Roman" w:eastAsia="仿宋_GB2312" w:cs="Times New Roman"/>
          <w:sz w:val="32"/>
          <w:szCs w:val="32"/>
          <w:highlight w:val="none"/>
          <w:lang w:val="en-US" w:eastAsia="zh-CN"/>
        </w:rPr>
        <w:t>市健身中心及规划展示中心</w:t>
      </w:r>
      <w:r>
        <w:rPr>
          <w:rFonts w:hint="eastAsia" w:ascii="Times New Roman" w:hAnsi="Times New Roman" w:eastAsia="仿宋_GB2312" w:cs="Times New Roman"/>
          <w:sz w:val="32"/>
          <w:szCs w:val="32"/>
          <w:highlight w:val="none"/>
          <w:lang w:val="en-US" w:eastAsia="zh-CN"/>
        </w:rPr>
        <w:t>两馆房屋租赁合同，租赁期20年，租赁场地总面积数5.28万平方米。做好卫生保洁、维修维护、安全保卫、后勤服务等工作，完善服务设施、创造良好的办公环境，进一步提高管理水平和服务质量，充分发挥各项服务功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项目实施情况：</w:t>
      </w:r>
      <w:r>
        <w:rPr>
          <w:rFonts w:hint="eastAsia" w:ascii="Times New Roman" w:hAnsi="Times New Roman" w:eastAsia="仿宋_GB2312" w:cs="Times New Roman"/>
          <w:sz w:val="32"/>
          <w:szCs w:val="32"/>
          <w:highlight w:val="none"/>
          <w:lang w:val="en-US" w:eastAsia="zh-CN"/>
        </w:rPr>
        <w:t>截至2024年12月31日，租赁场馆2个，租赁场地总面积</w:t>
      </w:r>
      <w:bookmarkStart w:id="0" w:name="OLE_LINK2"/>
      <w:r>
        <w:rPr>
          <w:rFonts w:hint="eastAsia" w:eastAsia="仿宋_GB2312" w:cs="Times New Roman"/>
          <w:sz w:val="32"/>
          <w:szCs w:val="32"/>
          <w:highlight w:val="none"/>
          <w:lang w:val="en-US" w:eastAsia="zh-CN"/>
        </w:rPr>
        <w:t>52788.53</w:t>
      </w:r>
      <w:r>
        <w:rPr>
          <w:rFonts w:hint="eastAsia" w:ascii="Times New Roman" w:hAnsi="Times New Roman" w:eastAsia="仿宋_GB2312" w:cs="Times New Roman"/>
          <w:sz w:val="32"/>
          <w:szCs w:val="32"/>
          <w:highlight w:val="none"/>
          <w:lang w:val="en-US" w:eastAsia="zh-CN"/>
        </w:rPr>
        <w:t>平方米</w:t>
      </w:r>
      <w:bookmarkEnd w:id="0"/>
      <w:r>
        <w:rPr>
          <w:rFonts w:hint="eastAsia" w:ascii="Times New Roman" w:hAnsi="Times New Roman" w:eastAsia="仿宋_GB2312" w:cs="Times New Roman"/>
          <w:sz w:val="32"/>
          <w:szCs w:val="32"/>
          <w:highlight w:val="none"/>
          <w:lang w:val="en-US" w:eastAsia="zh-CN"/>
        </w:rPr>
        <w:t>，及时支付2个场馆租赁费，提高管理水平和服务质量，全年支付水、电、维修维保和租赁金等共计433.49万元，在</w:t>
      </w:r>
      <w:r>
        <w:rPr>
          <w:rFonts w:hint="eastAsia" w:ascii="Times New Roman" w:hAnsi="Times New Roman" w:eastAsia="仿宋_GB2312" w:cs="Times New Roman"/>
          <w:sz w:val="32"/>
          <w:szCs w:val="32"/>
          <w:highlight w:val="none"/>
          <w:lang w:val="en-US" w:eastAsia="zh-CN"/>
        </w:rPr>
        <w:t>今后的 工作中做好卫生保洁、维修维护、安全保卫、后勤服务等工作， 完善服务设施、创造良好的办公环境，进一步提高管理水平和服 务质量，为工作人员及办事群众提供优良环境。</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w:t>
      </w:r>
      <w:r>
        <w:rPr>
          <w:rFonts w:hint="default" w:ascii="Times New Roman" w:hAnsi="Times New Roman" w:eastAsia="仿宋_GB2312" w:cs="Times New Roman"/>
          <w:color w:val="auto"/>
          <w:sz w:val="32"/>
          <w:szCs w:val="32"/>
          <w:highlight w:val="none"/>
          <w:lang w:val="en-US" w:eastAsia="zh-CN"/>
        </w:rPr>
        <w:t>预算数</w:t>
      </w:r>
      <w:r>
        <w:rPr>
          <w:rFonts w:hint="eastAsia" w:eastAsia="仿宋_GB2312" w:cs="Times New Roman"/>
          <w:color w:val="auto"/>
          <w:sz w:val="32"/>
          <w:szCs w:val="32"/>
          <w:highlight w:val="none"/>
          <w:lang w:val="en-US" w:eastAsia="zh-CN"/>
        </w:rPr>
        <w:t>433.49</w:t>
      </w:r>
      <w:r>
        <w:rPr>
          <w:rFonts w:hint="default" w:ascii="Times New Roman" w:hAnsi="Times New Roman" w:eastAsia="仿宋_GB2312" w:cs="Times New Roman"/>
          <w:color w:val="auto"/>
          <w:sz w:val="32"/>
          <w:szCs w:val="32"/>
          <w:highlight w:val="none"/>
          <w:lang w:val="en-US" w:eastAsia="zh-CN"/>
        </w:rPr>
        <w:t>万元，全年预算数</w:t>
      </w:r>
      <w:r>
        <w:rPr>
          <w:rFonts w:hint="eastAsia" w:eastAsia="仿宋_GB2312" w:cs="Times New Roman"/>
          <w:color w:val="auto"/>
          <w:sz w:val="32"/>
          <w:szCs w:val="32"/>
          <w:highlight w:val="none"/>
          <w:lang w:val="en-US" w:eastAsia="zh-CN"/>
        </w:rPr>
        <w:t>433.49</w:t>
      </w:r>
      <w:r>
        <w:rPr>
          <w:rFonts w:hint="default" w:ascii="Times New Roman" w:hAnsi="Times New Roman" w:eastAsia="仿宋_GB2312" w:cs="Times New Roman"/>
          <w:color w:val="auto"/>
          <w:sz w:val="32"/>
          <w:szCs w:val="32"/>
          <w:highlight w:val="none"/>
          <w:lang w:val="en-US" w:eastAsia="zh-CN"/>
        </w:rPr>
        <w:t>万元，该项目资金已全部落实到位，资金来源为</w:t>
      </w:r>
      <w:r>
        <w:rPr>
          <w:rFonts w:hint="eastAsia" w:eastAsia="仿宋_GB2312" w:cs="Times New Roman"/>
          <w:color w:val="auto"/>
          <w:sz w:val="32"/>
          <w:szCs w:val="32"/>
          <w:highlight w:val="none"/>
          <w:lang w:val="en-US" w:eastAsia="zh-CN"/>
        </w:rPr>
        <w:t>财政拨款</w:t>
      </w:r>
      <w:r>
        <w:rPr>
          <w:rFonts w:hint="default" w:ascii="Times New Roman" w:hAnsi="Times New Roman" w:eastAsia="仿宋_GB2312" w:cs="Times New Roman"/>
          <w:color w:val="auto"/>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433.49</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433.49</w:t>
      </w:r>
      <w:r>
        <w:rPr>
          <w:rFonts w:hint="default" w:ascii="Times New Roman" w:hAnsi="Times New Roman" w:eastAsia="仿宋_GB2312" w:cs="Times New Roman"/>
          <w:sz w:val="32"/>
          <w:szCs w:val="32"/>
          <w:highlight w:val="none"/>
          <w:lang w:val="en-US" w:eastAsia="zh-CN"/>
        </w:rPr>
        <w:t>万元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，全年执行数</w:t>
      </w:r>
      <w:r>
        <w:rPr>
          <w:rFonts w:hint="eastAsia" w:eastAsia="仿宋_GB2312" w:cs="Times New Roman"/>
          <w:sz w:val="32"/>
          <w:szCs w:val="32"/>
          <w:highlight w:val="none"/>
          <w:lang w:val="en-US" w:eastAsia="zh-CN"/>
        </w:rPr>
        <w:t>433.49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%，主要用</w:t>
      </w:r>
      <w:r>
        <w:rPr>
          <w:rFonts w:hint="eastAsia" w:eastAsia="仿宋_GB2312" w:cs="Times New Roman"/>
          <w:sz w:val="32"/>
          <w:szCs w:val="32"/>
          <w:highlight w:val="none"/>
          <w:lang w:val="en-US" w:eastAsia="zh-CN"/>
        </w:rPr>
        <w:t>于支付两馆租赁费159.97万元、物业服务费185.94万元、水电及天然气费87.58万元</w:t>
      </w:r>
      <w:r>
        <w:rPr>
          <w:rFonts w:hint="default" w:ascii="Times New Roman" w:hAnsi="Times New Roman" w:eastAsia="仿宋_GB2312" w:cs="Times New Roman"/>
          <w:sz w:val="32"/>
          <w:szCs w:val="32"/>
          <w:highlight w:val="none"/>
          <w:lang w:val="en-US" w:eastAsia="zh-CN"/>
        </w:rPr>
        <w:t>。</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eastAsia" w:eastAsia="仿宋_GB2312" w:cs="Times New Roman"/>
          <w:sz w:val="32"/>
          <w:szCs w:val="32"/>
          <w:lang w:eastAsia="zh-CN"/>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r>
        <w:rPr>
          <w:rFonts w:hint="eastAsia" w:eastAsia="仿宋_GB2312" w:cs="Times New Roman"/>
          <w:sz w:val="32"/>
          <w:szCs w:val="32"/>
          <w:lang w:eastAsia="zh-CN"/>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目标1：按照库尔勒国泰国有资产投资管理有限公司与住建局签定PPP项目协议，国泰公司与机关事务管理局签订健身中心及规划展示中心房屋租赁合同，租赁2个场馆，租赁场地面积</w:t>
      </w:r>
      <w:r>
        <w:rPr>
          <w:rFonts w:hint="eastAsia" w:eastAsia="仿宋_GB2312" w:cs="Times New Roman"/>
          <w:sz w:val="32"/>
          <w:szCs w:val="32"/>
          <w:highlight w:val="none"/>
          <w:lang w:val="en-US" w:eastAsia="zh-CN"/>
        </w:rPr>
        <w:t>52788.53</w:t>
      </w:r>
      <w:r>
        <w:rPr>
          <w:rFonts w:hint="eastAsia" w:ascii="Times New Roman" w:hAnsi="Times New Roman" w:eastAsia="仿宋_GB2312" w:cs="Times New Roman"/>
          <w:sz w:val="32"/>
          <w:szCs w:val="32"/>
          <w:highlight w:val="none"/>
          <w:lang w:val="en-US" w:eastAsia="zh-CN"/>
        </w:rPr>
        <w:t>平方米</w:t>
      </w:r>
      <w:r>
        <w:rPr>
          <w:rFonts w:hint="default" w:ascii="Times New Roman" w:hAnsi="Times New Roman" w:eastAsia="仿宋_GB2312" w:cs="Times New Roman"/>
          <w:sz w:val="32"/>
          <w:szCs w:val="32"/>
        </w:rPr>
        <w:t>。</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目标2：做好卫生保洁、维修维护、安全保卫、后勤服务等工作，完善服务设施、创造良好的办公环境，进一步提高管理水平和服务质量，为工作人员及办事群众提供优良环境。</w:t>
      </w:r>
    </w:p>
    <w:p>
      <w:pPr>
        <w:spacing w:line="560" w:lineRule="exact"/>
        <w:ind w:firstLine="640" w:firstLineChars="200"/>
        <w:rPr>
          <w:rFonts w:hint="default" w:ascii="Times New Roman" w:hAnsi="Times New Roman" w:eastAsia="仿宋_GB2312" w:cs="Times New Roman"/>
          <w:color w:val="FF0000"/>
          <w:sz w:val="30"/>
          <w:szCs w:val="30"/>
          <w:highlight w:val="none"/>
          <w:lang w:val="en-US" w:eastAsia="zh-CN"/>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阶段性目标</w:t>
      </w:r>
    </w:p>
    <w:p>
      <w:pPr>
        <w:pStyle w:val="2"/>
        <w:pageBreakBefore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Times New Roman" w:hAnsi="Times New Roman" w:eastAsia="仿宋_GB2312" w:cs="Times New Roman"/>
          <w:b w:val="0"/>
          <w:bCs w:val="0"/>
          <w:kern w:val="2"/>
          <w:sz w:val="32"/>
          <w:szCs w:val="32"/>
          <w:highlight w:val="none"/>
          <w:lang w:val="en-US" w:eastAsia="zh-CN" w:bidi="ar-SA"/>
        </w:rPr>
      </w:pPr>
      <w:r>
        <w:rPr>
          <w:rFonts w:hint="eastAsia" w:eastAsia="仿宋_GB2312" w:cs="Times New Roman"/>
          <w:b w:val="0"/>
          <w:bCs w:val="0"/>
          <w:kern w:val="2"/>
          <w:sz w:val="32"/>
          <w:szCs w:val="32"/>
          <w:highlight w:val="none"/>
          <w:lang w:val="en-US" w:eastAsia="zh-CN" w:bidi="ar-SA"/>
        </w:rPr>
        <w:t>1月签订</w:t>
      </w:r>
      <w:r>
        <w:rPr>
          <w:rFonts w:hint="eastAsia" w:ascii="Times New Roman" w:hAnsi="Times New Roman" w:eastAsia="仿宋_GB2312" w:cs="Times New Roman"/>
          <w:b w:val="0"/>
          <w:bCs w:val="0"/>
          <w:kern w:val="2"/>
          <w:sz w:val="32"/>
          <w:szCs w:val="32"/>
          <w:highlight w:val="none"/>
          <w:lang w:val="en-US" w:eastAsia="zh-CN" w:bidi="ar-SA"/>
        </w:rPr>
        <w:t>中央空调维保协议</w:t>
      </w:r>
      <w:r>
        <w:rPr>
          <w:rFonts w:hint="eastAsia" w:eastAsia="仿宋_GB2312" w:cs="Times New Roman"/>
          <w:b w:val="0"/>
          <w:bCs w:val="0"/>
          <w:kern w:val="2"/>
          <w:sz w:val="32"/>
          <w:szCs w:val="32"/>
          <w:highlight w:val="none"/>
          <w:lang w:val="en-US" w:eastAsia="zh-CN" w:bidi="ar-SA"/>
        </w:rPr>
        <w:t>，4月全面维修保养，确保夏季场馆空调正常运转。1月签订</w:t>
      </w:r>
      <w:r>
        <w:rPr>
          <w:rFonts w:hint="eastAsia" w:ascii="Times New Roman" w:hAnsi="Times New Roman" w:eastAsia="仿宋_GB2312" w:cs="Times New Roman"/>
          <w:b w:val="0"/>
          <w:bCs w:val="0"/>
          <w:kern w:val="2"/>
          <w:sz w:val="32"/>
          <w:szCs w:val="32"/>
          <w:highlight w:val="none"/>
          <w:lang w:val="en-US" w:eastAsia="zh-CN" w:bidi="ar-SA"/>
        </w:rPr>
        <w:t>电梯维保协议</w:t>
      </w:r>
      <w:r>
        <w:rPr>
          <w:rFonts w:hint="eastAsia" w:eastAsia="仿宋_GB2312" w:cs="Times New Roman"/>
          <w:b w:val="0"/>
          <w:bCs w:val="0"/>
          <w:kern w:val="2"/>
          <w:sz w:val="32"/>
          <w:szCs w:val="32"/>
          <w:highlight w:val="none"/>
          <w:lang w:val="en-US" w:eastAsia="zh-CN" w:bidi="ar-SA"/>
        </w:rPr>
        <w:t>，每半月维保一次；1月订</w:t>
      </w:r>
      <w:r>
        <w:rPr>
          <w:rFonts w:hint="eastAsia" w:ascii="Times New Roman" w:hAnsi="Times New Roman" w:eastAsia="仿宋_GB2312" w:cs="Times New Roman"/>
          <w:b w:val="0"/>
          <w:bCs w:val="0"/>
          <w:kern w:val="2"/>
          <w:sz w:val="32"/>
          <w:szCs w:val="32"/>
          <w:highlight w:val="none"/>
          <w:lang w:val="en-US" w:eastAsia="zh-CN" w:bidi="ar-SA"/>
        </w:rPr>
        <w:t>灭蟑灭鼠协议</w:t>
      </w:r>
      <w:r>
        <w:rPr>
          <w:rFonts w:hint="eastAsia" w:eastAsia="仿宋_GB2312" w:cs="Times New Roman"/>
          <w:b w:val="0"/>
          <w:bCs w:val="0"/>
          <w:kern w:val="2"/>
          <w:sz w:val="32"/>
          <w:szCs w:val="32"/>
          <w:highlight w:val="none"/>
          <w:lang w:val="en-US" w:eastAsia="zh-CN" w:bidi="ar-SA"/>
        </w:rPr>
        <w:t>，每季度喷洒</w:t>
      </w:r>
      <w:r>
        <w:rPr>
          <w:rFonts w:hint="eastAsia" w:ascii="Times New Roman" w:hAnsi="Times New Roman" w:eastAsia="仿宋_GB2312" w:cs="Times New Roman"/>
          <w:b w:val="0"/>
          <w:bCs w:val="0"/>
          <w:kern w:val="2"/>
          <w:sz w:val="32"/>
          <w:szCs w:val="32"/>
          <w:highlight w:val="none"/>
          <w:lang w:val="en-US" w:eastAsia="zh-CN" w:bidi="ar-SA"/>
        </w:rPr>
        <w:t>灭蟑灭鼠</w:t>
      </w:r>
      <w:r>
        <w:rPr>
          <w:rFonts w:hint="eastAsia" w:eastAsia="仿宋_GB2312" w:cs="Times New Roman"/>
          <w:b w:val="0"/>
          <w:bCs w:val="0"/>
          <w:kern w:val="2"/>
          <w:sz w:val="32"/>
          <w:szCs w:val="32"/>
          <w:highlight w:val="none"/>
          <w:lang w:val="en-US" w:eastAsia="zh-CN" w:bidi="ar-SA"/>
        </w:rPr>
        <w:t>药物1次，确保场馆环境卫生与安全</w:t>
      </w:r>
      <w:bookmarkStart w:id="5" w:name="_GoBack"/>
      <w:bookmarkEnd w:id="5"/>
      <w:r>
        <w:rPr>
          <w:rFonts w:hint="eastAsia" w:eastAsia="仿宋_GB2312" w:cs="Times New Roman"/>
          <w:b w:val="0"/>
          <w:bCs w:val="0"/>
          <w:kern w:val="2"/>
          <w:sz w:val="32"/>
          <w:szCs w:val="32"/>
          <w:highlight w:val="none"/>
          <w:lang w:val="en-US" w:eastAsia="zh-CN" w:bidi="ar-SA"/>
        </w:rPr>
        <w:t>；7月签订</w:t>
      </w:r>
      <w:r>
        <w:rPr>
          <w:rFonts w:hint="eastAsia" w:ascii="Times New Roman" w:hAnsi="Times New Roman" w:eastAsia="仿宋_GB2312" w:cs="Times New Roman"/>
          <w:b w:val="0"/>
          <w:bCs w:val="0"/>
          <w:kern w:val="2"/>
          <w:sz w:val="32"/>
          <w:szCs w:val="32"/>
          <w:highlight w:val="none"/>
          <w:lang w:val="en-US" w:eastAsia="zh-CN" w:bidi="ar-SA"/>
        </w:rPr>
        <w:t>锅炉维保运行协议</w:t>
      </w:r>
      <w:r>
        <w:rPr>
          <w:rFonts w:hint="eastAsia" w:eastAsia="仿宋_GB2312" w:cs="Times New Roman"/>
          <w:b w:val="0"/>
          <w:bCs w:val="0"/>
          <w:kern w:val="2"/>
          <w:sz w:val="32"/>
          <w:szCs w:val="32"/>
          <w:highlight w:val="none"/>
          <w:lang w:val="en-US" w:eastAsia="zh-CN" w:bidi="ar-SA"/>
        </w:rPr>
        <w:t>，进行全面检修保养，确保冬季锅炉可以正常、稳定且安全地运行；日常工作中</w:t>
      </w:r>
      <w:r>
        <w:rPr>
          <w:rFonts w:hint="eastAsia" w:ascii="Times New Roman" w:hAnsi="Times New Roman" w:eastAsia="仿宋_GB2312" w:cs="Times New Roman"/>
          <w:b w:val="0"/>
          <w:bCs w:val="0"/>
          <w:kern w:val="2"/>
          <w:sz w:val="32"/>
          <w:szCs w:val="32"/>
          <w:highlight w:val="none"/>
          <w:lang w:val="en-US" w:eastAsia="zh-CN" w:bidi="ar-SA"/>
        </w:rPr>
        <w:t>及时维修更换五金配件，保证两馆设施设备正常运转。</w:t>
      </w:r>
      <w:r>
        <w:rPr>
          <w:rFonts w:hint="eastAsia" w:eastAsia="仿宋_GB2312" w:cs="Times New Roman"/>
          <w:b w:val="0"/>
          <w:bCs w:val="0"/>
          <w:kern w:val="2"/>
          <w:sz w:val="32"/>
          <w:szCs w:val="32"/>
          <w:highlight w:val="none"/>
          <w:lang w:val="en-US" w:eastAsia="zh-CN" w:bidi="ar-SA"/>
        </w:rPr>
        <w:t>按时</w:t>
      </w:r>
      <w:r>
        <w:rPr>
          <w:rFonts w:hint="eastAsia" w:ascii="Times New Roman" w:hAnsi="Times New Roman" w:eastAsia="仿宋_GB2312" w:cs="Times New Roman"/>
          <w:b w:val="0"/>
          <w:bCs w:val="0"/>
          <w:kern w:val="2"/>
          <w:sz w:val="32"/>
          <w:szCs w:val="32"/>
          <w:highlight w:val="none"/>
          <w:lang w:val="en-US" w:eastAsia="zh-CN" w:bidi="ar-SA"/>
        </w:rPr>
        <w:t>清扫两馆公共区域卫生，提供优良办公环境。指挥引导进出车辆安全停靠，进出人员安全检查，协助窗口单位维持秩序。根据当年实际发生的相关费用情况，支付两馆租金及物业管理服务费，费用控制在预算范围内。</w:t>
      </w: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在评价指标体系的构建上，充分考虑了项目的性质、目标以及预期成果，选取了具有代表性和可衡量性的关键指标，涵盖了</w:t>
      </w:r>
      <w:r>
        <w:rPr>
          <w:rFonts w:hint="eastAsia" w:eastAsia="仿宋_GB2312" w:cs="Times New Roman"/>
          <w:sz w:val="32"/>
          <w:szCs w:val="32"/>
          <w:highlight w:val="none"/>
          <w:lang w:val="en-US" w:eastAsia="zh-CN"/>
        </w:rPr>
        <w:t>数量指标、质量指标、时效指标、</w:t>
      </w:r>
      <w:r>
        <w:rPr>
          <w:rFonts w:hint="default" w:ascii="Times New Roman" w:hAnsi="Times New Roman" w:eastAsia="仿宋_GB2312" w:cs="Times New Roman"/>
          <w:sz w:val="32"/>
          <w:szCs w:val="32"/>
          <w:highlight w:val="none"/>
          <w:lang w:val="en-US" w:eastAsia="zh-CN"/>
        </w:rPr>
        <w:t>经济效益、社会效益、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lang w:val="en-US" w:eastAsia="zh-CN"/>
        </w:rPr>
        <w:t>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通过对项目预算执行情况及各项绩效目标达成程度的系统性分析，全面、客观地评估项目在预定周期内的实施效果，包括</w:t>
      </w:r>
      <w:r>
        <w:rPr>
          <w:rFonts w:hint="eastAsia" w:eastAsia="仿宋_GB2312" w:cs="Times New Roman"/>
          <w:sz w:val="32"/>
          <w:szCs w:val="32"/>
          <w:highlight w:val="none"/>
          <w:lang w:val="en-US" w:eastAsia="zh-CN"/>
        </w:rPr>
        <w:t>数量指标、质量指标、时效指标、</w:t>
      </w:r>
      <w:r>
        <w:rPr>
          <w:rFonts w:hint="default" w:ascii="Times New Roman" w:hAnsi="Times New Roman" w:eastAsia="仿宋_GB2312" w:cs="Times New Roman"/>
          <w:sz w:val="32"/>
          <w:szCs w:val="32"/>
          <w:highlight w:val="none"/>
          <w:lang w:val="en-US" w:eastAsia="zh-CN"/>
        </w:rPr>
        <w:t>经济效益、社会效益、</w:t>
      </w:r>
      <w:r>
        <w:rPr>
          <w:rFonts w:hint="eastAsia" w:eastAsia="仿宋_GB2312" w:cs="Times New Roman"/>
          <w:sz w:val="32"/>
          <w:szCs w:val="32"/>
          <w:highlight w:val="none"/>
          <w:lang w:val="en-US" w:eastAsia="zh-CN"/>
        </w:rPr>
        <w:t>满意度</w:t>
      </w:r>
      <w:r>
        <w:rPr>
          <w:rFonts w:hint="default" w:ascii="Times New Roman" w:hAnsi="Times New Roman" w:eastAsia="仿宋_GB2312" w:cs="Times New Roman"/>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3.绩效评价的对象</w:t>
      </w:r>
    </w:p>
    <w:p>
      <w:pPr>
        <w:spacing w:line="560" w:lineRule="exact"/>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default" w:ascii="Times New Roman" w:hAnsi="Times New Roman" w:eastAsia="仿宋_GB2312" w:cs="Times New Roman"/>
          <w:b w:val="0"/>
          <w:bCs w:val="0"/>
          <w:kern w:val="2"/>
          <w:sz w:val="32"/>
          <w:szCs w:val="32"/>
          <w:highlight w:val="none"/>
          <w:lang w:val="en-US" w:eastAsia="zh-CN" w:bidi="ar-SA"/>
        </w:rPr>
        <w:t>本项目预算绩效评价报告的评价对象是市健身中心及规划展示中心两馆租赁费</w:t>
      </w:r>
      <w:r>
        <w:rPr>
          <w:rFonts w:hint="eastAsia" w:ascii="Times New Roman" w:hAnsi="Times New Roman" w:eastAsia="仿宋_GB2312" w:cs="Times New Roman"/>
          <w:b w:val="0"/>
          <w:bCs w:val="0"/>
          <w:kern w:val="2"/>
          <w:sz w:val="32"/>
          <w:szCs w:val="32"/>
          <w:highlight w:val="none"/>
          <w:lang w:val="en-US" w:eastAsia="zh-CN" w:bidi="ar-SA"/>
        </w:rPr>
        <w:t>项目</w:t>
      </w:r>
      <w:r>
        <w:rPr>
          <w:rFonts w:hint="default" w:ascii="Times New Roman" w:hAnsi="Times New Roman" w:eastAsia="仿宋_GB2312" w:cs="Times New Roman"/>
          <w:b w:val="0"/>
          <w:bCs w:val="0"/>
          <w:kern w:val="2"/>
          <w:sz w:val="32"/>
          <w:szCs w:val="32"/>
          <w:highlight w:val="none"/>
          <w:lang w:val="en-US" w:eastAsia="zh-CN" w:bidi="ar-SA"/>
        </w:rPr>
        <w:t>及其预算执行情况。该项目由</w:t>
      </w:r>
      <w:r>
        <w:rPr>
          <w:rFonts w:hint="eastAsia" w:ascii="Times New Roman" w:hAnsi="Times New Roman" w:eastAsia="仿宋_GB2312" w:cs="Times New Roman"/>
          <w:b w:val="0"/>
          <w:bCs w:val="0"/>
          <w:kern w:val="2"/>
          <w:sz w:val="32"/>
          <w:szCs w:val="32"/>
          <w:highlight w:val="none"/>
          <w:lang w:val="en-US" w:eastAsia="zh-CN" w:bidi="ar-SA"/>
        </w:rPr>
        <w:t>市机关事务管理局</w:t>
      </w:r>
      <w:r>
        <w:rPr>
          <w:rFonts w:hint="default" w:ascii="Times New Roman" w:hAnsi="Times New Roman" w:eastAsia="仿宋_GB2312" w:cs="Times New Roman"/>
          <w:b w:val="0"/>
          <w:bCs w:val="0"/>
          <w:kern w:val="2"/>
          <w:sz w:val="32"/>
          <w:szCs w:val="32"/>
          <w:highlight w:val="none"/>
          <w:lang w:val="en-US" w:eastAsia="zh-CN" w:bidi="ar-SA"/>
        </w:rPr>
        <w:t>负责实施，旨在全年完成2个</w:t>
      </w:r>
      <w:r>
        <w:rPr>
          <w:rFonts w:hint="eastAsia" w:eastAsia="仿宋_GB2312" w:cs="Times New Roman"/>
          <w:b w:val="0"/>
          <w:bCs w:val="0"/>
          <w:kern w:val="2"/>
          <w:sz w:val="32"/>
          <w:szCs w:val="32"/>
          <w:highlight w:val="none"/>
          <w:lang w:val="en-US" w:eastAsia="zh-CN" w:bidi="ar-SA"/>
        </w:rPr>
        <w:t>建筑面积为</w:t>
      </w:r>
      <w:r>
        <w:rPr>
          <w:rFonts w:hint="default" w:ascii="Times New Roman" w:hAnsi="Times New Roman" w:eastAsia="仿宋_GB2312" w:cs="Times New Roman"/>
          <w:b w:val="0"/>
          <w:bCs w:val="0"/>
          <w:kern w:val="2"/>
          <w:sz w:val="32"/>
          <w:szCs w:val="32"/>
          <w:highlight w:val="none"/>
          <w:lang w:val="en-US" w:eastAsia="zh-CN" w:bidi="ar-SA"/>
        </w:rPr>
        <w:t>52788平方米场馆</w:t>
      </w:r>
      <w:r>
        <w:rPr>
          <w:rFonts w:hint="eastAsia" w:eastAsia="仿宋_GB2312" w:cs="Times New Roman"/>
          <w:b w:val="0"/>
          <w:bCs w:val="0"/>
          <w:kern w:val="2"/>
          <w:sz w:val="32"/>
          <w:szCs w:val="32"/>
          <w:highlight w:val="none"/>
          <w:lang w:val="en-US" w:eastAsia="zh-CN" w:bidi="ar-SA"/>
        </w:rPr>
        <w:t>租赁及物业管理费的支付</w:t>
      </w:r>
      <w:r>
        <w:rPr>
          <w:rFonts w:hint="default" w:ascii="Times New Roman" w:hAnsi="Times New Roman" w:eastAsia="仿宋_GB2312" w:cs="Times New Roman"/>
          <w:b w:val="0"/>
          <w:bCs w:val="0"/>
          <w:kern w:val="2"/>
          <w:sz w:val="32"/>
          <w:szCs w:val="32"/>
          <w:highlight w:val="none"/>
          <w:lang w:val="en-US" w:eastAsia="zh-CN" w:bidi="ar-SA"/>
        </w:rPr>
        <w:t>，</w:t>
      </w:r>
      <w:r>
        <w:rPr>
          <w:rFonts w:hint="eastAsia" w:eastAsia="仿宋_GB2312" w:cs="Times New Roman"/>
          <w:b w:val="0"/>
          <w:bCs w:val="0"/>
          <w:kern w:val="2"/>
          <w:sz w:val="32"/>
          <w:szCs w:val="32"/>
          <w:highlight w:val="none"/>
          <w:lang w:val="en-US" w:eastAsia="zh-CN" w:bidi="ar-SA"/>
        </w:rPr>
        <w:t>督促</w:t>
      </w:r>
      <w:r>
        <w:rPr>
          <w:rFonts w:hint="default" w:ascii="Times New Roman" w:hAnsi="Times New Roman" w:eastAsia="仿宋_GB2312" w:cs="Times New Roman"/>
          <w:b w:val="0"/>
          <w:bCs w:val="0"/>
          <w:kern w:val="2"/>
          <w:sz w:val="32"/>
          <w:szCs w:val="32"/>
          <w:highlight w:val="none"/>
          <w:lang w:val="en-US" w:eastAsia="zh-CN" w:bidi="ar-SA"/>
        </w:rPr>
        <w:t>做好卫生保洁、维修维护、安全保卫、后勤服务等工作，完善服务设施、创造良好的办公环境，进一步提高管理水平和服务质量，为工作人员及办事群众提供优良环境。项目预算涵盖从</w:t>
      </w:r>
      <w:r>
        <w:rPr>
          <w:rFonts w:hint="eastAsia" w:ascii="Times New Roman" w:hAnsi="Times New Roman" w:eastAsia="仿宋_GB2312" w:cs="Times New Roman"/>
          <w:b w:val="0"/>
          <w:bCs w:val="0"/>
          <w:kern w:val="2"/>
          <w:sz w:val="32"/>
          <w:szCs w:val="32"/>
          <w:highlight w:val="none"/>
          <w:lang w:val="en-US" w:eastAsia="zh-CN" w:bidi="ar-SA"/>
        </w:rPr>
        <w:t>2024年1月1日至2024年12月31日</w:t>
      </w:r>
      <w:r>
        <w:rPr>
          <w:rFonts w:hint="default" w:ascii="Times New Roman" w:hAnsi="Times New Roman" w:eastAsia="仿宋_GB2312" w:cs="Times New Roman"/>
          <w:b w:val="0"/>
          <w:bCs w:val="0"/>
          <w:kern w:val="2"/>
          <w:sz w:val="32"/>
          <w:szCs w:val="32"/>
          <w:highlight w:val="none"/>
          <w:lang w:val="en-US" w:eastAsia="zh-CN" w:bidi="ar-SA"/>
        </w:rPr>
        <w:t>的全部资金投入与支出，涉及资金总额为</w:t>
      </w:r>
      <w:r>
        <w:rPr>
          <w:rFonts w:hint="eastAsia" w:ascii="Times New Roman" w:hAnsi="Times New Roman" w:eastAsia="仿宋_GB2312" w:cs="Times New Roman"/>
          <w:b w:val="0"/>
          <w:bCs w:val="0"/>
          <w:kern w:val="2"/>
          <w:sz w:val="32"/>
          <w:szCs w:val="32"/>
          <w:highlight w:val="none"/>
          <w:lang w:val="en-US" w:eastAsia="zh-CN" w:bidi="ar-SA"/>
        </w:rPr>
        <w:t>433.49</w:t>
      </w:r>
      <w:r>
        <w:rPr>
          <w:rFonts w:hint="default" w:ascii="Times New Roman" w:hAnsi="Times New Roman" w:eastAsia="仿宋_GB2312" w:cs="Times New Roman"/>
          <w:b w:val="0"/>
          <w:bCs w:val="0"/>
          <w:kern w:val="2"/>
          <w:sz w:val="32"/>
          <w:szCs w:val="32"/>
          <w:highlight w:val="none"/>
          <w:lang w:val="en-US" w:eastAsia="zh-CN" w:bidi="ar-SA"/>
        </w:rPr>
        <w:t>万元。</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lang w:val="en-US" w:eastAsia="zh-CN"/>
        </w:rPr>
        <w:t>4.</w:t>
      </w:r>
      <w:r>
        <w:rPr>
          <w:rFonts w:hint="default" w:ascii="Times New Roman" w:hAnsi="Times New Roman" w:eastAsia="仿宋_GB2312" w:cs="Times New Roman"/>
          <w:b w:val="0"/>
          <w:bCs w:val="0"/>
        </w:rPr>
        <w:t>绩效评价的范围</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资金管理：深入分析项目资金的分配、使用和监管情况，确保资金使用的合规性、高效性和透明度。</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项目实施进度与产出：评估项目是否按照既定计划顺利推进，各项任务是否按时完成，以及项目产出的数量、质量和时效性是否符合预期。</w:t>
      </w:r>
    </w:p>
    <w:p>
      <w:pPr>
        <w:pStyle w:val="11"/>
        <w:widowControl w:val="0"/>
        <w:numPr>
          <w:ilvl w:val="0"/>
          <w:numId w:val="2"/>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社会</w:t>
      </w:r>
      <w:r>
        <w:rPr>
          <w:rFonts w:hint="default"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生态</w:t>
      </w:r>
      <w:r>
        <w:rPr>
          <w:rFonts w:hint="default" w:ascii="Times New Roman" w:hAnsi="Times New Roman" w:eastAsia="仿宋_GB2312" w:cs="Times New Roman"/>
          <w:b w:val="0"/>
          <w:bCs w:val="0"/>
          <w:highlight w:val="none"/>
          <w:lang w:val="en-US" w:eastAsia="zh-CN"/>
        </w:rPr>
        <w:t>等</w:t>
      </w:r>
      <w:r>
        <w:rPr>
          <w:rFonts w:hint="default" w:ascii="Times New Roman" w:hAnsi="Times New Roman" w:eastAsia="仿宋_GB2312" w:cs="Times New Roman"/>
          <w:b w:val="0"/>
          <w:bCs w:val="0"/>
          <w:highlight w:val="none"/>
        </w:rPr>
        <w:t>影响：考察项目对社会效益方面的综合影响。</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绩效评价框架是开展绩效评价的核心。绩效评价框架包括评价准则、关键评价问题、评价指标、数据来源、数据收集方法等。指标体系建立过程如下：</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（1）确定评价指标</w:t>
      </w:r>
    </w:p>
    <w:p>
      <w:pPr>
        <w:pStyle w:val="11"/>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（2）确定权重</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commentRangeStart w:id="0"/>
      <w:r>
        <w:rPr>
          <w:rFonts w:hint="default" w:ascii="Times New Roman" w:hAnsi="Times New Roman" w:eastAsia="仿宋_GB2312" w:cs="Times New Roman"/>
          <w:b w:val="0"/>
          <w:bCs w:val="0"/>
          <w:kern w:val="28"/>
          <w:sz w:val="32"/>
          <w:szCs w:val="32"/>
          <w:lang w:val="en-US" w:eastAsia="zh-CN" w:bidi="ar-SA"/>
        </w:rPr>
        <w:t>确定各个指标相对于项目总体绩效的权重分值。在绩效评价指标体系中，项目决策权重为20分，项目过程权重为20分，项目产出权重为40分，项目效益权重为20分。</w:t>
      </w:r>
      <w:commentRangeEnd w:id="0"/>
      <w:r>
        <w:rPr>
          <w:rFonts w:hint="default" w:ascii="Times New Roman" w:hAnsi="Times New Roman" w:eastAsia="仿宋_GB2312" w:cs="Times New Roman"/>
          <w:b w:val="0"/>
          <w:bCs w:val="0"/>
          <w:kern w:val="28"/>
          <w:sz w:val="32"/>
          <w:szCs w:val="32"/>
          <w:lang w:val="en-US" w:eastAsia="zh-CN" w:bidi="ar-SA"/>
        </w:rPr>
        <w:commentReference w:id="0"/>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（3）确定指标标准值</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640" w:firstLineChars="200"/>
        <w:jc w:val="both"/>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绩效评价总分值100分，根据综合评分结果，90（含）-100分为优、80（含）-90分为良、60（含）-80分为中、60分以下为差。</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具体评价指标体系详情见附件1</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3.绩效评价方法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绩效评价从项目决策、项目过程、项目产出、项目效益四个维度进行评价。评价对象为项目目标实施情况，  评价核心为资金的支出完成情况和项目的产出效益。</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commentRangeStart w:id="1"/>
      <w:r>
        <w:rPr>
          <w:rFonts w:hint="default" w:ascii="Times New Roman" w:hAnsi="Times New Roman" w:eastAsia="仿宋_GB2312" w:cs="Times New Roman"/>
          <w:b w:val="0"/>
          <w:bCs w:val="0"/>
          <w:kern w:val="28"/>
          <w:sz w:val="32"/>
          <w:szCs w:val="32"/>
          <w:lang w:val="en-US" w:eastAsia="zh-CN" w:bidi="ar-SA"/>
        </w:rPr>
        <w:t>本次评价指标中，既有定性指标又有定量指标，各类指标因考核内容不同和客观标准不同存在较大差异，因此核定具体指标时采用了不同方法，具体评价方法如下：</w:t>
      </w:r>
      <w:commentRangeEnd w:id="1"/>
      <w:r>
        <w:rPr>
          <w:rFonts w:hint="default" w:ascii="Times New Roman" w:hAnsi="Times New Roman" w:eastAsia="仿宋_GB2312" w:cs="Times New Roman"/>
          <w:b w:val="0"/>
          <w:bCs w:val="0"/>
          <w:kern w:val="28"/>
          <w:sz w:val="32"/>
          <w:szCs w:val="32"/>
          <w:lang w:val="en-US" w:eastAsia="zh-CN" w:bidi="ar-SA"/>
        </w:rPr>
        <w:commentReference w:id="1"/>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 xml:space="preserve">（一）成本效益分析法。是指将投入与产出、效益进行关联性分析的方法。 </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（二）比较法。是指将实施情况与绩效目标、历史情况、不同部门和地区同类支出情况进行比较的方法。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（三）因素分析法。是指综合分析影响绩效目标实现、实施效果的内外部因素的方法。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（四）最低成本法。是指在绩效目标确定的前提下，成本最小者为优的方法。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（五）公众评判法。是指通过专家评估、公众问卷及抽样调查等方式进行评判的方法。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（六）标杆管理法。是指以国内外同行业中较高的绩效水平为标杆进行评判的方法。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（七）其他评价方法。</w:t>
      </w:r>
    </w:p>
    <w:p>
      <w:pPr>
        <w:spacing w:line="560" w:lineRule="exact"/>
        <w:ind w:firstLine="640" w:firstLineChars="200"/>
        <w:rPr>
          <w:rFonts w:hint="eastAsia" w:eastAsia="仿宋_GB2312" w:cs="Times New Roman"/>
          <w:b w:val="0"/>
          <w:bCs w:val="0"/>
          <w:kern w:val="28"/>
          <w:sz w:val="32"/>
          <w:szCs w:val="32"/>
          <w:lang w:val="en-US" w:eastAsia="zh-CN" w:bidi="ar-SA"/>
        </w:rPr>
      </w:pPr>
      <w:r>
        <w:rPr>
          <w:rFonts w:hint="eastAsia" w:eastAsia="仿宋_GB2312" w:cs="Times New Roman"/>
          <w:b w:val="0"/>
          <w:bCs w:val="0"/>
          <w:kern w:val="28"/>
          <w:sz w:val="32"/>
          <w:szCs w:val="32"/>
          <w:lang w:val="en-US" w:eastAsia="zh-CN" w:bidi="ar-SA"/>
        </w:rPr>
        <w:t>本次绩效自评采用因素分析法。</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4.评价标准</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kern w:val="28"/>
          <w:sz w:val="32"/>
          <w:szCs w:val="32"/>
          <w:lang w:val="en-US" w:eastAsia="zh-CN" w:bidi="ar-SA"/>
        </w:rPr>
        <w:t>计划</w:t>
      </w:r>
      <w:r>
        <w:rPr>
          <w:rFonts w:hint="default" w:ascii="Times New Roman" w:hAnsi="Times New Roman" w:eastAsia="仿宋_GB2312" w:cs="Times New Roman"/>
          <w:b w:val="0"/>
          <w:bCs w:val="0"/>
          <w:kern w:val="28"/>
          <w:sz w:val="32"/>
          <w:szCs w:val="32"/>
          <w:lang w:val="en-US" w:eastAsia="zh-CN" w:bidi="ar-SA"/>
        </w:rPr>
        <w:t>标准</w:t>
      </w:r>
      <w:r>
        <w:rPr>
          <w:rFonts w:hint="eastAsia" w:ascii="Times New Roman" w:hAnsi="Times New Roman" w:eastAsia="仿宋_GB2312" w:cs="Times New Roman"/>
          <w:b w:val="0"/>
          <w:bCs w:val="0"/>
          <w:kern w:val="28"/>
          <w:sz w:val="32"/>
          <w:szCs w:val="32"/>
          <w:lang w:val="en-US" w:eastAsia="zh-CN" w:bidi="ar-SA"/>
        </w:rPr>
        <w:t>和历史标准</w:t>
      </w:r>
      <w:r>
        <w:rPr>
          <w:rFonts w:hint="default" w:ascii="Times New Roman" w:hAnsi="Times New Roman" w:eastAsia="仿宋_GB2312" w:cs="Times New Roman"/>
          <w:b w:val="0"/>
          <w:bCs w:val="0"/>
          <w:kern w:val="28"/>
          <w:sz w:val="32"/>
          <w:szCs w:val="32"/>
          <w:lang w:val="en-US" w:eastAsia="zh-CN" w:bidi="ar-SA"/>
        </w:rPr>
        <w:t>。</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（1）计划标准。指以预先制定的目标、计划、预算、定额等作为评价标准。</w:t>
      </w:r>
    </w:p>
    <w:p>
      <w:pPr>
        <w:spacing w:line="560" w:lineRule="exact"/>
        <w:ind w:firstLine="640" w:firstLineChars="200"/>
        <w:rPr>
          <w:rFonts w:hint="default" w:ascii="Times New Roman" w:hAnsi="Times New Roman" w:eastAsia="仿宋_GB2312" w:cs="Times New Roman"/>
          <w:b w:val="0"/>
          <w:bCs w:val="0"/>
          <w:kern w:val="28"/>
          <w:sz w:val="32"/>
          <w:szCs w:val="32"/>
          <w:lang w:val="en-US" w:eastAsia="zh-CN" w:bidi="ar-SA"/>
        </w:rPr>
      </w:pPr>
      <w:r>
        <w:rPr>
          <w:rFonts w:hint="default" w:ascii="Times New Roman" w:hAnsi="Times New Roman" w:eastAsia="仿宋_GB2312" w:cs="Times New Roman"/>
          <w:b w:val="0"/>
          <w:bCs w:val="0"/>
          <w:kern w:val="28"/>
          <w:sz w:val="32"/>
          <w:szCs w:val="32"/>
          <w:lang w:val="en-US" w:eastAsia="zh-CN" w:bidi="ar-SA"/>
        </w:rPr>
        <w:t>（3）历史标准。指参照历史数据制定的评价标准，为体现绩效改进的原则，在可实现的条件下应当确定相对较高的评价标准。</w:t>
      </w:r>
    </w:p>
    <w:p>
      <w:pPr>
        <w:pStyle w:val="11"/>
        <w:numPr>
          <w:ilvl w:val="0"/>
          <w:numId w:val="3"/>
        </w:numPr>
        <w:spacing w:before="0" w:after="0" w:line="560" w:lineRule="exact"/>
        <w:ind w:firstLine="711" w:firstLineChars="200"/>
        <w:jc w:val="both"/>
        <w:rPr>
          <w:rFonts w:hint="default" w:ascii="Times New Roman" w:hAnsi="Times New Roman" w:eastAsia="楷体" w:cs="Times New Roman"/>
          <w:color w:val="000000"/>
          <w:spacing w:val="17"/>
        </w:rPr>
      </w:pPr>
      <w:r>
        <w:rPr>
          <w:rFonts w:hint="default" w:ascii="Times New Roman" w:hAnsi="Times New Roman" w:eastAsia="楷体" w:cs="Times New Roman"/>
          <w:color w:val="000000"/>
          <w:spacing w:val="17"/>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在项目绩效评价工作启动之初，成立了专门的评价工作小组，小组成员由财务</w:t>
      </w:r>
      <w:r>
        <w:rPr>
          <w:rFonts w:hint="eastAsia" w:eastAsia="仿宋_GB2312" w:cs="Times New Roman"/>
          <w:sz w:val="32"/>
          <w:szCs w:val="32"/>
          <w:highlight w:val="none"/>
          <w:lang w:eastAsia="zh-CN"/>
        </w:rPr>
        <w:t>人员</w:t>
      </w:r>
      <w:r>
        <w:rPr>
          <w:rFonts w:hint="default" w:ascii="Times New Roman" w:hAnsi="Times New Roman" w:eastAsia="仿宋_GB2312" w:cs="Times New Roman"/>
          <w:sz w:val="32"/>
          <w:szCs w:val="32"/>
          <w:highlight w:val="none"/>
        </w:rPr>
        <w:t>、项目管理人员及相关领域骨干组成，确保从多角度、全方位对项目绩效进行评价。同时，明确了评价工作的目标、范围、重点及时间安排，制定了详细的工作计划，为评价工作的顺利开展奠定了坚实基础。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依据项目的性质、目标以及预期成果，构建了科学合理的绩效评价指标体系。该指标体系涵盖了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一</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bookmarkStart w:id="1" w:name="OLE_LINK1"/>
      <w:r>
        <w:rPr>
          <w:rFonts w:hint="default" w:ascii="Times New Roman" w:hAnsi="Times New Roman" w:eastAsia="仿宋_GB2312" w:cs="Times New Roman"/>
          <w:color w:val="auto"/>
          <w:sz w:val="32"/>
          <w:szCs w:val="32"/>
          <w:highlight w:val="none"/>
        </w:rPr>
        <w:t>市健身中心及规划展示中心两馆租赁费</w:t>
      </w:r>
      <w:r>
        <w:rPr>
          <w:rFonts w:hint="eastAsia" w:eastAsia="仿宋_GB2312" w:cs="Times New Roman"/>
          <w:color w:val="auto"/>
          <w:sz w:val="32"/>
          <w:szCs w:val="32"/>
          <w:highlight w:val="none"/>
          <w:lang w:eastAsia="zh-CN"/>
        </w:rPr>
        <w:t>项目</w:t>
      </w:r>
      <w:bookmarkEnd w:id="1"/>
      <w:r>
        <w:rPr>
          <w:rFonts w:hint="default" w:ascii="Times New Roman" w:hAnsi="Times New Roman" w:eastAsia="仿宋_GB2312" w:cs="Times New Roman"/>
          <w:sz w:val="32"/>
          <w:szCs w:val="32"/>
          <w:highlight w:val="none"/>
        </w:rPr>
        <w:t>在按照库尔勒国泰国有资产投资管理有限公司与住建局签定PPP项目协议，国泰公司与机关事务管理局签订健身中心及规划展示中心房屋租赁合同，租赁2个场馆，租赁场地面积52800平方米。做好卫生保洁、维修维护、安全保卫、后勤服务等工作，完善服务设施、创造良好的办公环境，进一步提高管理水平和服务质量，为工作人员及办事群众提供优良环境。等方面表现出色，达到了预期的标准与要求。同时，项目也在</w:t>
      </w:r>
      <w:r>
        <w:rPr>
          <w:rFonts w:hint="eastAsia" w:eastAsia="仿宋_GB2312" w:cs="Times New Roman"/>
          <w:color w:val="auto"/>
          <w:sz w:val="32"/>
          <w:szCs w:val="32"/>
          <w:highlight w:val="none"/>
          <w:lang w:eastAsia="zh-CN"/>
        </w:rPr>
        <w:t>社会效益和满意度环节</w:t>
      </w:r>
      <w:r>
        <w:rPr>
          <w:rFonts w:hint="default" w:ascii="Times New Roman" w:hAnsi="Times New Roman" w:eastAsia="仿宋_GB2312" w:cs="Times New Roman"/>
          <w:sz w:val="32"/>
          <w:szCs w:val="32"/>
          <w:highlight w:val="none"/>
        </w:rPr>
        <w:t>取得了显著的成效，如</w:t>
      </w:r>
      <w:r>
        <w:rPr>
          <w:rFonts w:hint="eastAsia" w:eastAsia="仿宋_GB2312" w:cs="Times New Roman"/>
          <w:sz w:val="32"/>
          <w:szCs w:val="32"/>
          <w:highlight w:val="none"/>
          <w:lang w:eastAsia="zh-CN"/>
        </w:rPr>
        <w:t>有效提升环境卫生质量和工作人员及办事群众满意度</w:t>
      </w:r>
      <w:r>
        <w:rPr>
          <w:rFonts w:hint="default" w:ascii="Times New Roman" w:hAnsi="Times New Roman" w:eastAsia="仿宋_GB2312" w:cs="Times New Roman"/>
          <w:sz w:val="32"/>
          <w:szCs w:val="32"/>
          <w:highlight w:val="none"/>
        </w:rPr>
        <w:t>等。</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在项目管理方面，</w:t>
      </w:r>
      <w:r>
        <w:rPr>
          <w:rFonts w:hint="eastAsia" w:eastAsia="仿宋_GB2312" w:cs="Times New Roman"/>
          <w:sz w:val="32"/>
          <w:szCs w:val="32"/>
          <w:highlight w:val="none"/>
          <w:lang w:eastAsia="zh-CN"/>
        </w:rPr>
        <w:t>库尔勒市机关事务管理局</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从项目效益的角度来看，本项目不仅实现了预期的社会效益方面产生了积极的影响。具体而言，有效提高环境卫生质量方面的提升，为项目的利益相关者带来了实实在在的利益。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jc w:val="both"/>
        <w:textAlignment w:val="auto"/>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综上所述，</w:t>
      </w:r>
      <w:r>
        <w:rPr>
          <w:rFonts w:hint="default" w:ascii="Times New Roman" w:hAnsi="Times New Roman" w:eastAsia="仿宋_GB2312" w:cs="Times New Roman"/>
          <w:color w:val="auto"/>
          <w:sz w:val="32"/>
          <w:szCs w:val="32"/>
          <w:highlight w:val="none"/>
        </w:rPr>
        <w:t>市健身中心及规划展示中心两馆租赁费</w:t>
      </w:r>
      <w:r>
        <w:rPr>
          <w:rFonts w:hint="eastAsia" w:eastAsia="仿宋_GB2312" w:cs="Times New Roman"/>
          <w:color w:val="auto"/>
          <w:sz w:val="32"/>
          <w:szCs w:val="32"/>
          <w:highlight w:val="none"/>
          <w:lang w:eastAsia="zh-CN"/>
        </w:rPr>
        <w:t>项目</w:t>
      </w:r>
      <w:r>
        <w:rPr>
          <w:rFonts w:hint="default" w:ascii="Times New Roman" w:hAnsi="Times New Roman" w:eastAsia="仿宋_GB2312" w:cs="Times New Roman"/>
          <w:sz w:val="32"/>
          <w:szCs w:val="32"/>
          <w:highlight w:val="none"/>
        </w:rPr>
        <w:t>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hint="default" w:ascii="Times New Roman" w:hAnsi="Times New Roman" w:eastAsia="仿宋_GB2312" w:cs="Times New Roman"/>
          <w:b w:val="0"/>
          <w:bCs w:val="0"/>
          <w:highlight w:val="none"/>
        </w:rPr>
        <w:t xml:space="preserve">总得分为 </w:t>
      </w:r>
      <w:r>
        <w:rPr>
          <w:rFonts w:hint="eastAsia" w:ascii="Times New Roman" w:hAnsi="Times New Roman" w:eastAsia="仿宋_GB2312" w:cs="Times New Roman"/>
          <w:b w:val="0"/>
          <w:bCs w:val="0"/>
          <w:highlight w:val="none"/>
          <w:lang w:val="en-US" w:eastAsia="zh-CN"/>
        </w:rPr>
        <w:t>99.97</w:t>
      </w:r>
      <w:r>
        <w:rPr>
          <w:rFonts w:hint="default" w:ascii="Times New Roman" w:hAnsi="Times New Roman" w:eastAsia="仿宋_GB2312" w:cs="Times New Roman"/>
          <w:b w:val="0"/>
          <w:bCs w:val="0"/>
          <w:highlight w:val="none"/>
        </w:rPr>
        <w:t xml:space="preserve">分，属于“优”。其中，项目决策类指标权重为20分，得分为 </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分，</w:t>
      </w:r>
      <w:commentRangeStart w:id="2"/>
      <w:r>
        <w:rPr>
          <w:rFonts w:hint="default" w:ascii="Times New Roman" w:hAnsi="Times New Roman" w:eastAsia="仿宋_GB2312" w:cs="Times New Roman"/>
          <w:b w:val="0"/>
          <w:bCs w:val="0"/>
          <w:highlight w:val="none"/>
        </w:rPr>
        <w:t>得分率</w:t>
      </w:r>
      <w:commentRangeEnd w:id="2"/>
      <w:r>
        <w:rPr>
          <w:rFonts w:hint="default" w:ascii="Times New Roman" w:hAnsi="Times New Roman" w:cs="Times New Roman"/>
          <w:highlight w:val="none"/>
        </w:rPr>
        <w:commentReference w:id="2"/>
      </w:r>
      <w:r>
        <w:rPr>
          <w:rFonts w:hint="default" w:ascii="Times New Roman" w:hAnsi="Times New Roman" w:eastAsia="仿宋_GB2312" w:cs="Times New Roman"/>
          <w:b w:val="0"/>
          <w:bCs w:val="0"/>
          <w:highlight w:val="none"/>
        </w:rPr>
        <w:t xml:space="preserve">为 </w:t>
      </w:r>
      <w:r>
        <w:rPr>
          <w:rFonts w:hint="eastAsia" w:ascii="Times New Roman" w:hAnsi="Times New Roman" w:eastAsia="仿宋_GB2312" w:cs="Times New Roman"/>
          <w:b w:val="0"/>
          <w:bCs w:val="0"/>
          <w:highlight w:val="none"/>
          <w:lang w:val="en-US" w:eastAsia="zh-CN"/>
        </w:rPr>
        <w:t>100.00</w:t>
      </w:r>
      <w:r>
        <w:rPr>
          <w:rFonts w:hint="default" w:ascii="Times New Roman" w:hAnsi="Times New Roman" w:eastAsia="仿宋_GB2312" w:cs="Times New Roman"/>
          <w:b w:val="0"/>
          <w:bCs w:val="0"/>
          <w:highlight w:val="none"/>
        </w:rPr>
        <w:t>%。项目过程类指标权重为20分，得分为</w:t>
      </w:r>
      <w:r>
        <w:rPr>
          <w:rFonts w:hint="eastAsia" w:ascii="Times New Roman" w:hAnsi="Times New Roman" w:eastAsia="仿宋_GB2312" w:cs="Times New Roman"/>
          <w:b w:val="0"/>
          <w:bCs w:val="0"/>
          <w:highlight w:val="none"/>
          <w:lang w:val="en-US" w:eastAsia="zh-CN"/>
        </w:rPr>
        <w:t>20</w:t>
      </w:r>
      <w:r>
        <w:rPr>
          <w:rFonts w:hint="default" w:ascii="Times New Roman" w:hAnsi="Times New Roman" w:eastAsia="仿宋_GB2312" w:cs="Times New Roman"/>
          <w:b w:val="0"/>
          <w:bCs w:val="0"/>
          <w:highlight w:val="none"/>
        </w:rPr>
        <w:t xml:space="preserve">分，得分率为 </w:t>
      </w:r>
      <w:r>
        <w:rPr>
          <w:rFonts w:hint="eastAsia" w:ascii="Times New Roman" w:hAnsi="Times New Roman" w:eastAsia="仿宋_GB2312" w:cs="Times New Roman"/>
          <w:b w:val="0"/>
          <w:bCs w:val="0"/>
          <w:highlight w:val="none"/>
          <w:lang w:val="en-US" w:eastAsia="zh-CN"/>
        </w:rPr>
        <w:t>100.00</w:t>
      </w:r>
      <w:r>
        <w:rPr>
          <w:rFonts w:hint="default" w:ascii="Times New Roman" w:hAnsi="Times New Roman" w:eastAsia="仿宋_GB2312" w:cs="Times New Roman"/>
          <w:b w:val="0"/>
          <w:bCs w:val="0"/>
          <w:highlight w:val="none"/>
        </w:rPr>
        <w:t>%。项目产出类指标权重为40分，得分为</w:t>
      </w:r>
      <w:r>
        <w:rPr>
          <w:rFonts w:hint="eastAsia" w:ascii="Times New Roman" w:hAnsi="Times New Roman" w:eastAsia="仿宋_GB2312" w:cs="Times New Roman"/>
          <w:b w:val="0"/>
          <w:bCs w:val="0"/>
          <w:highlight w:val="none"/>
          <w:lang w:val="en-US" w:eastAsia="zh-CN"/>
        </w:rPr>
        <w:t>40</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100.00</w:t>
      </w:r>
      <w:r>
        <w:rPr>
          <w:rFonts w:hint="default" w:ascii="Times New Roman" w:hAnsi="Times New Roman" w:eastAsia="仿宋_GB2312" w:cs="Times New Roman"/>
          <w:b w:val="0"/>
          <w:bCs w:val="0"/>
          <w:highlight w:val="none"/>
        </w:rPr>
        <w:t>%。项目效益类指标权重为20分，得分为</w:t>
      </w:r>
      <w:r>
        <w:rPr>
          <w:rFonts w:hint="eastAsia" w:ascii="Times New Roman" w:hAnsi="Times New Roman" w:eastAsia="仿宋_GB2312" w:cs="Times New Roman"/>
          <w:b w:val="0"/>
          <w:bCs w:val="0"/>
          <w:highlight w:val="none"/>
          <w:lang w:val="en-US" w:eastAsia="zh-CN"/>
        </w:rPr>
        <w:t>19.97</w:t>
      </w:r>
      <w:r>
        <w:rPr>
          <w:rFonts w:hint="default" w:ascii="Times New Roman" w:hAnsi="Times New Roman" w:eastAsia="仿宋_GB2312" w:cs="Times New Roman"/>
          <w:b w:val="0"/>
          <w:bCs w:val="0"/>
          <w:highlight w:val="none"/>
        </w:rPr>
        <w:t>分，得分率为</w:t>
      </w:r>
      <w:r>
        <w:rPr>
          <w:rFonts w:hint="eastAsia" w:ascii="Times New Roman" w:hAnsi="Times New Roman" w:eastAsia="仿宋_GB2312" w:cs="Times New Roman"/>
          <w:b w:val="0"/>
          <w:bCs w:val="0"/>
          <w:highlight w:val="none"/>
          <w:lang w:val="en-US" w:eastAsia="zh-CN"/>
        </w:rPr>
        <w:t>99.85</w:t>
      </w:r>
      <w:r>
        <w:rPr>
          <w:rFonts w:hint="default" w:ascii="Times New Roman" w:hAnsi="Times New Roman" w:eastAsia="仿宋_GB2312" w:cs="Times New Roman"/>
          <w:b w:val="0"/>
          <w:bCs w:val="0"/>
          <w:highlight w:val="none"/>
        </w:rPr>
        <w:t>%。具</w:t>
      </w:r>
      <w:r>
        <w:rPr>
          <w:rFonts w:hint="default" w:ascii="Times New Roman" w:hAnsi="Times New Roman" w:eastAsia="仿宋_GB2312" w:cs="Times New Roman"/>
          <w:b w:val="0"/>
          <w:bCs w:val="0"/>
        </w:rPr>
        <w:t>体打分情况详见：附件1综合评分表</w:t>
      </w:r>
      <w:r>
        <w:rPr>
          <w:rFonts w:hint="default" w:ascii="Times New Roman" w:hAnsi="Times New Roman" w:eastAsia="仿宋_GB2312" w:cs="Times New Roman"/>
          <w:b w:val="0"/>
          <w:bCs w:val="0"/>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5"/>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19.97</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99.97</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1"/>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严格按照审批流程准备符合要求的文件、材料；</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Hans"/>
        </w:rPr>
        <w:t>年初结合实际工作内容</w:t>
      </w:r>
      <w:r>
        <w:rPr>
          <w:rFonts w:hint="default" w:ascii="Times New Roman" w:hAnsi="Times New Roman" w:eastAsia="仿宋_GB2312" w:cs="Times New Roman"/>
          <w:sz w:val="32"/>
          <w:szCs w:val="32"/>
          <w:lang w:val="en-US" w:eastAsia="zh-CN"/>
        </w:rPr>
        <w:t>设定绩效目标</w:t>
      </w:r>
      <w:r>
        <w:rPr>
          <w:rFonts w:hint="default" w:ascii="Times New Roman" w:hAnsi="Times New Roman" w:eastAsia="仿宋_GB2312" w:cs="Times New Roman"/>
          <w:sz w:val="32"/>
          <w:szCs w:val="32"/>
          <w:lang w:val="en-US" w:eastAsia="zh-Hans"/>
        </w:rPr>
        <w:t>，绩效目标</w:t>
      </w:r>
      <w:r>
        <w:rPr>
          <w:rFonts w:hint="default" w:ascii="Times New Roman" w:hAnsi="Times New Roman" w:eastAsia="仿宋_GB2312" w:cs="Times New Roman"/>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在预算编制过程中，</w:t>
      </w:r>
      <w:r>
        <w:rPr>
          <w:rFonts w:hint="default" w:ascii="Times New Roman" w:hAnsi="Times New Roman" w:eastAsia="仿宋_GB2312" w:cs="Times New Roman"/>
          <w:sz w:val="32"/>
          <w:szCs w:val="32"/>
          <w:highlight w:val="none"/>
          <w:lang w:val="en-US" w:eastAsia="zh-CN"/>
        </w:rPr>
        <w:t>还</w:t>
      </w:r>
      <w:r>
        <w:rPr>
          <w:rFonts w:hint="default" w:ascii="Times New Roman" w:hAnsi="Times New Roman" w:eastAsia="仿宋_GB2312" w:cs="Times New Roman"/>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11"/>
        <w:numPr>
          <w:ilvl w:val="0"/>
          <w:numId w:val="5"/>
        </w:numPr>
        <w:spacing w:before="0" w:after="0" w:line="560" w:lineRule="exact"/>
        <w:ind w:firstLine="643" w:firstLineChars="200"/>
        <w:jc w:val="both"/>
        <w:rPr>
          <w:rFonts w:hint="default" w:ascii="Times New Roman" w:hAnsi="Times New Roman" w:eastAsia="楷体" w:cs="Times New Roman"/>
        </w:rPr>
      </w:pPr>
      <w:r>
        <w:rPr>
          <w:rFonts w:hint="default" w:ascii="Times New Roman" w:hAnsi="Times New Roman" w:eastAsia="楷体" w:cs="Times New Roman"/>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项目过程类指标包括资金管理和组织实施两方面的内容，由</w:t>
      </w:r>
      <w:r>
        <w:rPr>
          <w:rFonts w:hint="default" w:ascii="Times New Roman" w:hAnsi="Times New Roman" w:eastAsia="仿宋_GB2312" w:cs="Times New Roman"/>
          <w:sz w:val="32"/>
          <w:szCs w:val="32"/>
          <w:highlight w:val="none"/>
          <w:lang w:val="en-US" w:eastAsia="zh-CN"/>
        </w:rPr>
        <w:t>5个</w:t>
      </w:r>
      <w:r>
        <w:rPr>
          <w:rFonts w:hint="default" w:ascii="Times New Roman" w:hAnsi="Times New Roman" w:eastAsia="仿宋_GB2312" w:cs="Times New Roman"/>
          <w:sz w:val="32"/>
          <w:szCs w:val="32"/>
          <w:lang w:val="en-US" w:eastAsia="zh-CN"/>
        </w:rPr>
        <w:t>三级指标构成，权重分值为</w:t>
      </w:r>
      <w:r>
        <w:rPr>
          <w:rFonts w:hint="eastAsia"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分，</w:t>
      </w:r>
      <w:r>
        <w:rPr>
          <w:rFonts w:hint="default" w:ascii="Times New Roman" w:hAnsi="Times New Roman" w:eastAsia="仿宋_GB2312" w:cs="Times New Roman"/>
          <w:sz w:val="32"/>
          <w:szCs w:val="32"/>
          <w:highlight w:val="none"/>
          <w:lang w:val="en-US" w:eastAsia="zh-CN"/>
        </w:rPr>
        <w:t>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本</w:t>
      </w:r>
      <w:r>
        <w:rPr>
          <w:rFonts w:hint="default" w:ascii="Times New Roman" w:hAnsi="Times New Roman" w:eastAsia="仿宋_GB2312" w:cs="Times New Roman"/>
          <w:sz w:val="32"/>
          <w:szCs w:val="32"/>
          <w:highlight w:val="none"/>
          <w:lang w:val="en-US" w:eastAsia="zh-CN"/>
        </w:rPr>
        <w:t>项目总投资</w:t>
      </w:r>
      <w:r>
        <w:rPr>
          <w:rFonts w:hint="eastAsia" w:eastAsia="仿宋_GB2312" w:cs="Times New Roman"/>
          <w:sz w:val="32"/>
          <w:szCs w:val="32"/>
          <w:highlight w:val="none"/>
          <w:lang w:val="en-US" w:eastAsia="zh-CN"/>
        </w:rPr>
        <w:t>433.49</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%，预算</w:t>
      </w:r>
      <w:r>
        <w:rPr>
          <w:rFonts w:hint="default" w:ascii="Times New Roman" w:hAnsi="Times New Roman" w:eastAsia="仿宋_GB2312" w:cs="Times New Roman"/>
          <w:sz w:val="32"/>
          <w:szCs w:val="32"/>
          <w:lang w:val="en-US" w:eastAsia="zh-CN"/>
        </w:rPr>
        <w:t>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lang w:val="en-US" w:eastAsia="zh-CN"/>
        </w:rPr>
        <w:t>预算编制较为详细，项目资金支出总体能够按照预算执行，</w:t>
      </w:r>
      <w:r>
        <w:rPr>
          <w:rFonts w:hint="default" w:ascii="Times New Roman" w:hAnsi="Times New Roman" w:eastAsia="仿宋_GB2312" w:cs="Times New Roman"/>
          <w:sz w:val="32"/>
          <w:szCs w:val="32"/>
          <w:highlight w:val="none"/>
          <w:lang w:val="en-US" w:eastAsia="zh-CN"/>
        </w:rPr>
        <w:t>预算资金支出</w:t>
      </w:r>
      <w:r>
        <w:rPr>
          <w:rFonts w:hint="eastAsia" w:eastAsia="仿宋_GB2312" w:cs="Times New Roman"/>
          <w:sz w:val="32"/>
          <w:szCs w:val="32"/>
          <w:highlight w:val="none"/>
          <w:lang w:val="en-US" w:eastAsia="zh-CN"/>
        </w:rPr>
        <w:t>433.49</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pStyle w:val="20"/>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green"/>
          <w:lang w:eastAsia="zh-CN"/>
        </w:rPr>
      </w:pPr>
      <w:r>
        <w:rPr>
          <w:rFonts w:hint="eastAsia" w:eastAsia="仿宋_GB2312" w:cs="Times New Roman"/>
          <w:sz w:val="32"/>
          <w:szCs w:val="32"/>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本项目在执行过程中，管理制度得到了全面、有效的落实，为确保项目的顺利实施与目标实现提供了坚实的保障。项目</w:t>
      </w:r>
      <w:r>
        <w:rPr>
          <w:rFonts w:hint="default" w:ascii="Times New Roman" w:hAnsi="Times New Roman" w:eastAsia="仿宋_GB2312" w:cs="Times New Roman"/>
          <w:sz w:val="32"/>
          <w:szCs w:val="32"/>
          <w:lang w:val="en-US" w:eastAsia="zh-CN"/>
        </w:rPr>
        <w:t>单位</w:t>
      </w:r>
      <w:r>
        <w:rPr>
          <w:rFonts w:hint="default" w:ascii="Times New Roman" w:hAnsi="Times New Roman" w:eastAsia="仿宋_GB2312" w:cs="Times New Roman"/>
          <w:sz w:val="32"/>
          <w:szCs w:val="32"/>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eastAsia="zh-CN"/>
        </w:rPr>
        <w:t>综上所述，本项目的管理制度在执行过程中表现出了高度的有效性，既确保了项目的顺利进行，又实现了项目目标的有效达成。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3"/>
        <w:numPr>
          <w:ilvl w:val="0"/>
          <w:numId w:val="5"/>
        </w:numPr>
        <w:spacing w:line="560" w:lineRule="exact"/>
        <w:ind w:firstLine="643"/>
        <w:rPr>
          <w:rFonts w:hint="default" w:ascii="Times New Roman" w:hAnsi="Times New Roman" w:eastAsia="楷体_GB2312" w:cs="Times New Roman"/>
          <w:b/>
          <w:bCs/>
          <w:sz w:val="32"/>
          <w:szCs w:val="32"/>
        </w:rPr>
      </w:pPr>
      <w:commentRangeStart w:id="3"/>
      <w:r>
        <w:rPr>
          <w:rFonts w:hint="default" w:ascii="Times New Roman" w:hAnsi="Times New Roman" w:eastAsia="楷体_GB2312" w:cs="Times New Roman"/>
          <w:b/>
          <w:bCs/>
          <w:sz w:val="32"/>
          <w:szCs w:val="32"/>
        </w:rPr>
        <w:t>项目产出</w:t>
      </w:r>
      <w:commentRangeEnd w:id="3"/>
      <w:r>
        <w:rPr>
          <w:rFonts w:hint="default" w:ascii="Times New Roman" w:hAnsi="Times New Roman" w:cs="Times New Roman"/>
        </w:rPr>
        <w:commentReference w:id="3"/>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项目产出类指标包括产出数量、产出质量、产出时效、产出成本四方面的内容，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sz w:val="32"/>
          <w:szCs w:val="32"/>
          <w:highlight w:val="none"/>
          <w:lang w:val="en-US" w:eastAsia="zh-CN"/>
        </w:rPr>
        <w:t>40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具体产出指标完成情况如下：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cs="Times New Roma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租赁场馆个数，指标值：=2个，实际完成值：=2个，指标完成率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w:t>
      </w:r>
      <w:commentRangeStart w:id="4"/>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r>
        <w:rPr>
          <w:rFonts w:hint="default" w:ascii="Times New Roman" w:hAnsi="Times New Roman" w:eastAsia="仿宋_GB2312" w:cs="Times New Roman"/>
          <w:sz w:val="32"/>
          <w:szCs w:val="32"/>
          <w:highlight w:val="none"/>
          <w:lang w:eastAsia="zh-CN"/>
        </w:rPr>
        <w:t>。</w:t>
      </w:r>
      <w:commentRangeEnd w:id="4"/>
      <w:r>
        <w:rPr>
          <w:rFonts w:hint="default" w:ascii="Times New Roman" w:hAnsi="Times New Roman" w:cs="Times New Roman"/>
        </w:rPr>
        <w:commentReference w:id="4"/>
      </w:r>
    </w:p>
    <w:p>
      <w:pPr>
        <w:shd w:val="clear"/>
        <w:spacing w:line="600" w:lineRule="exact"/>
        <w:ind w:firstLine="640" w:firstLineChars="200"/>
        <w:outlineLvl w:val="0"/>
        <w:rPr>
          <w:rFonts w:hint="default" w:ascii="Times New Roman" w:hAnsi="Times New Roman" w:cs="Times New Roman"/>
          <w:lang w:val="en-US"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租赁场地总面积（平方米</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，指标值：=52800平方米，实际完成值：=52800平方米，指标完成率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维修验收合规率，指标值：=100%，实际完成值：=100%，指标完成率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经费支付及时率，指标值：=100%，实际完成值：=100%，指标完成率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两馆租赁平均成本，指标值：&lt;=216.75万元/个，实际完成值：&lt;=216.75万元/个，指标完成率</w:t>
      </w:r>
      <w:r>
        <w:rPr>
          <w:rFonts w:hint="eastAsia" w:eastAsia="仿宋_GB2312" w:cs="Times New Roman"/>
          <w:sz w:val="32"/>
          <w:szCs w:val="32"/>
          <w:highlight w:val="none"/>
          <w:lang w:val="en-US" w:eastAsia="zh-CN"/>
        </w:rPr>
        <w:t>100.00</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此项权重分值为40分，得分为40分。</w:t>
      </w:r>
    </w:p>
    <w:p>
      <w:pPr>
        <w:pStyle w:val="13"/>
        <w:numPr>
          <w:ilvl w:val="0"/>
          <w:numId w:val="5"/>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项目效益类指标包括项目实施效益和满意度两方面的内容，</w:t>
      </w:r>
      <w:r>
        <w:rPr>
          <w:rFonts w:hint="default" w:ascii="Times New Roman" w:hAnsi="Times New Roman" w:eastAsia="仿宋_GB2312" w:cs="Times New Roman"/>
          <w:sz w:val="32"/>
          <w:szCs w:val="32"/>
          <w:highlight w:val="none"/>
          <w:lang w:val="en-US" w:eastAsia="zh-CN"/>
        </w:rPr>
        <w:t>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分，实际得分</w:t>
      </w:r>
      <w:r>
        <w:rPr>
          <w:rFonts w:hint="eastAsia" w:eastAsia="仿宋_GB2312" w:cs="Times New Roman"/>
          <w:sz w:val="32"/>
          <w:szCs w:val="32"/>
          <w:highlight w:val="none"/>
          <w:lang w:val="en-US" w:eastAsia="zh-CN"/>
        </w:rPr>
        <w:t>19.97</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99.85</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lang w:val="en-US" w:eastAsia="zh-CN"/>
        </w:rPr>
        <w:t>具体效益指标及满意度指标完成情况如下：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有效提高环境卫生质量，指标值：&gt;=95</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%，实际完成值：=95</w:t>
      </w:r>
      <w:r>
        <w:rPr>
          <w:rFonts w:hint="eastAsia" w:eastAsia="仿宋_GB2312" w:cs="Times New Roman"/>
          <w:sz w:val="32"/>
          <w:szCs w:val="32"/>
          <w:highlight w:val="none"/>
          <w:lang w:val="en-US" w:eastAsia="zh-CN"/>
        </w:rPr>
        <w:t>.15</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100.16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2.满意度</w:t>
      </w:r>
    </w:p>
    <w:p>
      <w:pPr>
        <w:shd w:val="clear"/>
        <w:spacing w:line="600" w:lineRule="exact"/>
        <w:ind w:firstLine="640" w:firstLineChars="200"/>
        <w:outlineLvl w:val="0"/>
        <w:rPr>
          <w:rFonts w:hint="eastAsia"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工作人员及办事群众满意度，指标值：&gt;=95</w:t>
      </w:r>
      <w:r>
        <w:rPr>
          <w:rFonts w:hint="eastAsia" w:eastAsia="仿宋_GB2312" w:cs="Times New Roman"/>
          <w:sz w:val="32"/>
          <w:szCs w:val="32"/>
          <w:highlight w:val="none"/>
          <w:lang w:val="en-US" w:eastAsia="zh-CN"/>
        </w:rPr>
        <w:t>.00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98.00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103.16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CN"/>
        </w:rPr>
        <w:t>，偏差原因：</w:t>
      </w:r>
      <w:r>
        <w:rPr>
          <w:rFonts w:hint="eastAsia" w:eastAsia="仿宋_GB2312" w:cs="Times New Roman"/>
          <w:sz w:val="32"/>
          <w:szCs w:val="32"/>
          <w:highlight w:val="none"/>
          <w:lang w:eastAsia="zh-CN"/>
        </w:rPr>
        <w:t>无偏差。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此项权重分值为20分，得分为19.97分。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pStyle w:val="20"/>
        <w:spacing w:line="560" w:lineRule="exact"/>
        <w:ind w:firstLine="640"/>
        <w:rPr>
          <w:rFonts w:hint="eastAsia" w:ascii="Times New Roman" w:hAnsi="Times New Roman" w:eastAsia="方正仿宋_GBK" w:cs="Times New Roman"/>
          <w:sz w:val="32"/>
          <w:szCs w:val="32"/>
          <w:highlight w:val="yellow"/>
          <w:lang w:eastAsia="zh-CN"/>
        </w:rPr>
      </w:pPr>
      <w:r>
        <w:rPr>
          <w:rFonts w:hint="default" w:ascii="Times New Roman" w:hAnsi="Times New Roman" w:eastAsia="仿宋_GB2312" w:cs="Times New Roman"/>
          <w:color w:val="auto"/>
          <w:sz w:val="32"/>
          <w:szCs w:val="32"/>
          <w:highlight w:val="none"/>
        </w:rPr>
        <w:t>市健身中心及规划展示中心两馆租赁费</w:t>
      </w:r>
      <w:r>
        <w:rPr>
          <w:rFonts w:hint="default" w:ascii="Times New Roman" w:hAnsi="Times New Roman" w:eastAsia="方正仿宋_GBK" w:cs="Times New Roman"/>
          <w:sz w:val="32"/>
          <w:szCs w:val="32"/>
          <w:highlight w:val="none"/>
        </w:rPr>
        <w:t>项目年初预算</w:t>
      </w:r>
      <w:r>
        <w:rPr>
          <w:rFonts w:hint="eastAsia" w:eastAsia="方正仿宋_GBK" w:cs="Times New Roman"/>
          <w:sz w:val="32"/>
          <w:szCs w:val="32"/>
          <w:highlight w:val="none"/>
          <w:lang w:val="en-US" w:eastAsia="zh-CN"/>
        </w:rPr>
        <w:t>433.49</w:t>
      </w:r>
      <w:r>
        <w:rPr>
          <w:rFonts w:hint="default" w:ascii="Times New Roman" w:hAnsi="Times New Roman" w:eastAsia="方正仿宋_GBK" w:cs="Times New Roman"/>
          <w:sz w:val="32"/>
          <w:szCs w:val="32"/>
          <w:highlight w:val="none"/>
        </w:rPr>
        <w:t>万元，全年预算</w:t>
      </w:r>
      <w:r>
        <w:rPr>
          <w:rFonts w:hint="eastAsia" w:eastAsia="方正仿宋_GBK" w:cs="Times New Roman"/>
          <w:sz w:val="32"/>
          <w:szCs w:val="32"/>
          <w:highlight w:val="none"/>
          <w:lang w:val="en-US" w:eastAsia="zh-CN"/>
        </w:rPr>
        <w:t>433.49</w:t>
      </w:r>
      <w:r>
        <w:rPr>
          <w:rFonts w:hint="default" w:ascii="Times New Roman" w:hAnsi="Times New Roman" w:eastAsia="方正仿宋_GBK" w:cs="Times New Roman"/>
          <w:sz w:val="32"/>
          <w:szCs w:val="32"/>
          <w:highlight w:val="none"/>
        </w:rPr>
        <w:t>万元，实际支出</w:t>
      </w:r>
      <w:r>
        <w:rPr>
          <w:rFonts w:hint="eastAsia" w:eastAsia="方正仿宋_GBK" w:cs="Times New Roman"/>
          <w:sz w:val="32"/>
          <w:szCs w:val="32"/>
          <w:highlight w:val="none"/>
          <w:lang w:val="en-US" w:eastAsia="zh-CN"/>
        </w:rPr>
        <w:t>433.49</w:t>
      </w:r>
      <w:r>
        <w:rPr>
          <w:rFonts w:hint="default" w:ascii="Times New Roman" w:hAnsi="Times New Roman" w:eastAsia="方正仿宋_GBK" w:cs="Times New Roman"/>
          <w:sz w:val="32"/>
          <w:szCs w:val="32"/>
          <w:highlight w:val="none"/>
        </w:rPr>
        <w:t>万元，预算执行率为</w:t>
      </w:r>
      <w:r>
        <w:rPr>
          <w:rFonts w:hint="eastAsia" w:eastAsia="方正仿宋_GBK" w:cs="Times New Roman"/>
          <w:sz w:val="32"/>
          <w:szCs w:val="32"/>
          <w:highlight w:val="none"/>
          <w:lang w:val="en-US" w:eastAsia="zh-CN"/>
        </w:rPr>
        <w:t>100.00</w:t>
      </w:r>
      <w:r>
        <w:rPr>
          <w:rFonts w:hint="default" w:ascii="Times New Roman" w:hAnsi="Times New Roman" w:eastAsia="方正仿宋_GBK" w:cs="Times New Roman"/>
          <w:sz w:val="32"/>
          <w:szCs w:val="32"/>
          <w:highlight w:val="none"/>
        </w:rPr>
        <w:t>%，</w:t>
      </w:r>
      <w:commentRangeStart w:id="5"/>
      <w:r>
        <w:rPr>
          <w:rFonts w:hint="default" w:ascii="Times New Roman" w:hAnsi="Times New Roman" w:eastAsia="方正仿宋_GBK" w:cs="Times New Roman"/>
          <w:sz w:val="32"/>
          <w:szCs w:val="32"/>
          <w:highlight w:val="none"/>
        </w:rPr>
        <w:t>项目绩效指标总体完成率为</w:t>
      </w:r>
      <w:r>
        <w:rPr>
          <w:rFonts w:hint="eastAsia" w:eastAsia="方正仿宋_GBK" w:cs="Times New Roman"/>
          <w:sz w:val="32"/>
          <w:szCs w:val="32"/>
          <w:highlight w:val="none"/>
          <w:lang w:val="en-US" w:eastAsia="zh-CN"/>
        </w:rPr>
        <w:t>100.03</w:t>
      </w:r>
      <w:r>
        <w:rPr>
          <w:rFonts w:hint="default" w:ascii="Times New Roman" w:hAnsi="Times New Roman" w:eastAsia="方正仿宋_GBK" w:cs="Times New Roman"/>
          <w:sz w:val="32"/>
          <w:szCs w:val="32"/>
          <w:highlight w:val="none"/>
        </w:rPr>
        <w:t>%</w:t>
      </w:r>
      <w:commentRangeEnd w:id="5"/>
      <w:r>
        <w:rPr>
          <w:rFonts w:hint="default" w:ascii="Times New Roman" w:hAnsi="Times New Roman" w:cs="Times New Roman"/>
          <w:highlight w:val="none"/>
        </w:rPr>
        <w:commentReference w:id="5"/>
      </w:r>
      <w:r>
        <w:rPr>
          <w:rFonts w:hint="default" w:ascii="Times New Roman" w:hAnsi="Times New Roman" w:eastAsia="方正仿宋_GBK" w:cs="Times New Roman"/>
          <w:sz w:val="32"/>
          <w:szCs w:val="32"/>
          <w:highlight w:val="none"/>
        </w:rPr>
        <w:t>，</w:t>
      </w:r>
      <w:r>
        <w:rPr>
          <w:rFonts w:hint="default" w:ascii="Times New Roman" w:hAnsi="Times New Roman" w:eastAsia="方正仿宋_GBK" w:cs="Times New Roman"/>
          <w:sz w:val="32"/>
          <w:szCs w:val="32"/>
          <w:highlight w:val="none"/>
          <w:lang w:eastAsia="zh-Hans"/>
        </w:rPr>
        <w:t>总体</w:t>
      </w:r>
      <w:commentRangeStart w:id="6"/>
      <w:r>
        <w:rPr>
          <w:rFonts w:hint="default" w:ascii="Times New Roman" w:hAnsi="Times New Roman" w:eastAsia="方正仿宋_GBK" w:cs="Times New Roman"/>
          <w:sz w:val="32"/>
          <w:szCs w:val="32"/>
          <w:highlight w:val="none"/>
        </w:rPr>
        <w:t>偏差率为</w:t>
      </w:r>
      <w:r>
        <w:rPr>
          <w:rFonts w:hint="eastAsia" w:eastAsia="方正仿宋_GBK" w:cs="Times New Roman"/>
          <w:sz w:val="32"/>
          <w:szCs w:val="32"/>
          <w:highlight w:val="none"/>
          <w:lang w:val="en-US" w:eastAsia="zh-CN"/>
        </w:rPr>
        <w:t>0.03</w:t>
      </w:r>
      <w:r>
        <w:rPr>
          <w:rFonts w:hint="default" w:ascii="Times New Roman" w:hAnsi="Times New Roman" w:eastAsia="方正仿宋_GBK" w:cs="Times New Roman"/>
          <w:sz w:val="32"/>
          <w:szCs w:val="32"/>
          <w:highlight w:val="none"/>
        </w:rPr>
        <w:t>%</w:t>
      </w:r>
      <w:commentRangeEnd w:id="6"/>
      <w:r>
        <w:rPr>
          <w:rFonts w:hint="default" w:ascii="Times New Roman" w:hAnsi="Times New Roman" w:cs="Times New Roman"/>
          <w:highlight w:val="none"/>
        </w:rPr>
        <w:commentReference w:id="6"/>
      </w:r>
      <w:r>
        <w:rPr>
          <w:rFonts w:hint="eastAsia" w:ascii="Times New Roman" w:hAnsi="Times New Roman" w:cs="Times New Roman"/>
          <w:highlight w:val="none"/>
          <w:lang w:eastAsia="zh-CN"/>
        </w:rPr>
        <w:t>，</w:t>
      </w:r>
      <w:r>
        <w:rPr>
          <w:rFonts w:hint="eastAsia" w:ascii="Times New Roman" w:hAnsi="Times New Roman" w:eastAsia="方正仿宋_GBK" w:cs="Times New Roman"/>
          <w:sz w:val="32"/>
          <w:szCs w:val="32"/>
          <w:highlight w:val="none"/>
          <w:lang w:eastAsia="zh-CN"/>
        </w:rPr>
        <w:t>总体无</w:t>
      </w:r>
      <w:r>
        <w:rPr>
          <w:rFonts w:hint="default" w:ascii="Times New Roman" w:hAnsi="Times New Roman" w:eastAsia="方正仿宋_GBK" w:cs="Times New Roman"/>
          <w:sz w:val="32"/>
          <w:szCs w:val="32"/>
          <w:highlight w:val="none"/>
          <w:lang w:eastAsia="zh-Hans"/>
        </w:rPr>
        <w:t>偏差</w:t>
      </w:r>
      <w:r>
        <w:rPr>
          <w:rFonts w:hint="eastAsia" w:eastAsia="方正仿宋_GBK" w:cs="Times New Roman"/>
          <w:sz w:val="32"/>
          <w:szCs w:val="32"/>
          <w:highlight w:val="none"/>
          <w:lang w:eastAsia="zh-CN"/>
        </w:rPr>
        <w:t>。</w:t>
      </w:r>
    </w:p>
    <w:p>
      <w:pPr>
        <w:spacing w:line="560" w:lineRule="exact"/>
        <w:ind w:firstLine="640" w:firstLineChars="200"/>
        <w:rPr>
          <w:rStyle w:val="19"/>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default" w:ascii="Times New Roman" w:hAnsi="Times New Roman" w:eastAsia="楷体" w:cs="Times New Roman"/>
          <w:b/>
          <w:spacing w:val="-4"/>
          <w:sz w:val="32"/>
          <w:szCs w:val="32"/>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default" w:ascii="Times New Roman" w:hAnsi="Times New Roman" w:eastAsia="仿宋_GB2312" w:cs="Times New Roman"/>
          <w:b w:val="0"/>
          <w:bCs w:val="0"/>
          <w:kern w:val="2"/>
        </w:rPr>
      </w:pPr>
      <w:r>
        <w:rPr>
          <w:rFonts w:hint="default" w:ascii="Times New Roman" w:hAnsi="Times New Roman" w:eastAsia="仿宋_GB2312" w:cs="Times New Roman"/>
          <w:b w:val="0"/>
          <w:bCs w:val="0"/>
          <w:kern w:val="2"/>
        </w:rPr>
        <w:t>严格坚持先做事、后验收、再拨付的原则，</w:t>
      </w:r>
      <w:r>
        <w:rPr>
          <w:rFonts w:hint="eastAsia" w:ascii="Times New Roman" w:hAnsi="Times New Roman" w:eastAsia="仿宋_GB2312" w:cs="Times New Roman"/>
          <w:b w:val="0"/>
          <w:bCs w:val="0"/>
          <w:kern w:val="2"/>
          <w:lang w:eastAsia="zh-CN"/>
        </w:rPr>
        <w:t>杜绝</w:t>
      </w:r>
      <w:r>
        <w:rPr>
          <w:rFonts w:hint="default" w:ascii="Times New Roman" w:hAnsi="Times New Roman" w:eastAsia="仿宋_GB2312" w:cs="Times New Roman"/>
          <w:b w:val="0"/>
          <w:bCs w:val="0"/>
          <w:kern w:val="2"/>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2.因轮岗、调动</w:t>
      </w:r>
      <w:r>
        <w:rPr>
          <w:rFonts w:hint="eastAsia" w:ascii="Times New Roman" w:hAnsi="Times New Roman" w:eastAsia="仿宋_GB2312" w:cs="Times New Roman"/>
          <w:sz w:val="32"/>
          <w:szCs w:val="32"/>
          <w:highlight w:val="none"/>
          <w:lang w:val="en-US" w:eastAsia="zh-CN"/>
        </w:rPr>
        <w:t>等</w:t>
      </w:r>
      <w:r>
        <w:rPr>
          <w:rFonts w:hint="default" w:ascii="Times New Roman" w:hAnsi="Times New Roman" w:eastAsia="仿宋_GB2312" w:cs="Times New Roman"/>
          <w:sz w:val="32"/>
          <w:szCs w:val="32"/>
          <w:highlight w:val="none"/>
          <w:lang w:val="en-US" w:eastAsia="zh-CN"/>
        </w:rPr>
        <w:t>因素使我单位绩效工作人员流动频繁，</w:t>
      </w:r>
      <w:r>
        <w:rPr>
          <w:rFonts w:hint="eastAsia" w:ascii="Times New Roman" w:hAnsi="Times New Roman" w:eastAsia="仿宋_GB2312" w:cs="Times New Roman"/>
          <w:sz w:val="32"/>
          <w:szCs w:val="32"/>
          <w:highlight w:val="none"/>
          <w:lang w:val="en-US" w:eastAsia="zh-CN"/>
        </w:rPr>
        <w:t>造成</w:t>
      </w:r>
      <w:r>
        <w:rPr>
          <w:rFonts w:hint="default" w:ascii="Times New Roman" w:hAnsi="Times New Roman" w:eastAsia="仿宋_GB2312" w:cs="Times New Roman"/>
          <w:sz w:val="32"/>
          <w:szCs w:val="32"/>
          <w:highlight w:val="none"/>
          <w:lang w:val="en-US" w:eastAsia="zh-CN"/>
        </w:rPr>
        <w:t>工作衔接不到位的情况。</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2.专门设定对绩效工作人员定职、定岗、定责等相关制度措施，进一步提升我单位绩效管理工作业务水平，扎实做好绩效管理工作。</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pPr>
        <w:shd w:val="clear"/>
        <w:spacing w:line="600" w:lineRule="exact"/>
        <w:ind w:firstLine="640" w:firstLineChars="200"/>
        <w:outlineLvl w:val="0"/>
        <w:rPr>
          <w:rFonts w:hint="default" w:ascii="Times New Roman" w:hAnsi="Times New Roman" w:cs="Times New Roman"/>
          <w:sz w:val="22"/>
          <w:szCs w:val="28"/>
        </w:rPr>
      </w:pPr>
      <w:r>
        <w:rPr>
          <w:rFonts w:hint="default" w:ascii="Times New Roman" w:hAnsi="Times New Roman" w:eastAsia="仿宋_GB2312" w:cs="Times New Roman"/>
          <w:sz w:val="32"/>
          <w:szCs w:val="32"/>
          <w:highlight w:val="none"/>
          <w:lang w:val="en-US" w:eastAsia="zh-CN"/>
        </w:rPr>
        <w:t>4.进一步完善项目评价过程中有关数据和资料的收集、整理、审核及分析。项目启动时同步做好档案的归纳与整理，及时整理、收集、汇总，健全档案资料。项目后续管理有待进一步加强和跟踪</w:t>
      </w:r>
      <w:r>
        <w:rPr>
          <w:rFonts w:hint="default" w:ascii="Times New Roman" w:hAnsi="Times New Roman" w:eastAsia="仿宋_GB2312" w:cs="Times New Roman"/>
          <w:sz w:val="36"/>
          <w:szCs w:val="32"/>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2" w:name="page8"/>
      <w:bookmarkEnd w:id="2"/>
      <w:r>
        <w:rPr>
          <w:rFonts w:hint="default" w:ascii="Times New Roman" w:hAnsi="Times New Roman" w:eastAsia="黑体" w:cs="Times New Roman"/>
          <w:sz w:val="32"/>
          <w:szCs w:val="32"/>
        </w:rPr>
        <w:t>明的问题</w:t>
      </w:r>
    </w:p>
    <w:p>
      <w:pPr>
        <w:pStyle w:val="14"/>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pStyle w:val="14"/>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5"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0"/>
        <w:ind w:firstLine="562"/>
        <w:jc w:val="center"/>
        <w:rPr>
          <w:rFonts w:hint="eastAsia" w:ascii="仿宋_GB2312" w:hAnsi="仿宋_GB2312" w:eastAsia="仿宋_GB2312" w:cs="仿宋_GB2312"/>
          <w:sz w:val="28"/>
          <w:szCs w:val="40"/>
        </w:rPr>
      </w:pPr>
      <w:bookmarkStart w:id="3" w:name="_Toc26499_WPSOffice_Level2"/>
      <w:bookmarkStart w:id="4" w:name="_Toc30064_WPSOffice_Level1"/>
      <w:r>
        <w:rPr>
          <w:rFonts w:hint="default" w:ascii="仿宋_GB2312" w:hAnsi="仿宋_GB2312" w:eastAsia="仿宋_GB2312" w:cs="仿宋_GB2312"/>
          <w:b/>
          <w:bCs/>
          <w:sz w:val="28"/>
          <w:szCs w:val="40"/>
        </w:rPr>
        <w:t>市健身中心及规划展示中心两馆租赁费</w:t>
      </w:r>
      <w:r>
        <w:rPr>
          <w:rFonts w:hint="eastAsia" w:ascii="仿宋_GB2312" w:hAnsi="仿宋_GB2312" w:eastAsia="仿宋_GB2312" w:cs="仿宋_GB2312"/>
          <w:b/>
          <w:bCs/>
          <w:sz w:val="28"/>
          <w:szCs w:val="40"/>
          <w:lang w:eastAsia="zh-CN"/>
        </w:rPr>
        <w:t>项目</w:t>
      </w:r>
      <w:r>
        <w:rPr>
          <w:rFonts w:hint="eastAsia" w:ascii="仿宋_GB2312" w:hAnsi="仿宋_GB2312" w:eastAsia="仿宋_GB2312" w:cs="仿宋_GB2312"/>
          <w:b/>
          <w:bCs/>
          <w:sz w:val="28"/>
          <w:szCs w:val="40"/>
        </w:rPr>
        <w:t>绩效评价指标体系及综合评分表</w:t>
      </w:r>
      <w:bookmarkEnd w:id="3"/>
      <w:bookmarkEnd w:id="4"/>
    </w:p>
    <w:tbl>
      <w:tblPr>
        <w:tblStyle w:val="15"/>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eastAsia" w:eastAsia="仿宋_GB2312" w:cs="Times New Roman"/>
                <w:b/>
                <w:bCs/>
                <w:color w:val="000000"/>
                <w:kern w:val="0"/>
                <w:sz w:val="18"/>
                <w:szCs w:val="18"/>
                <w:highlight w:val="yellow"/>
                <w:lang w:val="en-US" w:eastAsia="zh-CN"/>
              </w:rPr>
              <w:t>3</w:t>
            </w:r>
            <w:r>
              <w:rPr>
                <w:rFonts w:hint="default" w:ascii="Times New Roman" w:hAnsi="Times New Roman" w:eastAsia="仿宋_GB2312" w:cs="Times New Roman"/>
                <w:b/>
                <w:bCs/>
                <w:color w:val="000000"/>
                <w:kern w:val="0"/>
                <w:sz w:val="18"/>
                <w:szCs w:val="18"/>
                <w:highlight w:val="yellow"/>
              </w:rPr>
              <w:t>x</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lang w:eastAsia="zh-CN"/>
              </w:rPr>
            </w:pPr>
            <w:r>
              <w:rPr>
                <w:rFonts w:hint="eastAsia" w:eastAsia="仿宋_GB2312" w:cs="Times New Roman"/>
                <w:b/>
                <w:bCs/>
                <w:color w:val="000000"/>
                <w:kern w:val="0"/>
                <w:sz w:val="18"/>
                <w:szCs w:val="18"/>
                <w:highlight w:val="yellow"/>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lang w:val="en-US" w:eastAsia="zh-CN"/>
              </w:rPr>
              <w:t>9.97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lang w:val="en-US" w:eastAsia="zh-CN"/>
              </w:rPr>
            </w:pPr>
            <w:r>
              <w:rPr>
                <w:rFonts w:hint="eastAsia" w:eastAsia="仿宋_GB2312" w:cs="Times New Roman"/>
                <w:b/>
                <w:bCs/>
                <w:color w:val="000000"/>
                <w:kern w:val="0"/>
                <w:sz w:val="18"/>
                <w:szCs w:val="18"/>
                <w:highlight w:val="yellow"/>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5"/>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220"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PPP项目财政支出责任-市健身中心及规划展示中心两馆租赁费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196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tabs>
                <w:tab w:val="left" w:pos="2095"/>
              </w:tabs>
              <w:jc w:val="left"/>
              <w:rPr>
                <w:rFonts w:hint="eastAsia" w:ascii="仿宋_GB2312" w:hAnsi="仿宋_GB2312" w:eastAsia="仿宋_GB2312" w:cs="仿宋_GB2312"/>
                <w:i w:val="0"/>
                <w:iCs w:val="0"/>
                <w:color w:val="000000"/>
                <w:sz w:val="18"/>
                <w:szCs w:val="18"/>
                <w:u w:val="none"/>
                <w:lang w:eastAsia="zh-CN"/>
              </w:rPr>
            </w:pPr>
            <w:r>
              <w:rPr>
                <w:rFonts w:hint="eastAsia" w:ascii="仿宋_GB2312" w:hAnsi="仿宋_GB2312" w:eastAsia="仿宋_GB2312" w:cs="仿宋_GB2312"/>
                <w:i w:val="0"/>
                <w:iCs w:val="0"/>
                <w:color w:val="000000"/>
                <w:sz w:val="18"/>
                <w:szCs w:val="18"/>
                <w:u w:val="none"/>
                <w:lang w:eastAsia="zh-CN"/>
              </w:rPr>
              <w:tab/>
            </w:r>
            <w:r>
              <w:rPr>
                <w:rFonts w:hint="eastAsia" w:ascii="仿宋_GB2312" w:hAnsi="仿宋_GB2312" w:eastAsia="仿宋_GB2312" w:cs="仿宋_GB2312"/>
                <w:i w:val="0"/>
                <w:iCs w:val="0"/>
                <w:color w:val="000000"/>
                <w:sz w:val="18"/>
                <w:szCs w:val="18"/>
                <w:u w:val="none"/>
                <w:lang w:eastAsia="zh-CN"/>
              </w:rPr>
              <w:t>库尔勒市机关事务管理局</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库尔勒市机关事务管理局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433.49</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433.49</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433.49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w:t>
            </w: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433.49</w:t>
            </w:r>
          </w:p>
        </w:tc>
        <w:tc>
          <w:tcPr>
            <w:tcW w:w="7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433.49</w:t>
            </w:r>
          </w:p>
        </w:tc>
        <w:tc>
          <w:tcPr>
            <w:tcW w:w="6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kern w:val="2"/>
                <w:sz w:val="18"/>
                <w:szCs w:val="18"/>
                <w:u w:val="none"/>
                <w:lang w:val="en-US" w:eastAsia="zh-CN" w:bidi="ar-SA"/>
              </w:rPr>
            </w:pPr>
            <w:r>
              <w:rPr>
                <w:rFonts w:hint="eastAsia" w:ascii="仿宋_GB2312" w:hAnsi="仿宋_GB2312" w:eastAsia="仿宋_GB2312" w:cs="仿宋_GB2312"/>
                <w:i w:val="0"/>
                <w:iCs w:val="0"/>
                <w:color w:val="000000"/>
                <w:sz w:val="18"/>
                <w:szCs w:val="18"/>
                <w:u w:val="none"/>
                <w:lang w:val="en-US" w:eastAsia="zh-CN"/>
              </w:rPr>
              <w:t>433.49</w:t>
            </w: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779"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82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7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0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63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5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年度总体目标</w:t>
            </w: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16"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027" w:type="pct"/>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目标1：按照库尔勒国泰国有资产投资管理有限公司与住建局签定PPP项目协议，国泰公司与机关事务管理局签订健身中心及规划展示中心房屋租赁合同，租赁2个场馆，租赁场地面积52800平方米。</w:t>
            </w:r>
          </w:p>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目标2：做好卫生保洁、维修维护、安全保卫、后勤服务等工作，完善服务设施、创造良好的办公环境，进一步提高管理水平和服务质量，为工作人员及办事群众提供优良环境。</w:t>
            </w:r>
          </w:p>
        </w:tc>
        <w:tc>
          <w:tcPr>
            <w:tcW w:w="1648"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截至2024年12月31日，全年完成租赁2个场馆，租赁场地面积52788.53平方米。做好卫生保洁、维修维护、安全保卫、后勤服务等工作，完善服务设施、创造良好的办公环境，进一步提高管理水平和服务质量，为工作人员及办事群众提供优良环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3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租赁场馆个数</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2个</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left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租赁场地总面积（平方米）</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,=52800平方米</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52800平方米</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=52788.53平方米</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99.98%</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偏差原因：在编制预算时四舍五入取整数。改进措施：提高预算的精准度。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维修验收合规率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直接赋分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经费支付及时率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6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两馆租赁平均成本</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&lt;=216.75万元/个</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计划标准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=216.75万元/个</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有效提高环境卫生质量提升率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按照正常比例赋分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=95.15%</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100.16%</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19.97</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3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5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6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工作人员及办事群众满意度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&gt;=95%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98%</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=95.09%</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20"/>
                <w:szCs w:val="20"/>
                <w:u w:val="none"/>
                <w:lang w:val="en-US" w:eastAsia="zh-CN" w:bidi="ar"/>
              </w:rPr>
              <w:t>100.09%</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3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7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6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26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99.97</w:t>
            </w:r>
          </w:p>
        </w:tc>
        <w:tc>
          <w:tcPr>
            <w:tcW w:w="454"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Qin" w:date="2025-01-17T12:47:54Z" w:initials="">
    <w:p w14:paraId="05990541">
      <w:pPr>
        <w:pStyle w:val="4"/>
      </w:pPr>
      <w:r>
        <w:rPr>
          <w:rFonts w:hint="default" w:ascii="Times New Roman" w:hAnsi="Times New Roman" w:eastAsia="仿宋_GB2312" w:cs="Times New Roman"/>
          <w:color w:val="FF0000"/>
          <w:spacing w:val="17"/>
          <w:sz w:val="32"/>
          <w:szCs w:val="32"/>
          <w:lang w:val="en-US" w:eastAsia="zh-CN"/>
        </w:rPr>
        <w:t>根据（财预〔2020〕10号）要求，产出、效益合计不得低于60分</w:t>
      </w:r>
    </w:p>
    <w:p w14:paraId="3E27405B">
      <w:pPr>
        <w:pStyle w:val="4"/>
      </w:pPr>
    </w:p>
  </w:comment>
  <w:comment w:id="1" w:author="Qin" w:date="2025-01-17T12:48:08Z" w:initials="">
    <w:p w14:paraId="46935638">
      <w:pPr>
        <w:pStyle w:val="4"/>
        <w:rPr>
          <w:rFonts w:hint="default" w:eastAsia="仿宋_GB2312"/>
          <w:lang w:val="en-US" w:eastAsia="zh-CN"/>
        </w:rPr>
      </w:pPr>
      <w:r>
        <w:rPr>
          <w:rFonts w:hint="default" w:ascii="Times New Roman" w:hAnsi="Times New Roman" w:eastAsia="仿宋_GB2312" w:cs="Times New Roman"/>
          <w:color w:val="FF0000"/>
          <w:spacing w:val="17"/>
          <w:sz w:val="32"/>
          <w:szCs w:val="32"/>
          <w:lang w:val="en-US" w:eastAsia="zh-CN"/>
        </w:rPr>
        <w:t>可</w:t>
      </w:r>
      <w:r>
        <w:rPr>
          <w:rFonts w:hint="default" w:ascii="Times New Roman" w:hAnsi="Times New Roman" w:eastAsia="仿宋_GB2312" w:cs="Times New Roman"/>
          <w:color w:val="FF0000"/>
          <w:spacing w:val="17"/>
          <w:sz w:val="32"/>
          <w:szCs w:val="32"/>
        </w:rPr>
        <w:t>根据项目情况</w:t>
      </w:r>
      <w:r>
        <w:rPr>
          <w:rFonts w:hint="eastAsia" w:eastAsia="仿宋_GB2312" w:cs="Times New Roman"/>
          <w:color w:val="FF0000"/>
          <w:spacing w:val="17"/>
          <w:sz w:val="32"/>
          <w:szCs w:val="32"/>
          <w:lang w:val="en-US" w:eastAsia="zh-CN"/>
        </w:rPr>
        <w:t>选择</w:t>
      </w:r>
      <w:r>
        <w:rPr>
          <w:rFonts w:hint="default" w:ascii="Times New Roman" w:hAnsi="Times New Roman" w:eastAsia="仿宋_GB2312" w:cs="Times New Roman"/>
          <w:color w:val="FF0000"/>
          <w:spacing w:val="17"/>
          <w:sz w:val="32"/>
          <w:szCs w:val="32"/>
        </w:rPr>
        <w:t>评价方法</w:t>
      </w:r>
      <w:r>
        <w:rPr>
          <w:rFonts w:hint="eastAsia" w:eastAsia="仿宋_GB2312" w:cs="Times New Roman"/>
          <w:color w:val="FF0000"/>
          <w:spacing w:val="17"/>
          <w:sz w:val="32"/>
          <w:szCs w:val="32"/>
          <w:lang w:eastAsia="zh-CN"/>
        </w:rPr>
        <w:t>，</w:t>
      </w:r>
      <w:r>
        <w:rPr>
          <w:rFonts w:hint="eastAsia" w:eastAsia="仿宋_GB2312" w:cs="Times New Roman"/>
          <w:color w:val="FF0000"/>
          <w:spacing w:val="17"/>
          <w:sz w:val="32"/>
          <w:szCs w:val="32"/>
          <w:lang w:val="en-US" w:eastAsia="zh-CN"/>
        </w:rPr>
        <w:t>并说明为何使用该评价方法</w:t>
      </w:r>
    </w:p>
  </w:comment>
  <w:comment w:id="2" w:author="  " w:date="2023-03-15T13:47:45Z" w:initials="">
    <w:p w14:paraId="2F6C450E">
      <w:pPr>
        <w:pStyle w:val="4"/>
      </w:pPr>
      <w:r>
        <w:rPr>
          <w:rFonts w:hint="eastAsia"/>
          <w:b/>
          <w:bCs/>
          <w:color w:val="FF0000"/>
          <w:lang w:eastAsia="zh-Hans"/>
        </w:rPr>
        <w:t>得分率</w:t>
      </w:r>
      <w:r>
        <w:rPr>
          <w:b/>
          <w:bCs/>
          <w:color w:val="FF0000"/>
          <w:lang w:eastAsia="zh-Hans"/>
        </w:rPr>
        <w:t>=</w:t>
      </w:r>
      <w:r>
        <w:rPr>
          <w:rFonts w:hint="eastAsia"/>
          <w:b/>
          <w:bCs/>
          <w:color w:val="FF0000"/>
          <w:lang w:eastAsia="zh-Hans"/>
        </w:rPr>
        <w:t>（得分</w:t>
      </w:r>
      <w:r>
        <w:rPr>
          <w:b/>
          <w:bCs/>
          <w:color w:val="FF0000"/>
          <w:lang w:eastAsia="zh-Hans"/>
        </w:rPr>
        <w:t>/</w:t>
      </w:r>
      <w:r>
        <w:rPr>
          <w:rFonts w:hint="eastAsia"/>
          <w:b/>
          <w:bCs/>
          <w:color w:val="FF0000"/>
          <w:lang w:eastAsia="zh-Hans"/>
        </w:rPr>
        <w:t>权重）</w:t>
      </w:r>
      <w:r>
        <w:rPr>
          <w:b/>
          <w:bCs/>
          <w:color w:val="FF0000"/>
          <w:lang w:eastAsia="zh-Hans"/>
        </w:rPr>
        <w:t xml:space="preserve">*100% </w:t>
      </w:r>
      <w:r>
        <w:rPr>
          <w:rFonts w:hint="eastAsia"/>
          <w:b/>
          <w:bCs/>
          <w:color w:val="FF0000"/>
          <w:lang w:eastAsia="zh-Hans"/>
        </w:rPr>
        <w:t>（与表</w:t>
      </w:r>
      <w:r>
        <w:rPr>
          <w:b/>
          <w:bCs/>
          <w:color w:val="FF0000"/>
          <w:lang w:eastAsia="zh-Hans"/>
        </w:rPr>
        <w:t xml:space="preserve">1 </w:t>
      </w:r>
      <w:r>
        <w:rPr>
          <w:rFonts w:hint="eastAsia"/>
          <w:b/>
          <w:bCs/>
          <w:color w:val="FF0000"/>
          <w:lang w:eastAsia="zh-Hans"/>
        </w:rPr>
        <w:t>综合评分表及附件</w:t>
      </w:r>
      <w:r>
        <w:rPr>
          <w:b/>
          <w:bCs/>
          <w:color w:val="FF0000"/>
          <w:lang w:eastAsia="zh-Hans"/>
        </w:rPr>
        <w:t>1</w:t>
      </w:r>
      <w:r>
        <w:rPr>
          <w:rFonts w:hint="eastAsia"/>
          <w:b/>
          <w:bCs/>
          <w:color w:val="FF0000"/>
          <w:lang w:eastAsia="zh-Hans"/>
        </w:rPr>
        <w:t>中的数据保持一致）</w:t>
      </w:r>
    </w:p>
  </w:comment>
  <w:comment w:id="3" w:author="审核人" w:date="2023-03-08T11:48:00Z" w:initials="">
    <w:p w14:paraId="4F60018F">
      <w:pPr>
        <w:pStyle w:val="4"/>
        <w:rPr>
          <w:b/>
          <w:bCs/>
          <w:color w:val="FF0000"/>
          <w:lang w:eastAsia="zh-Hans"/>
        </w:rPr>
      </w:pPr>
      <w:r>
        <w:rPr>
          <w:rFonts w:hint="eastAsia"/>
          <w:b/>
          <w:bCs/>
          <w:color w:val="FF0000"/>
          <w:lang w:eastAsia="zh-Hans"/>
        </w:rPr>
        <w:t>注意要点：</w:t>
      </w:r>
    </w:p>
    <w:p w14:paraId="20167172">
      <w:pPr>
        <w:pStyle w:val="4"/>
        <w:numPr>
          <w:ilvl w:val="0"/>
          <w:numId w:val="1"/>
        </w:numPr>
        <w:rPr>
          <w:b/>
          <w:bCs/>
          <w:color w:val="FF0000"/>
          <w:lang w:eastAsia="zh-Hans"/>
        </w:rPr>
      </w:pPr>
      <w:r>
        <w:rPr>
          <w:rFonts w:hint="eastAsia"/>
          <w:b/>
          <w:bCs/>
          <w:color w:val="FF0000"/>
          <w:lang w:eastAsia="zh-Hans"/>
        </w:rPr>
        <w:t>此部分结合此项目自评表中的各项指标进行文字化描述。</w:t>
      </w:r>
    </w:p>
    <w:p w14:paraId="633E6F4B">
      <w:pPr>
        <w:pStyle w:val="4"/>
        <w:numPr>
          <w:ilvl w:val="0"/>
          <w:numId w:val="1"/>
        </w:numPr>
        <w:rPr>
          <w:b/>
          <w:bCs/>
          <w:color w:val="FF0000"/>
          <w:lang w:eastAsia="zh-Hans"/>
        </w:rPr>
      </w:pPr>
      <w:r>
        <w:rPr>
          <w:rFonts w:hint="eastAsia"/>
          <w:b/>
          <w:bCs/>
          <w:color w:val="FF0000"/>
          <w:lang w:eastAsia="zh-Hans"/>
        </w:rPr>
        <w:t>指标未完成或者超额完成20%,（含</w:t>
      </w:r>
      <w:r>
        <w:rPr>
          <w:b/>
          <w:bCs/>
          <w:color w:val="FF0000"/>
          <w:lang w:eastAsia="zh-Hans"/>
        </w:rPr>
        <w:t>20%</w:t>
      </w:r>
      <w:r>
        <w:rPr>
          <w:rFonts w:hint="eastAsia"/>
          <w:b/>
          <w:bCs/>
          <w:color w:val="FF0000"/>
          <w:lang w:eastAsia="zh-Hans"/>
        </w:rPr>
        <w:t>）需要在相应指标后写偏差原因。</w:t>
      </w:r>
    </w:p>
  </w:comment>
  <w:comment w:id="4" w:author="  " w:date="2023-03-15T14:15:28Z" w:initials="">
    <w:p w14:paraId="58E449E3">
      <w:pPr>
        <w:pStyle w:val="4"/>
        <w:rPr>
          <w:rFonts w:hint="default" w:eastAsia="宋体"/>
          <w:lang w:val="en-US" w:eastAsia="zh-CN"/>
        </w:rPr>
      </w:pPr>
      <w:r>
        <w:rPr>
          <w:rFonts w:hint="eastAsia"/>
          <w:lang w:val="en-US" w:eastAsia="zh-CN"/>
        </w:rPr>
        <w:t>若无偏差可删除</w:t>
      </w:r>
    </w:p>
  </w:comment>
  <w:comment w:id="5" w:author="审核人" w:date="2023-03-08T12:09:00Z" w:initials="">
    <w:p w14:paraId="597E03C1">
      <w:pPr>
        <w:pStyle w:val="4"/>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6" w:author="审核人" w:date="2023-03-08T12:09:00Z" w:initials="">
    <w:p w14:paraId="79537B7C">
      <w:pPr>
        <w:pStyle w:val="4"/>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E27405B" w15:done="0"/>
  <w15:commentEx w15:paraId="46935638" w15:done="0"/>
  <w15:commentEx w15:paraId="2F6C450E" w15:done="0"/>
  <w15:commentEx w15:paraId="633E6F4B" w15:done="0"/>
  <w15:commentEx w15:paraId="58E449E3" w15:done="0"/>
  <w15:commentEx w15:paraId="597E03C1" w15:done="0"/>
  <w15:commentEx w15:paraId="79537B7C"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DFF5F47"/>
    <w:multiLevelType w:val="singleLevel"/>
    <w:tmpl w:val="FDFF5F47"/>
    <w:lvl w:ilvl="0" w:tentative="0">
      <w:start w:val="1"/>
      <w:numFmt w:val="decimal"/>
      <w:lvlText w:val="%1."/>
      <w:lvlJc w:val="left"/>
      <w:pPr>
        <w:tabs>
          <w:tab w:val="left" w:pos="312"/>
        </w:tabs>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in">
    <w15:presenceInfo w15:providerId="WPS Office" w15:userId="2084181251"/>
  </w15:person>
  <w15:person w15:author="  ">
    <w15:presenceInfo w15:providerId="WPS Office" w15:userId="3901400763"/>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FF6C4049"/>
    <w:rsid w:val="006F7242"/>
    <w:rsid w:val="007B168A"/>
    <w:rsid w:val="008B2CFE"/>
    <w:rsid w:val="00F26FF6"/>
    <w:rsid w:val="01610122"/>
    <w:rsid w:val="02510197"/>
    <w:rsid w:val="02AF5F55"/>
    <w:rsid w:val="03EC461B"/>
    <w:rsid w:val="0461077D"/>
    <w:rsid w:val="05076CED"/>
    <w:rsid w:val="07397B77"/>
    <w:rsid w:val="087F02F4"/>
    <w:rsid w:val="08B754D9"/>
    <w:rsid w:val="09550E2C"/>
    <w:rsid w:val="0A565E8D"/>
    <w:rsid w:val="0AA77C44"/>
    <w:rsid w:val="0AD007F3"/>
    <w:rsid w:val="0B9B6D5B"/>
    <w:rsid w:val="0BC34504"/>
    <w:rsid w:val="0E3C619F"/>
    <w:rsid w:val="100F38EC"/>
    <w:rsid w:val="11170296"/>
    <w:rsid w:val="114C79E3"/>
    <w:rsid w:val="12BB0170"/>
    <w:rsid w:val="12C66037"/>
    <w:rsid w:val="12CD1ABC"/>
    <w:rsid w:val="12F97D1C"/>
    <w:rsid w:val="131B288D"/>
    <w:rsid w:val="13471461"/>
    <w:rsid w:val="13B90F01"/>
    <w:rsid w:val="155E4C4D"/>
    <w:rsid w:val="16151343"/>
    <w:rsid w:val="181066D2"/>
    <w:rsid w:val="18C25CD7"/>
    <w:rsid w:val="199B1782"/>
    <w:rsid w:val="1BB00250"/>
    <w:rsid w:val="1C671E73"/>
    <w:rsid w:val="1D322C47"/>
    <w:rsid w:val="1E6A2212"/>
    <w:rsid w:val="217E4CF2"/>
    <w:rsid w:val="23616034"/>
    <w:rsid w:val="23696C97"/>
    <w:rsid w:val="24480FA2"/>
    <w:rsid w:val="25227A45"/>
    <w:rsid w:val="25DB2852"/>
    <w:rsid w:val="26AC3A6A"/>
    <w:rsid w:val="26AD1CFA"/>
    <w:rsid w:val="28340CE3"/>
    <w:rsid w:val="29406BA4"/>
    <w:rsid w:val="2B9D7E25"/>
    <w:rsid w:val="2C7C7A3B"/>
    <w:rsid w:val="2CF56AB7"/>
    <w:rsid w:val="2F364819"/>
    <w:rsid w:val="2FD63906"/>
    <w:rsid w:val="308150E4"/>
    <w:rsid w:val="31AF3160"/>
    <w:rsid w:val="339108C5"/>
    <w:rsid w:val="37215DAE"/>
    <w:rsid w:val="38CA40DD"/>
    <w:rsid w:val="39514B56"/>
    <w:rsid w:val="395F2B56"/>
    <w:rsid w:val="3A63626E"/>
    <w:rsid w:val="3BBA0580"/>
    <w:rsid w:val="3BECE841"/>
    <w:rsid w:val="3CD376F4"/>
    <w:rsid w:val="3CDE204C"/>
    <w:rsid w:val="3D363C36"/>
    <w:rsid w:val="3E8717F9"/>
    <w:rsid w:val="3E9C3F6D"/>
    <w:rsid w:val="3EDE249E"/>
    <w:rsid w:val="3FB01585"/>
    <w:rsid w:val="3FF7797D"/>
    <w:rsid w:val="45C54853"/>
    <w:rsid w:val="46055510"/>
    <w:rsid w:val="46690BD8"/>
    <w:rsid w:val="49F70BF1"/>
    <w:rsid w:val="4B4340EE"/>
    <w:rsid w:val="4B470A83"/>
    <w:rsid w:val="4CBE0A4D"/>
    <w:rsid w:val="4CFD67AD"/>
    <w:rsid w:val="4E0436FC"/>
    <w:rsid w:val="4E402425"/>
    <w:rsid w:val="4F4251F6"/>
    <w:rsid w:val="4F8355D9"/>
    <w:rsid w:val="4FF55BB1"/>
    <w:rsid w:val="5027135E"/>
    <w:rsid w:val="503D507A"/>
    <w:rsid w:val="51FA74D0"/>
    <w:rsid w:val="52AA4A52"/>
    <w:rsid w:val="54D47800"/>
    <w:rsid w:val="58452F91"/>
    <w:rsid w:val="58930471"/>
    <w:rsid w:val="58AA68D0"/>
    <w:rsid w:val="598212E4"/>
    <w:rsid w:val="59943D66"/>
    <w:rsid w:val="59E051FD"/>
    <w:rsid w:val="59E6355E"/>
    <w:rsid w:val="5A963477"/>
    <w:rsid w:val="5B821531"/>
    <w:rsid w:val="5B8E0560"/>
    <w:rsid w:val="5BE366D8"/>
    <w:rsid w:val="5BFF6039"/>
    <w:rsid w:val="5C7158C2"/>
    <w:rsid w:val="5D76A616"/>
    <w:rsid w:val="5D7F20B9"/>
    <w:rsid w:val="5DAC7D0E"/>
    <w:rsid w:val="5E98385D"/>
    <w:rsid w:val="5F98B5AF"/>
    <w:rsid w:val="5FFE8511"/>
    <w:rsid w:val="5FFEACE2"/>
    <w:rsid w:val="609D5BF6"/>
    <w:rsid w:val="61073070"/>
    <w:rsid w:val="61B9080E"/>
    <w:rsid w:val="61C50684"/>
    <w:rsid w:val="61DF3FED"/>
    <w:rsid w:val="61E83BCA"/>
    <w:rsid w:val="642B176B"/>
    <w:rsid w:val="643EE26D"/>
    <w:rsid w:val="656019A0"/>
    <w:rsid w:val="65F242EE"/>
    <w:rsid w:val="666D7E19"/>
    <w:rsid w:val="68040C78"/>
    <w:rsid w:val="68376930"/>
    <w:rsid w:val="68F91E38"/>
    <w:rsid w:val="6B3158B9"/>
    <w:rsid w:val="6BA02A3F"/>
    <w:rsid w:val="6BB702E5"/>
    <w:rsid w:val="6C1E5A53"/>
    <w:rsid w:val="6D130090"/>
    <w:rsid w:val="6DBC1232"/>
    <w:rsid w:val="6E063372"/>
    <w:rsid w:val="6F5C41AC"/>
    <w:rsid w:val="6FAF6C78"/>
    <w:rsid w:val="716167CC"/>
    <w:rsid w:val="71686F17"/>
    <w:rsid w:val="718A7AD1"/>
    <w:rsid w:val="72A44BC2"/>
    <w:rsid w:val="7317C656"/>
    <w:rsid w:val="734ED73F"/>
    <w:rsid w:val="73905F97"/>
    <w:rsid w:val="73C82B32"/>
    <w:rsid w:val="73F94DAE"/>
    <w:rsid w:val="74220495"/>
    <w:rsid w:val="747D1B6F"/>
    <w:rsid w:val="749E5641"/>
    <w:rsid w:val="76271066"/>
    <w:rsid w:val="77FD8BE9"/>
    <w:rsid w:val="78000AED"/>
    <w:rsid w:val="785F4834"/>
    <w:rsid w:val="786A7F71"/>
    <w:rsid w:val="79A9BD3F"/>
    <w:rsid w:val="79C15796"/>
    <w:rsid w:val="7B776F12"/>
    <w:rsid w:val="7B867E74"/>
    <w:rsid w:val="7BFFFDD0"/>
    <w:rsid w:val="7C336E5F"/>
    <w:rsid w:val="7C8D4919"/>
    <w:rsid w:val="7D772E1D"/>
    <w:rsid w:val="7D7A5F86"/>
    <w:rsid w:val="7E4B683A"/>
    <w:rsid w:val="7E5E656D"/>
    <w:rsid w:val="7E8F2BCB"/>
    <w:rsid w:val="7EF26771"/>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3"/>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Balloon Text"/>
    <w:basedOn w:val="1"/>
    <w:link w:val="21"/>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4"/>
    <w:next w:val="4"/>
    <w:link w:val="24"/>
    <w:qFormat/>
    <w:uiPriority w:val="0"/>
    <w:rPr>
      <w:b/>
      <w:bCs/>
    </w:rPr>
  </w:style>
  <w:style w:type="paragraph" w:styleId="13">
    <w:name w:val="Body Text First Indent"/>
    <w:basedOn w:val="5"/>
    <w:qFormat/>
    <w:uiPriority w:val="0"/>
    <w:pPr>
      <w:spacing w:after="0"/>
      <w:ind w:firstLine="200" w:firstLineChars="200"/>
    </w:pPr>
  </w:style>
  <w:style w:type="paragraph" w:styleId="14">
    <w:name w:val="Body Text First Indent 2"/>
    <w:basedOn w:val="6"/>
    <w:qFormat/>
    <w:uiPriority w:val="0"/>
    <w:pPr>
      <w:ind w:firstLine="420" w:firstLineChars="200"/>
    </w:pPr>
  </w:style>
  <w:style w:type="character" w:styleId="17">
    <w:name w:val="Strong"/>
    <w:basedOn w:val="16"/>
    <w:qFormat/>
    <w:uiPriority w:val="0"/>
    <w:rPr>
      <w:b/>
      <w:bCs/>
    </w:rPr>
  </w:style>
  <w:style w:type="character" w:styleId="18">
    <w:name w:val="annotation reference"/>
    <w:basedOn w:val="16"/>
    <w:qFormat/>
    <w:uiPriority w:val="0"/>
    <w:rPr>
      <w:sz w:val="21"/>
      <w:szCs w:val="21"/>
    </w:rPr>
  </w:style>
  <w:style w:type="character" w:customStyle="1" w:styleId="19">
    <w:name w:val="fontstyle01"/>
    <w:qFormat/>
    <w:uiPriority w:val="0"/>
    <w:rPr>
      <w:rFonts w:ascii="仿宋_GB2312" w:hAnsi="仿宋_GB2312" w:eastAsia="仿宋_GB2312" w:cs="仿宋_GB2312"/>
      <w:color w:val="000000"/>
      <w:sz w:val="32"/>
      <w:szCs w:val="32"/>
    </w:rPr>
  </w:style>
  <w:style w:type="paragraph" w:customStyle="1" w:styleId="20">
    <w:name w:val="闻政-正文段落文字"/>
    <w:basedOn w:val="1"/>
    <w:qFormat/>
    <w:uiPriority w:val="3"/>
    <w:pPr>
      <w:spacing w:line="500" w:lineRule="exact"/>
      <w:ind w:firstLine="200"/>
    </w:pPr>
    <w:rPr>
      <w:kern w:val="0"/>
      <w:szCs w:val="28"/>
    </w:rPr>
  </w:style>
  <w:style w:type="character" w:customStyle="1" w:styleId="21">
    <w:name w:val="批注框文本 字符"/>
    <w:basedOn w:val="16"/>
    <w:link w:val="7"/>
    <w:qFormat/>
    <w:uiPriority w:val="0"/>
    <w:rPr>
      <w:rFonts w:ascii="Times New Roman" w:hAnsi="Times New Roman" w:eastAsia="宋体" w:cs="Times New Roman"/>
      <w:kern w:val="2"/>
      <w:sz w:val="18"/>
      <w:szCs w:val="18"/>
    </w:rPr>
  </w:style>
  <w:style w:type="character" w:customStyle="1" w:styleId="22">
    <w:name w:val="页眉 字符"/>
    <w:basedOn w:val="16"/>
    <w:link w:val="9"/>
    <w:qFormat/>
    <w:uiPriority w:val="0"/>
    <w:rPr>
      <w:rFonts w:ascii="Times New Roman" w:hAnsi="Times New Roman" w:eastAsia="宋体" w:cs="Times New Roman"/>
      <w:kern w:val="2"/>
      <w:sz w:val="18"/>
      <w:szCs w:val="18"/>
    </w:rPr>
  </w:style>
  <w:style w:type="character" w:customStyle="1" w:styleId="23">
    <w:name w:val="批注文字 字符"/>
    <w:basedOn w:val="16"/>
    <w:link w:val="4"/>
    <w:qFormat/>
    <w:uiPriority w:val="0"/>
    <w:rPr>
      <w:rFonts w:ascii="Times New Roman" w:hAnsi="Times New Roman" w:eastAsia="宋体" w:cs="Times New Roman"/>
      <w:kern w:val="2"/>
      <w:sz w:val="21"/>
      <w:szCs w:val="24"/>
    </w:rPr>
  </w:style>
  <w:style w:type="character" w:customStyle="1" w:styleId="24">
    <w:name w:val="批注主题 字符"/>
    <w:basedOn w:val="23"/>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77</Words>
  <Characters>89</Characters>
  <Lines>58</Lines>
  <Paragraphs>16</Paragraphs>
  <TotalTime>8</TotalTime>
  <ScaleCrop>false</ScaleCrop>
  <LinksUpToDate>false</LinksUpToDate>
  <CharactersWithSpaces>89</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2025-05-06T04:04:56Z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