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atLeast"/>
        <w:jc w:val="both"/>
        <w:textAlignment w:val="auto"/>
        <w:rPr>
          <w:rFonts w:ascii="方正小标宋_GBK" w:hAnsi="华文中宋" w:eastAsia="方正小标宋_GBK" w:cs="宋体"/>
          <w:b/>
          <w:kern w:val="0"/>
          <w:sz w:val="48"/>
          <w:szCs w:val="48"/>
        </w:rPr>
      </w:pPr>
    </w:p>
    <w:p>
      <w:pPr>
        <w:keepNext w:val="0"/>
        <w:keepLines w:val="0"/>
        <w:pageBreakBefore w:val="0"/>
        <w:widowControl w:val="0"/>
        <w:kinsoku/>
        <w:wordWrap/>
        <w:overflowPunct/>
        <w:topLinePunct w:val="0"/>
        <w:autoSpaceDE/>
        <w:autoSpaceDN/>
        <w:bidi w:val="0"/>
        <w:adjustRightInd/>
        <w:spacing w:line="560" w:lineRule="atLeast"/>
        <w:jc w:val="center"/>
        <w:textAlignment w:val="auto"/>
        <w:rPr>
          <w:rFonts w:ascii="方正小标宋_GBK" w:hAnsi="华文中宋" w:eastAsia="方正小标宋_GBK" w:cs="宋体"/>
          <w:b/>
          <w:kern w:val="0"/>
          <w:sz w:val="48"/>
          <w:szCs w:val="48"/>
        </w:rPr>
      </w:pPr>
    </w:p>
    <w:p>
      <w:pPr>
        <w:keepNext w:val="0"/>
        <w:keepLines w:val="0"/>
        <w:pageBreakBefore w:val="0"/>
        <w:widowControl w:val="0"/>
        <w:kinsoku/>
        <w:wordWrap/>
        <w:overflowPunct/>
        <w:topLinePunct w:val="0"/>
        <w:autoSpaceDE/>
        <w:autoSpaceDN/>
        <w:bidi w:val="0"/>
        <w:adjustRightInd/>
        <w:spacing w:line="560" w:lineRule="atLeast"/>
        <w:jc w:val="both"/>
        <w:textAlignment w:val="auto"/>
        <w:rPr>
          <w:rFonts w:ascii="方正小标宋_GBK" w:hAnsi="华文中宋" w:eastAsia="方正小标宋_GBK" w:cs="宋体"/>
          <w:b/>
          <w:kern w:val="0"/>
          <w:sz w:val="48"/>
          <w:szCs w:val="48"/>
        </w:rPr>
      </w:pPr>
    </w:p>
    <w:p>
      <w:pPr>
        <w:keepNext w:val="0"/>
        <w:keepLines w:val="0"/>
        <w:pageBreakBefore w:val="0"/>
        <w:widowControl w:val="0"/>
        <w:kinsoku/>
        <w:wordWrap/>
        <w:overflowPunct/>
        <w:topLinePunct w:val="0"/>
        <w:autoSpaceDE/>
        <w:autoSpaceDN/>
        <w:bidi w:val="0"/>
        <w:adjustRightInd/>
        <w:spacing w:line="560" w:lineRule="atLeas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widowControl w:val="0"/>
        <w:kinsoku/>
        <w:wordWrap/>
        <w:overflowPunct/>
        <w:topLinePunct w:val="0"/>
        <w:autoSpaceDE/>
        <w:autoSpaceDN/>
        <w:bidi w:val="0"/>
        <w:adjustRightInd/>
        <w:spacing w:line="560" w:lineRule="atLeas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widowControl w:val="0"/>
        <w:kinsoku/>
        <w:wordWrap/>
        <w:overflowPunct/>
        <w:topLinePunct w:val="0"/>
        <w:autoSpaceDE/>
        <w:autoSpaceDN/>
        <w:bidi w:val="0"/>
        <w:adjustRightInd/>
        <w:spacing w:line="560" w:lineRule="atLeas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pacing w:line="560" w:lineRule="atLeast"/>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ind w:firstLine="720" w:firstLineChars="200"/>
        <w:textAlignment w:val="auto"/>
        <w:rPr>
          <w:rFonts w:hint="eastAsia"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pacing w:line="560" w:lineRule="atLeast"/>
        <w:ind w:firstLine="720" w:firstLineChars="200"/>
        <w:textAlignment w:val="auto"/>
        <w:rPr>
          <w:rFonts w:hint="eastAsia" w:hAnsi="宋体" w:eastAsia="仿宋_GB2312" w:cs="宋体"/>
          <w:kern w:val="0"/>
          <w:sz w:val="36"/>
          <w:szCs w:val="36"/>
        </w:rPr>
      </w:pPr>
      <w:r>
        <w:rPr>
          <w:rFonts w:hint="eastAsia" w:hAnsi="宋体" w:eastAsia="仿宋_GB2312" w:cs="宋体"/>
          <w:kern w:val="0"/>
          <w:sz w:val="36"/>
          <w:szCs w:val="36"/>
        </w:rPr>
        <w:t>部门单位名称（公章）：库尔勒市阿瓦提乡人民政府</w:t>
      </w:r>
    </w:p>
    <w:p>
      <w:pPr>
        <w:keepNext w:val="0"/>
        <w:keepLines w:val="0"/>
        <w:pageBreakBefore w:val="0"/>
        <w:widowControl w:val="0"/>
        <w:kinsoku/>
        <w:wordWrap/>
        <w:overflowPunct/>
        <w:topLinePunct w:val="0"/>
        <w:autoSpaceDE/>
        <w:autoSpaceDN/>
        <w:bidi w:val="0"/>
        <w:adjustRightInd/>
        <w:spacing w:line="560" w:lineRule="atLeast"/>
        <w:ind w:firstLine="720" w:firstLineChars="200"/>
        <w:textAlignment w:val="auto"/>
        <w:rPr>
          <w:rFonts w:hint="eastAsia" w:ascii="黑体" w:hAnsi="黑体" w:eastAsia="黑体" w:cs="宋体"/>
          <w:b/>
          <w:color w:val="000000" w:themeColor="text1"/>
          <w:sz w:val="32"/>
          <w:szCs w:val="32"/>
          <w:lang w:val="en-US" w:eastAsia="zh-CN" w:bidi="ar"/>
          <w14:textFill>
            <w14:solidFill>
              <w14:schemeClr w14:val="tx1"/>
            </w14:solidFill>
          </w14:textFill>
        </w:rPr>
      </w:pPr>
      <w:r>
        <w:rPr>
          <w:rFonts w:hint="eastAsia" w:hAnsi="宋体" w:eastAsia="仿宋_GB2312" w:cs="宋体"/>
          <w:kern w:val="0"/>
          <w:sz w:val="36"/>
          <w:szCs w:val="36"/>
        </w:rPr>
        <w:t>填报时间：2025年04月29日</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jc w:val="both"/>
        <w:textAlignment w:val="auto"/>
        <w:outlineLvl w:val="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pacing w:line="560" w:lineRule="atLeast"/>
        <w:jc w:val="both"/>
        <w:textAlignment w:val="auto"/>
        <w:outlineLvl w:val="1"/>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1.主要职能</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落实国家政策，严格依法行政，要紧紧围绕促进经济发展、增收农民收入，强化公共服务、着力改善民生，加强社会管理、维护农村稳定，推进基层民主、促进农村和谐四个方面全面履行职责，提高农村公共服务水平，努力做好“三农”服务工作。</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阿瓦提乡人民政府无下属预算单位，下设10个科室，分别是：库尔勒市阿瓦提乡人民政府无下属预算单位，下设了5办5中心，分别是：党政综合办公室、党建工作办公室、经济发展和财政办公室、社会事务办公室（退伍军人服务站）、综合执法办公室农业发展服务中心、公共文化服务中心、村镇建设发展中心、综合和网格化服务中心、便民服务中心。</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库尔勒市阿瓦提乡人民政府编制数126人，实有人数143人，其中在职人数113人，减少人数0人，退休人数30人，增加人数0人：离休人数0人，增加人数0人。</w:t>
      </w:r>
      <w:bookmarkStart w:id="0" w:name="_Hlk43849111"/>
      <w:bookmarkEnd w:id="0"/>
    </w:p>
    <w:p>
      <w:pPr>
        <w:keepNext w:val="0"/>
        <w:keepLines w:val="0"/>
        <w:pageBreakBefore w:val="0"/>
        <w:widowControl w:val="0"/>
        <w:kinsoku/>
        <w:wordWrap/>
        <w:overflowPunct/>
        <w:topLinePunct w:val="0"/>
        <w:autoSpaceDE/>
        <w:autoSpaceDN/>
        <w:bidi w:val="0"/>
        <w:adjustRightInd/>
        <w:spacing w:line="560" w:lineRule="atLeast"/>
        <w:jc w:val="both"/>
        <w:textAlignment w:val="auto"/>
        <w:outlineLvl w:val="1"/>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widowControl w:val="0"/>
        <w:kinsoku/>
        <w:wordWrap/>
        <w:overflowPunct/>
        <w:topLinePunct w:val="0"/>
        <w:autoSpaceDE/>
        <w:autoSpaceDN/>
        <w:bidi w:val="0"/>
        <w:adjustRightInd/>
        <w:spacing w:line="560" w:lineRule="atLeas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1.年度总体目标</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目标1：覆盖基层组织个数8个，有效解决乡镇公共服务运行经费保障，服务乡村数量不少于8个，要提升村、组党组织服务群众能力，减轻农民负担；</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2：通过村、组党组织惠民政策的实施，村、组党建服务品牌建设，村组公共事业的补助和实施等为民办实事的开展，确保为民实施件数达到10件，为民办实事工作覆盖率达到100%以上。提升村、组党组织服务群众能力；</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目标3：在乡镇开展各项教育培训活动，提高干部及群众综合素质，有效提升服务群众水平，提高职业介绍和就业指导次数不少于10次，提高就业问题；</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目标4：明显改善农村村容村貌，清洁卫生，促进农村建设，改善老百胜生产生活环境，提高人民生说水平，农牧民使用技能培训场次不少于10次；</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目标5：抓好财政收支管理及村集体经济审计工作，审计单位8个，做好编制、公开、达到预算绩效全覆盖，将绩效管理纳入编辑，执行、监督全过程，强化绩效目标管理。</w:t>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阿瓦提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我单位深入学习贯彻党的二十大精神，坚持以习近平新时代中国特色社会主义思想为指引，着力解决突出问题，深入推进干部能力建设，把坚定理想信念作为根本目标、把培育先进典型作为重要举措、把党群共建作为重要内容、把创建活动作为重要载体，开展好每月主题党日和每周政治学习。</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聚焦“两个维护”，把政治建设摆在首位、落到实处。推动各级党组织和广大党员坚决落实“两个维护”；深入学习贯彻习近平新时代中国特色社会主义思想和党的二十大精神。</w:t>
      </w:r>
      <w:r>
        <w:rPr>
          <w:rFonts w:hint="eastAsia" w:ascii="仿宋_GB2312" w:hAnsi="宋体" w:eastAsia="仿宋_GB2312"/>
          <w:bCs/>
          <w:sz w:val="32"/>
          <w:szCs w:val="32"/>
        </w:rPr>
        <w:br w:type="textWrapping"/>
      </w:r>
      <w:r>
        <w:rPr>
          <w:rFonts w:hint="eastAsia" w:ascii="仿宋_GB2312" w:hAnsi="宋体" w:eastAsia="仿宋_GB2312"/>
          <w:bCs/>
          <w:sz w:val="32"/>
          <w:szCs w:val="32"/>
        </w:rPr>
        <w:t>聚焦高素质专业化，打造忠诚干净担当的干部队伍。严格标准，坚持正确用人导向；严格教育，推进干部能力建设；严格考察，着力考准考实干部；严格考核，提升工作动能；严管与厚爱并重，激励干部新担当新作为。</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聚焦组织力提升，推进基层党组织全面进步、全面过硬。层层压实责任；全力推进抓党建促脱贫；推进“九项重点任务”落实；统筹推进城市等其他领域党建工作；全面从严加强党员教育管理。</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库尔勒市阿瓦提乡人民政府2024年通过本部门预算支出，确保了113名在职人员的工资、津贴、补贴、社保、绩效、公积金等以及30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pacing w:line="560" w:lineRule="atLeast"/>
        <w:jc w:val="both"/>
        <w:textAlignment w:val="auto"/>
        <w:outlineLvl w:val="1"/>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阿瓦提乡年初预算安排2937.07万元，其中财政拨款2937.07万元，其他资金0.00万元，主要用于基本工资、津贴补贴、奖金、机关事业单位基本养老保险缴费、职业年金缴费、职工基本医疗保险缴费、办公费、差旅费、维修（护）费、福利费、退休费，生活补助，其他个人补助支出，阿瓦提乡实施的阿瓦提乡强布勒村卫星工厂建设项目、旅游建设项目、强布勒村文化阵地建设项目、吾夏克铁热克村乡村环境综合治理示范项目、阿瓦提乡强布勒村村民能力提升综合服务中心建设项目、明坤格尔村环境综合治理项目、土壤生态修复与果蔬棉粮提质增效集成技术应用等项目、吾夏克铁热克村村级组织活动场所建设项目、2024年塔里木河干流生态综合治理项目、村级活动场所建设项目和五小场所建设项目、企业退休人员社会化管理费2023年结余资金、其克其克村为民办实事经费和纾困补贴、2024年增加科普馆维护支出项目等资金支出。</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textAlignment w:val="auto"/>
        <w:outlineLvl w:val="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二、</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pacing w:line="560" w:lineRule="atLeast"/>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（一）部门单位整体支出管理情况</w:t>
      </w:r>
    </w:p>
    <w:p>
      <w:pPr>
        <w:keepNext w:val="0"/>
        <w:keepLines w:val="0"/>
        <w:pageBreakBefore w:val="0"/>
        <w:widowControl w:val="0"/>
        <w:kinsoku/>
        <w:wordWrap/>
        <w:overflowPunct/>
        <w:topLinePunct w:val="0"/>
        <w:autoSpaceDE/>
        <w:autoSpaceDN/>
        <w:bidi w:val="0"/>
        <w:adjustRightInd/>
        <w:spacing w:line="560" w:lineRule="atLeast"/>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1.预算编制</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行政、事业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我单位已按要求在我单位库尔勒市人民政府、库尔勒市财政厅门户网站公开部门预算信息，同步公开绩效目标表；在我单位库尔勒市人民政府、库尔勒市门户网站公开部门决算信息，同步公开自评表及自评报告。</w:t>
      </w:r>
    </w:p>
    <w:p>
      <w:pPr>
        <w:keepNext w:val="0"/>
        <w:keepLines w:val="0"/>
        <w:pageBreakBefore w:val="0"/>
        <w:widowControl w:val="0"/>
        <w:kinsoku/>
        <w:wordWrap/>
        <w:overflowPunct/>
        <w:topLinePunct w:val="0"/>
        <w:autoSpaceDE/>
        <w:autoSpaceDN/>
        <w:bidi w:val="0"/>
        <w:adjustRightInd/>
        <w:spacing w:line="560" w:lineRule="atLeast"/>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（二）部门单位整体支出使用情况</w:t>
      </w:r>
    </w:p>
    <w:p>
      <w:pPr>
        <w:keepNext w:val="0"/>
        <w:keepLines w:val="0"/>
        <w:pageBreakBefore w:val="0"/>
        <w:widowControl w:val="0"/>
        <w:kinsoku/>
        <w:wordWrap/>
        <w:overflowPunct/>
        <w:topLinePunct w:val="0"/>
        <w:autoSpaceDE/>
        <w:autoSpaceDN/>
        <w:bidi w:val="0"/>
        <w:adjustRightInd/>
        <w:spacing w:line="560" w:lineRule="atLeast"/>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1.基本支出情况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2024年基本支出2059.94万元，包括工资福利支出1758.58万元，商品和服务支出144.73万元，对个人和家庭的补助156.63万元，资本性支出0万元。其中：“三公”经费支出18.92万元，比上年增加3.74万元，主要原因是公务车辆维修次数比去年增加；会议费支出0万元，比上年增加0；培训费支出0.69万元，比上年减少3.23万元，主要原因是2024年在职干部安排考察培训次数比去年减少。</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2024年专项项目支出1003.98万元，占总支出的32.77％，主要用于河北援疆资金用于支付阿瓦提乡强布勒村村民能力提升综合服务中心建设项目、强布勒村卫星工厂建设项目、新疆锦朵棉花科技发展农民专业合作社提供发展扶持项目、土壤生态修复与果蔬棉粮提质增效集成技术应用等项目、旅游建设项目、强布勒村文化阵地建设项目、吾夏克铁热克村村级组织活动场所建设项目、吾夏克铁热克村村级组织活动场所建设项目。</w:t>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年初我单位下发的17专项、17专项按照年初工作计划，对项目的工作分工、任务分配、资金落实、完成时限等提出了明确、具体的要求，以确保项目保质、保量、按时完成。截至2024年12月31日，完成专项8个，未完成专项9个。</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9"/>
        <w:rPr>
          <w:rFonts w:ascii="仿宋_GB2312" w:hAnsi="宋体" w:eastAsia="仿宋_GB2312"/>
          <w:bCs/>
          <w:sz w:val="32"/>
          <w:szCs w:val="32"/>
        </w:rPr>
      </w:pPr>
      <w:r>
        <w:rPr>
          <w:rFonts w:hint="eastAsia" w:ascii="仿宋_GB2312" w:hAnsi="宋体" w:eastAsia="仿宋_GB2312"/>
          <w:bCs/>
          <w:sz w:val="32"/>
          <w:szCs w:val="32"/>
        </w:rPr>
        <w:t>为规范专项资金使用，提高专项资金使用效益，我单位主要采取四项措施。制订专项资金管理制度；资金使用严格遵循了国家相关法律法规与财务制度，保证资金的合理使用，便于上级主管部门检查、监督，实行转款专用，不得以任何理由按部门切块或挪作</w:t>
      </w:r>
      <w:r>
        <w:rPr>
          <w:rFonts w:hint="eastAsia" w:ascii="仿宋_GB2312" w:hAnsi="宋体" w:eastAsia="仿宋_GB2312"/>
          <w:bCs/>
          <w:sz w:val="32"/>
          <w:szCs w:val="32"/>
          <w:lang w:val="en-US" w:eastAsia="zh-CN"/>
        </w:rPr>
        <w:t>他</w:t>
      </w:r>
      <w:bookmarkStart w:id="1" w:name="_GoBack"/>
      <w:bookmarkEnd w:id="1"/>
      <w:r>
        <w:rPr>
          <w:rFonts w:hint="eastAsia" w:ascii="仿宋_GB2312" w:hAnsi="宋体" w:eastAsia="仿宋_GB2312"/>
          <w:bCs/>
          <w:sz w:val="32"/>
          <w:szCs w:val="32"/>
        </w:rPr>
        <w:t>用，严格执行财务制度，各级领导及部门财务支出严格按制度办事，加强资金使用的跟踪检查和审计。</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textAlignment w:val="auto"/>
        <w:outlineLvl w:val="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三、</w:t>
      </w: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widowControl w:val="0"/>
        <w:kinsoku/>
        <w:wordWrap/>
        <w:overflowPunct/>
        <w:topLinePunct w:val="0"/>
        <w:autoSpaceDE/>
        <w:autoSpaceDN/>
        <w:bidi w:val="0"/>
        <w:adjustRightInd/>
        <w:spacing w:line="560" w:lineRule="atLeast"/>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（一）预算执行情况分析</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2024年库尔勒市阿瓦提乡总支出3063.92万元，预算执行率100%，其中一般公共服务支出2046.84万元，教育支出0.69万元，科学技术支出2.72万元，文化旅游体育与传媒支出8.96万元，社会保障和就业支出235.94万元，卫生健康支出89.23万元，节能环保支出8.49万元，城乡社区支出157.47万元，农林水支出369.43万元，住房保障支出137.52万元，国有资本经营预算支出0.026万元，其他支出6.59万元。</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2024年，库尔勒市阿瓦提乡基本支出2059.94万元，占总支出的67.23％，其中：一般公共服务支出1558.38万元，教育支出0.69万元，社会保障和就业支出235.94万元，卫生健康支出89.23万元，农林水支出33.17万元，住房保障支出137.52万元，其他支出5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2024年，库尔勒市阿瓦提乡项目支出1003.98万元，占总支出的32.77％。其中：一般公共服务支出488.46万元，科学技术支出2.72万元，文化旅游体育与传媒支出8.96万元，节能环保支出8.49万元，城乡社区支出157.47万元，农林水支出336.26万元，国有资本经营预算支出0.026万元，其他支出1.59万元。</w:t>
      </w:r>
    </w:p>
    <w:p>
      <w:pPr>
        <w:keepNext w:val="0"/>
        <w:keepLines w:val="0"/>
        <w:pageBreakBefore w:val="0"/>
        <w:widowControl w:val="0"/>
        <w:numPr>
          <w:ilvl w:val="0"/>
          <w:numId w:val="0"/>
        </w:numPr>
        <w:kinsoku/>
        <w:wordWrap/>
        <w:overflowPunct/>
        <w:topLinePunct w:val="0"/>
        <w:autoSpaceDE/>
        <w:autoSpaceDN/>
        <w:bidi w:val="0"/>
        <w:adjustRightInd/>
        <w:spacing w:line="560" w:lineRule="atLeast"/>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二</w:t>
      </w:r>
      <w:r>
        <w:rPr>
          <w:rFonts w:hint="eastAsia" w:ascii="仿宋_GB2312" w:hAnsi="宋体" w:eastAsia="仿宋_GB2312"/>
          <w:bCs/>
          <w:sz w:val="32"/>
          <w:szCs w:val="32"/>
          <w:lang w:eastAsia="zh-CN"/>
        </w:rPr>
        <w:t>）</w:t>
      </w:r>
      <w:r>
        <w:rPr>
          <w:rFonts w:hint="eastAsia" w:ascii="仿宋_GB2312" w:hAnsi="宋体" w:eastAsia="仿宋_GB2312"/>
          <w:bCs/>
          <w:sz w:val="32"/>
          <w:szCs w:val="32"/>
        </w:rPr>
        <w:t>部门单位整体支出绩效指标完成情况分析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年初我单位设置部门整体绩效目标中包括一级指标1个（履职效能）二级指标1个，三级指标4个，指标完成情况分析如下：</w:t>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指标1：覆盖基层组织个数，指标值：&gt;=8个，年中监控完成值：=8个，自评完成值：=8个，指标完成率=100%，偏差0%。指标成效分析：通过单位正常运转，提高了工作效率或改善了工作质量及服务水平。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指标2：工作队在职人数，指标值：&gt;=36人，年中监控完成值：=36人，自评完成值：=36人，指标完成率100%，偏差0%。指标成效分析：通过在职工作队队员的各项工作有效完成，提高了工作质量及服务水平。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指标3：农牧民实用技能培训场次数，指标值：&gt;=10次，年中监控完成值：=10次，自评完成值：=10次，指标完成率100%，偏差0%。指标成效分析：通过常态化开展农牧民使用技能培训，提高了农牧民的各种种植知识和增值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指标4：为民办实事件数量，指标值：&gt;=10件，年中监控完成值：=10件，自评完成值：=10件，指标完成率100%，偏差0%。指标成效分析：通过开展为民办实事工作，提高了给农牧民服务服务意识和便于农牧民办事和及时率。</w:t>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无此项指标。</w:t>
      </w:r>
    </w:p>
    <w:p>
      <w:pPr>
        <w:keepNext w:val="0"/>
        <w:keepLines w:val="0"/>
        <w:pageBreakBefore w:val="0"/>
        <w:widowControl w:val="0"/>
        <w:numPr>
          <w:ilvl w:val="0"/>
          <w:numId w:val="0"/>
        </w:numPr>
        <w:kinsoku/>
        <w:wordWrap/>
        <w:overflowPunct/>
        <w:topLinePunct w:val="0"/>
        <w:autoSpaceDE/>
        <w:autoSpaceDN/>
        <w:bidi w:val="0"/>
        <w:adjustRightInd/>
        <w:spacing w:line="560" w:lineRule="atLeast"/>
        <w:jc w:val="left"/>
        <w:textAlignment w:val="auto"/>
        <w:outlineLvl w:val="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四、</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pPr>
        <w:keepNext w:val="0"/>
        <w:keepLines w:val="0"/>
        <w:pageBreakBefore w:val="0"/>
        <w:widowControl w:val="0"/>
        <w:kinsoku/>
        <w:wordWrap/>
        <w:overflowPunct/>
        <w:topLinePunct w:val="0"/>
        <w:autoSpaceDE/>
        <w:autoSpaceDN/>
        <w:bidi w:val="0"/>
        <w:adjustRightInd/>
        <w:spacing w:line="560" w:lineRule="atLeas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2024年度部门整体支出绩效自评综合得分100分，评价结果为“优”。</w:t>
      </w: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atLeast"/>
        <w:textAlignment w:val="auto"/>
        <w:outlineLvl w:val="0"/>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ind w:firstLine="640" w:firstLineChars="200"/>
        <w:textAlignment w:val="auto"/>
        <w:outlineLvl w:val="0"/>
        <w:rPr>
          <w:rFonts w:hint="eastAsia" w:ascii="仿宋_GB2312" w:hAnsi="宋体" w:eastAsia="仿宋_GB2312"/>
          <w:bCs/>
          <w:sz w:val="32"/>
          <w:szCs w:val="32"/>
        </w:rPr>
      </w:pPr>
      <w:r>
        <w:rPr>
          <w:rFonts w:hint="eastAsia" w:ascii="仿宋_GB2312" w:hAnsi="宋体" w:eastAsia="仿宋_GB2312"/>
          <w:bCs/>
          <w:sz w:val="32"/>
          <w:szCs w:val="32"/>
        </w:rPr>
        <w:t>加强学习。进一步明确如何参照考核体系，科学合理设定绩效目标，充分发挥预算绩效管理工作效用。</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财务上，会计核算要更加详细，为本单位各项工作的开展、总结、评估提供有效数据资料支撑,为各项业务工作更好的开展提供帮助。</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ind w:firstLine="640" w:firstLineChars="200"/>
        <w:textAlignment w:val="auto"/>
        <w:outlineLvl w:val="0"/>
        <w:rPr>
          <w:rFonts w:ascii="仿宋_GB2312" w:hAnsi="宋体" w:eastAsia="仿宋_GB2312"/>
          <w:bCs/>
          <w:sz w:val="32"/>
          <w:szCs w:val="32"/>
        </w:rPr>
      </w:pPr>
      <w:r>
        <w:rPr>
          <w:rFonts w:hint="eastAsia" w:ascii="仿宋_GB2312" w:hAnsi="宋体" w:eastAsia="仿宋_GB2312"/>
          <w:bCs/>
          <w:sz w:val="32"/>
          <w:szCs w:val="32"/>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atLeast"/>
        <w:textAlignment w:val="auto"/>
        <w:outlineLvl w:val="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六、</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（1）预算绩效观念不深入。</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widowControl w:val="0"/>
        <w:kinsoku/>
        <w:wordWrap/>
        <w:overflowPunct/>
        <w:topLinePunct w:val="0"/>
        <w:autoSpaceDE/>
        <w:autoSpaceDN/>
        <w:bidi w:val="0"/>
        <w:adjustRightInd/>
        <w:spacing w:line="560" w:lineRule="atLeast"/>
        <w:textAlignment w:val="auto"/>
      </w:pPr>
    </w:p>
    <w:sectPr>
      <w:pgSz w:w="11906" w:h="16838"/>
      <w:pgMar w:top="1871"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C3F21"/>
    <w:multiLevelType w:val="singleLevel"/>
    <w:tmpl w:val="F13C3F2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80C7B75"/>
    <w:rsid w:val="0D1922F1"/>
    <w:rsid w:val="10DF6E84"/>
    <w:rsid w:val="1438599A"/>
    <w:rsid w:val="196A356F"/>
    <w:rsid w:val="200F4073"/>
    <w:rsid w:val="24B86128"/>
    <w:rsid w:val="294D4B36"/>
    <w:rsid w:val="29E02BD6"/>
    <w:rsid w:val="2A72425D"/>
    <w:rsid w:val="34202A76"/>
    <w:rsid w:val="51C70EA9"/>
    <w:rsid w:val="533E4475"/>
    <w:rsid w:val="54F842B6"/>
    <w:rsid w:val="64F5745B"/>
    <w:rsid w:val="656071F2"/>
    <w:rsid w:val="6A21172F"/>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26</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2025-09-02T05:37:50Z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