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宋体" w:eastAsia="宋体"/>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宋体" w:eastAsia="宋体"/>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宋体" w:eastAsia="宋体"/>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宋体" w:eastAsia="宋体"/>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宋体" w:eastAsia="宋体"/>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宋体" w:eastAsia="宋体"/>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宋体" w:eastAsia="宋体"/>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宋体" w:eastAsia="宋体"/>
          <w:sz w:val="44"/>
          <w:szCs w:val="44"/>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宋体" w:eastAsia="宋体"/>
          <w:sz w:val="44"/>
          <w:szCs w:val="44"/>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宋体" w:eastAsia="宋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Chars="0"/>
        <w:jc w:val="center"/>
        <w:textAlignment w:val="auto"/>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库尔勒市阿瓦提乡人民政府</w:t>
      </w:r>
    </w:p>
    <w:p>
      <w:pPr>
        <w:keepNext w:val="0"/>
        <w:keepLines w:val="0"/>
        <w:pageBreakBefore w:val="0"/>
        <w:widowControl w:val="0"/>
        <w:kinsoku/>
        <w:wordWrap/>
        <w:overflowPunct/>
        <w:topLinePunct w:val="0"/>
        <w:autoSpaceDE/>
        <w:autoSpaceDN/>
        <w:bidi w:val="0"/>
        <w:adjustRightInd/>
        <w:snapToGrid/>
        <w:spacing w:line="560" w:lineRule="exact"/>
        <w:ind w:leftChars="0"/>
        <w:jc w:val="center"/>
        <w:textAlignment w:val="auto"/>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2024年度部门决算</w:t>
      </w:r>
    </w:p>
    <w:p>
      <w:pPr>
        <w:keepNext w:val="0"/>
        <w:keepLines w:val="0"/>
        <w:pageBreakBefore w:val="0"/>
        <w:widowControl w:val="0"/>
        <w:kinsoku/>
        <w:wordWrap/>
        <w:overflowPunct/>
        <w:topLinePunct w:val="0"/>
        <w:autoSpaceDE/>
        <w:autoSpaceDN/>
        <w:bidi w:val="0"/>
        <w:adjustRightInd/>
        <w:snapToGrid/>
        <w:spacing w:line="560" w:lineRule="exact"/>
        <w:ind w:leftChars="0"/>
        <w:jc w:val="center"/>
        <w:textAlignment w:val="auto"/>
        <w:rPr>
          <w:rFonts w:ascii="方正小标宋_GBK" w:hAnsi="宋体" w:eastAsia="方正小标宋_GBK" w:cs="Times New Roman"/>
          <w:kern w:val="2"/>
          <w:sz w:val="44"/>
          <w:szCs w:val="44"/>
          <w:lang w:val="en-US" w:eastAsia="zh-CN" w:bidi="ar-SA"/>
        </w:rPr>
      </w:pPr>
      <w:r>
        <w:rPr>
          <w:rFonts w:ascii="方正小标宋_GBK" w:hAnsi="宋体" w:eastAsia="方正小标宋_GBK" w:cs="Times New Roman"/>
          <w:kern w:val="2"/>
          <w:sz w:val="44"/>
          <w:szCs w:val="44"/>
          <w:lang w:val="en-US" w:eastAsia="zh-CN" w:bidi="ar-SA"/>
        </w:rPr>
        <w:t>公开说明</w:t>
      </w:r>
    </w:p>
    <w:p>
      <w:pPr>
        <w:keepNext w:val="0"/>
        <w:keepLines w:val="0"/>
        <w:pageBreakBefore w:val="0"/>
        <w:widowControl w:val="0"/>
        <w:kinsoku/>
        <w:wordWrap/>
        <w:overflowPunct/>
        <w:topLinePunct w:val="0"/>
        <w:autoSpaceDE/>
        <w:autoSpaceDN/>
        <w:bidi w:val="0"/>
        <w:adjustRightInd/>
        <w:snapToGrid/>
        <w:spacing w:line="560" w:lineRule="exact"/>
        <w:ind w:leftChars="0"/>
        <w:textAlignment w:val="auto"/>
      </w:pPr>
      <w:r>
        <w:rPr>
          <w:b w:val="0"/>
          <w:sz w:val="0"/>
          <w:szCs w:val="0"/>
        </w:rPr>
        <w:br w:type="page"/>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center"/>
        <w:textAlignment w:val="auto"/>
        <w:rPr>
          <w:rFonts w:ascii="黑体" w:eastAsia="黑体"/>
          <w:sz w:val="32"/>
          <w:szCs w:val="32"/>
        </w:rPr>
      </w:pPr>
      <w:r>
        <w:rPr>
          <w:rFonts w:ascii="黑体" w:eastAsia="黑体"/>
          <w:b/>
          <w:sz w:val="32"/>
          <w:szCs w:val="32"/>
        </w:rPr>
        <w:t>目录</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val="0"/>
        <w:kinsoku/>
        <w:wordWrap/>
        <w:overflowPunct/>
        <w:topLinePunct w:val="0"/>
        <w:autoSpaceDE/>
        <w:autoSpaceDN/>
        <w:bidi w:val="0"/>
        <w:adjustRightInd/>
        <w:snapToGrid/>
        <w:spacing w:line="560" w:lineRule="exact"/>
        <w:ind w:leftChars="0"/>
        <w:textAlignment w:val="auto"/>
      </w:pPr>
      <w:r>
        <w:rPr>
          <w:b w:val="0"/>
          <w:sz w:val="0"/>
          <w:szCs w:val="0"/>
        </w:rPr>
        <w:br w:type="page"/>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库尔勒市阿瓦提乡党委、政府在市党委、政府领导下，负责贯彻落实新时代党的组织路线和以习近平同志为核心的党中央治疆方略、聚焦服务社会稳定和长治久安总目标，</w:t>
      </w:r>
      <w:r>
        <w:rPr>
          <w:rFonts w:hint="eastAsia" w:ascii="仿宋_GB2312" w:eastAsia="仿宋_GB2312"/>
          <w:color w:val="auto"/>
          <w:spacing w:val="0"/>
          <w:sz w:val="32"/>
          <w:szCs w:val="32"/>
          <w:highlight w:val="none"/>
          <w:lang w:eastAsia="zh-CN"/>
        </w:rPr>
        <w:t>落实国家政策，严格依法行政，发挥经济管理职能，加强政策引导，制定发展规划，服务市场主体和营造发展环境，大力促进社会事业发展，发展镇村经济、文化和社会事业，提供公共服务，维护社会稳定，构建社会主义和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1.执行本级人民代表大会的决议和上级国家行政机关的决定和命令，发布决定和命令。</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2.执行本行政区域内的经济和社会发展计划、预算，管理本行政区域内的经济、教育、科学、文化、卫生、体育事业、财政、民政、司法行政、计划生育等行政工作。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4.保护各种经济组织的合法权益。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5.保障少数民族的权利和尊重少数民族的风俗习惯。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6.办理上级人民政府交办的其他事项。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库尔勒市阿瓦提乡人民政府2024年度，实有人数127人，其中：在职人员98人，减少5人；离休人员0人，较上年无变化；退休人员29人，增加4人。</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pPr>
      <w:r>
        <w:rPr>
          <w:rFonts w:hint="eastAsia" w:ascii="仿宋_GB2312" w:eastAsia="仿宋_GB2312"/>
          <w:color w:val="auto"/>
          <w:spacing w:val="0"/>
          <w:sz w:val="32"/>
          <w:szCs w:val="32"/>
          <w:highlight w:val="none"/>
          <w:lang w:eastAsia="zh-CN"/>
        </w:rPr>
        <w:t>库尔勒市阿瓦提乡人民政府无下属预算单位，下设五办六中心</w:t>
      </w:r>
      <w:r>
        <w:rPr>
          <w:rFonts w:hint="eastAsia" w:ascii="仿宋_GB2312" w:eastAsia="仿宋_GB2312"/>
          <w:color w:val="auto"/>
          <w:spacing w:val="0"/>
          <w:sz w:val="32"/>
          <w:szCs w:val="32"/>
          <w:highlight w:val="none"/>
          <w:lang w:val="en-US" w:eastAsia="zh-CN"/>
        </w:rPr>
        <w:t>一所一站，</w:t>
      </w:r>
      <w:r>
        <w:rPr>
          <w:rFonts w:hint="eastAsia" w:ascii="仿宋_GB2312" w:eastAsia="仿宋_GB2312"/>
          <w:color w:val="auto"/>
          <w:spacing w:val="0"/>
          <w:sz w:val="32"/>
          <w:szCs w:val="32"/>
          <w:highlight w:val="none"/>
          <w:lang w:eastAsia="zh-CN"/>
        </w:rPr>
        <w:t>分别是：党政办、党建办、经济发展办、社会事务办、综合执法办、农业（畜牧业）发展服务中心，文体广电旅游服务中心、社会保障（民政）服务中心（退役军人服务站）、农村合作经济经（统计）发展中心（财政所）、村镇规划建设发展中心（生态环境工作站）、综治中心（网格化和群众服务中心）、食品药品监督管理所、人口和计划生育生殖健康服务站。</w:t>
      </w:r>
      <w:r>
        <w:rPr>
          <w:rFonts w:hint="eastAsia" w:ascii="仿宋_GB2312" w:eastAsia="仿宋_GB2312"/>
          <w:color w:val="auto"/>
          <w:spacing w:val="0"/>
          <w:sz w:val="32"/>
          <w:szCs w:val="32"/>
          <w:highlight w:val="none"/>
          <w:lang w:val="en-US" w:eastAsia="zh-CN"/>
        </w:rPr>
        <w:t>经费形式实行全额预算管理。</w:t>
      </w:r>
    </w:p>
    <w:p>
      <w:pPr>
        <w:keepNext w:val="0"/>
        <w:keepLines w:val="0"/>
        <w:pageBreakBefore w:val="0"/>
        <w:widowControl w:val="0"/>
        <w:kinsoku/>
        <w:wordWrap/>
        <w:overflowPunct/>
        <w:topLinePunct w:val="0"/>
        <w:autoSpaceDE/>
        <w:autoSpaceDN/>
        <w:bidi w:val="0"/>
        <w:adjustRightInd/>
        <w:snapToGrid/>
        <w:spacing w:line="560" w:lineRule="exact"/>
        <w:ind w:leftChars="0"/>
        <w:textAlignment w:val="auto"/>
        <w:rPr>
          <w:rFonts w:ascii="黑体" w:eastAsia="黑体"/>
          <w:b w:val="0"/>
          <w:sz w:val="32"/>
          <w:szCs w:val="32"/>
        </w:rPr>
      </w:pPr>
      <w:r>
        <w:rPr>
          <w:rFonts w:ascii="黑体" w:eastAsia="黑体"/>
          <w:b w:val="0"/>
          <w:sz w:val="32"/>
          <w:szCs w:val="32"/>
        </w:rPr>
        <w:br w:type="page"/>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center"/>
        <w:textAlignment w:val="auto"/>
        <w:outlineLvl w:val="0"/>
        <w:rPr>
          <w:rFonts w:ascii="黑体" w:eastAsia="黑体"/>
          <w:sz w:val="32"/>
          <w:szCs w:val="32"/>
        </w:rPr>
      </w:pP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2024年度收入总计3,063.92万元，其中：本年收入合计3,063.92万元，使用非财政拨款结余（含专用结余）0.00万元，年初结转和结余0.00万元。</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2024年度支出总计3,063.92万元，其中：本年支出合计3,063.92万元，结余分配0.00万元，年末结转和结余0.00万元。</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rPr>
        <w:t>收入支出总体与上年相比，减少6,521.71万元，下降68.04%，主要原因是：</w:t>
      </w:r>
      <w:r>
        <w:rPr>
          <w:rFonts w:hint="eastAsia" w:ascii="仿宋_GB2312" w:eastAsia="仿宋_GB2312"/>
          <w:b w:val="0"/>
          <w:sz w:val="32"/>
          <w:szCs w:val="32"/>
          <w:highlight w:val="none"/>
          <w:lang w:val="en-US" w:eastAsia="zh-CN"/>
        </w:rPr>
        <w:t>2023年阿瓦提乡小兰干村人居环境整治建设项目，小兰干村污水处理项目，小兰干村产品加工厂项目，小兰干村保鲜库项目，吾夏铁日克村污水处理项目，小兰干村飞线整治项目，2021年村级组织活动场所建设项目等项目完工，2024年预算未安排科普馆建设项目资金等原因，减小以上项目资金。</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本年收入3,063.92万元，其中：财政拨款收入2,600.54万元,占84.88%；上级补助收入0.00万元,占0.00%；事业收入0.00万元，占0.00%；经营收入0.00万元,占0.00%；附属单位上缴收入0.00万元，占0.00%；其他收入463.38万元，占15.12%。</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本年支出3,063.92万元，其中：基本支出2,059.94万元，占67.23%；项目支出1,003.98万元，占32.77%；上缴上级支出0.00万元，占0.00%；经营支出0.00万元，占0.00%；对附属单位补助支出0.00万元，占0.00%。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2,600.54万元，其中：年初财政拨款结转和结余0.00万元，本年财政拨款收入2,600.54万元。财政拨款支出总计2,600.54万元，其中：年末财政拨款结转和结余0.00万元，本年财政拨款支出2,600.54万元。</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rPr>
        <w:t>财政拨款收入支出总体与上年相比，减少6,506.15万元，下降71.44%，主要原因是：</w:t>
      </w:r>
      <w:r>
        <w:rPr>
          <w:rFonts w:hint="eastAsia" w:ascii="仿宋_GB2312" w:eastAsia="仿宋_GB2312"/>
          <w:b w:val="0"/>
          <w:sz w:val="32"/>
          <w:szCs w:val="32"/>
          <w:highlight w:val="none"/>
          <w:lang w:val="en-US" w:eastAsia="zh-CN"/>
        </w:rPr>
        <w:t>2023年阿瓦提乡小兰干村人居环境整治建设项目，小兰干村污水处理项目，小兰干村产品加工厂项目，小兰干村保鲜库项目，吾夏铁日克村污水处理项目，小兰干村飞线整治项目，2021年村级组织活动场所建设项目等项目完工，2024年减小以上项目资金</w:t>
      </w:r>
      <w:r>
        <w:rPr>
          <w:rFonts w:ascii="仿宋_GB2312" w:eastAsia="仿宋_GB2312"/>
          <w:b w:val="0"/>
          <w:sz w:val="32"/>
          <w:szCs w:val="32"/>
          <w:highlight w:val="none"/>
        </w:rPr>
        <w:t>。与年初预算相比，年初预算数2,937.07万元，决算数2,600.54万元，预决算差异率-11.46%，主要原因是：</w:t>
      </w:r>
      <w:r>
        <w:rPr>
          <w:rFonts w:hint="eastAsia" w:ascii="仿宋_GB2312" w:eastAsia="仿宋_GB2312"/>
          <w:b w:val="0"/>
          <w:color w:val="auto"/>
          <w:sz w:val="32"/>
          <w:szCs w:val="32"/>
          <w:highlight w:val="none"/>
          <w:lang w:val="en-US" w:eastAsia="zh-CN"/>
        </w:rPr>
        <w:t>2024年4名干部退休，一名干部调出原因年初预算安排的人员工资，社保等人员类基础减少，同时阿瓦提乡强布勒村卫星工厂建设项目，强布勒村村民能力提升综合服务中心建设项目，强布勒村文化阵地建设项目，旅游建设项目，五小场所建设项目等项目资金和人大代表联络站经费，村民小组运转经费项目未完成年初预订支付进度</w:t>
      </w:r>
      <w:r>
        <w:rPr>
          <w:rFonts w:ascii="仿宋_GB2312" w:eastAsia="仿宋_GB2312"/>
          <w:b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outlineLvl w:val="2"/>
        <w:rPr>
          <w:rFonts w:ascii="仿宋_GB2312" w:eastAsia="仿宋_GB2312"/>
          <w:sz w:val="32"/>
          <w:szCs w:val="32"/>
          <w:highlight w:val="none"/>
        </w:rPr>
      </w:pPr>
      <w:r>
        <w:rPr>
          <w:rFonts w:ascii="仿宋_GB2312" w:eastAsia="仿宋_GB2312"/>
          <w:b/>
          <w:sz w:val="32"/>
          <w:szCs w:val="32"/>
          <w:highlight w:val="none"/>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2024年度一般公共预算财政拨款支出2,434.56万元，占本年支出合计的79.46%。与上年相比，减少6,596.19万元，下降73.04%，主要原因是：</w:t>
      </w:r>
      <w:r>
        <w:rPr>
          <w:rFonts w:hint="eastAsia" w:ascii="仿宋_GB2312" w:eastAsia="仿宋_GB2312"/>
          <w:b w:val="0"/>
          <w:sz w:val="32"/>
          <w:szCs w:val="32"/>
          <w:highlight w:val="none"/>
          <w:lang w:val="en-US" w:eastAsia="zh-CN"/>
        </w:rPr>
        <w:t>2023年阿瓦提乡小兰干村人居环境整治建设项目，小兰干村污水处理项目，小兰干村产品加工厂项目，小兰干村保鲜库项目，吾夏铁日克村污水处理项目，小兰干村飞线整治项目，2021年村级组织活动场所建设项目等项目完工，2024年减小以上项目资金。同时2024年预算未安排科普馆建设项目资金</w:t>
      </w:r>
      <w:r>
        <w:rPr>
          <w:rFonts w:ascii="仿宋_GB2312" w:eastAsia="仿宋_GB2312"/>
          <w:b w:val="0"/>
          <w:sz w:val="32"/>
          <w:szCs w:val="32"/>
          <w:highlight w:val="none"/>
        </w:rPr>
        <w:t>。与年初预算相比，年初预算数2,937.07万元，决算数2,434.56万元，预决算差异率-17.11%，主要原因是：</w:t>
      </w:r>
      <w:r>
        <w:rPr>
          <w:rFonts w:hint="eastAsia" w:ascii="仿宋_GB2312" w:eastAsia="仿宋_GB2312"/>
          <w:b w:val="0"/>
          <w:color w:val="auto"/>
          <w:sz w:val="32"/>
          <w:szCs w:val="32"/>
          <w:highlight w:val="none"/>
          <w:lang w:val="en-US" w:eastAsia="zh-CN"/>
        </w:rPr>
        <w:t>2024年4名干部退休，一名干部调出原因年初预算安排的人员工资，社保等人员类基础减少，同时阿瓦提乡强布勒村卫星工厂建设项目，强布勒村村民能力提升综合服务中心建设项目，强布勒村文化阵地建设项目，旅游建设项目等项目资金和人大代表联络站经费，村民小组运转经费项目未完成年初预订支付进度</w:t>
      </w:r>
      <w:r>
        <w:rPr>
          <w:rFonts w:ascii="仿宋_GB2312" w:eastAsia="仿宋_GB2312"/>
          <w:b w:val="0"/>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一般公共服务支出（类）1,643.46万元，占67.51%。</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教育支出（类）0.69万元，占0.03%。</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科学技术支出（类）2.72万元，占0.11%。</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文化旅游体育与传媒支出（类）8.96万元，占0.37%。</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社会保障和就业支出（类）235.94万元，占9.69%。</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卫生健康支出（类）89.23万元，占3.67%。</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农林水支出（类）309.43万元，占12.71%。</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住房保障支出（类）137.52万元，占5.65%。</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其他支出（类）6.59万元，占0.27%。</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color w:val="auto"/>
          <w:sz w:val="32"/>
          <w:szCs w:val="32"/>
          <w:highlight w:val="none"/>
          <w:lang w:val="en-US" w:eastAsia="zh-CN"/>
        </w:rPr>
      </w:pPr>
      <w:r>
        <w:rPr>
          <w:rFonts w:ascii="仿宋_GB2312" w:eastAsia="仿宋_GB2312"/>
          <w:b w:val="0"/>
          <w:sz w:val="32"/>
          <w:szCs w:val="32"/>
        </w:rPr>
        <w:t>一般公共服务支出（类）人大事务（款）人大代表履职能力提升（项）：支出决算数为2.00万元，比上年决算增加2.00万元，增长100.00%，主要原因是：</w:t>
      </w:r>
      <w:r>
        <w:rPr>
          <w:rFonts w:hint="eastAsia" w:ascii="仿宋_GB2312" w:eastAsia="仿宋_GB2312"/>
          <w:b w:val="0"/>
          <w:color w:val="auto"/>
          <w:sz w:val="32"/>
          <w:szCs w:val="32"/>
          <w:highlight w:val="none"/>
          <w:lang w:val="en-US" w:eastAsia="zh-CN"/>
        </w:rPr>
        <w:t>2024年新增预算安排人大联络站建设项目资金。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一般公共服务支出（类）人大事务（款）代表工作（项）：支出决算数为4.64万元，比上年决算减少1.20万元，下降20.55%，主要原因是：</w:t>
      </w:r>
      <w:r>
        <w:rPr>
          <w:rFonts w:hint="eastAsia" w:ascii="仿宋_GB2312" w:eastAsia="仿宋_GB2312"/>
          <w:b w:val="0"/>
          <w:sz w:val="32"/>
          <w:szCs w:val="32"/>
          <w:highlight w:val="none"/>
          <w:lang w:val="en-US" w:eastAsia="zh-CN"/>
        </w:rPr>
        <w:t>2024年未完成人大代表活动经费预订支付进度。</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color w:val="auto"/>
          <w:sz w:val="32"/>
          <w:szCs w:val="32"/>
          <w:highlight w:val="none"/>
        </w:rPr>
      </w:pPr>
      <w:r>
        <w:rPr>
          <w:rFonts w:ascii="仿宋_GB2312" w:eastAsia="仿宋_GB2312"/>
          <w:b w:val="0"/>
          <w:sz w:val="32"/>
          <w:szCs w:val="32"/>
        </w:rPr>
        <w:t>一般公共服务支出（类）政府办公厅（室）及相关机构事务（款）行政运行（项）：支出决算数为1,414.88万元，比上年决算减少72.88万元，下降4.90%，主要原因是：</w:t>
      </w:r>
      <w:r>
        <w:rPr>
          <w:rFonts w:hint="eastAsia" w:ascii="仿宋_GB2312" w:eastAsia="仿宋_GB2312"/>
          <w:b w:val="0"/>
          <w:color w:val="auto"/>
          <w:sz w:val="32"/>
          <w:szCs w:val="32"/>
          <w:highlight w:val="none"/>
          <w:lang w:val="en-US" w:eastAsia="zh-CN"/>
        </w:rPr>
        <w:t>2024年4名干部退休，一名干部调出原因年初预算安排的人员工资，社保等人员类支出减少。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一般公共服务支出（类）政府办公厅（室）及相关机构事务（款）其他政府办公厅（室）及相关机构事务支出（项）：支出决算数为123.95万元，比上年决算增加52.16万元，增长72.66%，主要原因是：</w:t>
      </w:r>
      <w:r>
        <w:rPr>
          <w:rFonts w:hint="eastAsia" w:ascii="仿宋_GB2312" w:eastAsia="仿宋_GB2312"/>
          <w:b w:val="0"/>
          <w:sz w:val="32"/>
          <w:szCs w:val="32"/>
          <w:highlight w:val="none"/>
          <w:lang w:val="en-US" w:eastAsia="zh-CN"/>
        </w:rPr>
        <w:t>2024年预算安排征收经费（土地租赁金返还金）增加。</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一般公共服务支出（类）纪检监察事务（款）其他纪检监察事务支出（项）：支出决算数为5.00万</w:t>
      </w:r>
      <w:r>
        <w:rPr>
          <w:rFonts w:ascii="仿宋_GB2312" w:eastAsia="仿宋_GB2312"/>
          <w:b w:val="0"/>
          <w:sz w:val="32"/>
          <w:szCs w:val="32"/>
          <w:highlight w:val="none"/>
        </w:rPr>
        <w:t>元，比上年决算增加3.42万元，增长216.46%，主要原因是：</w:t>
      </w:r>
      <w:r>
        <w:rPr>
          <w:rFonts w:hint="eastAsia" w:ascii="仿宋_GB2312" w:eastAsia="仿宋_GB2312"/>
          <w:b w:val="0"/>
          <w:sz w:val="32"/>
          <w:szCs w:val="32"/>
          <w:highlight w:val="none"/>
          <w:lang w:val="en-US" w:eastAsia="zh-CN"/>
        </w:rPr>
        <w:t>2024年预算安排乡纪检部门装备办案费经费增加。</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一般公共服务支出（类）组织事务（款）其他组织事务支出（项）：支出决算数为92.99万元，比上年决算减少50.98万元，下降35.41%，主要原因是：</w:t>
      </w:r>
      <w:r>
        <w:rPr>
          <w:rFonts w:hint="eastAsia" w:ascii="仿宋_GB2312" w:eastAsia="仿宋_GB2312"/>
          <w:b w:val="0"/>
          <w:sz w:val="32"/>
          <w:szCs w:val="32"/>
          <w:highlight w:val="none"/>
          <w:lang w:val="en-US" w:eastAsia="zh-CN"/>
        </w:rPr>
        <w:t>2024年因部分访惠聚工作队撤回，相应的访惠聚及第一书记生活补助和工作经费减少。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一般公共服务支出（类）统战事务（款）宗教事务（项）：支出决算数为0.00万元，比上年决算减少3.00万元，下降100.00%，主要原因是：</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一般公共服务支出（类）统战事务（款）其他统战事务支出（项）：支出决算数为0.00万元，比上年决算减少16.40万元，下降100.00%，主要原因是：</w:t>
      </w:r>
      <w:r>
        <w:rPr>
          <w:rFonts w:hint="eastAsia" w:ascii="仿宋_GB2312" w:eastAsia="仿宋_GB2312"/>
          <w:b w:val="0"/>
          <w:sz w:val="32"/>
          <w:szCs w:val="32"/>
          <w:highlight w:val="none"/>
          <w:lang w:val="en-US" w:eastAsia="zh-CN"/>
        </w:rPr>
        <w:t>2024年撤销辖区寺管会工作组，寺管会人员撤回，相应寺管会工作人员生活补助及工作经费减少。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教育支出（类）进修及培训（款）培训支出（项）：支出决算数为0.69万元，比上年决算减少3.23万元，下降82.40%，主要原因是：</w:t>
      </w:r>
      <w:r>
        <w:rPr>
          <w:rFonts w:hint="eastAsia" w:ascii="仿宋_GB2312" w:eastAsia="仿宋_GB2312"/>
          <w:b w:val="0"/>
          <w:sz w:val="32"/>
          <w:szCs w:val="32"/>
          <w:highlight w:val="none"/>
          <w:lang w:val="en-US" w:eastAsia="zh-CN"/>
        </w:rPr>
        <w:t>2024年乡领导干部考察培训次数减少，需要教育培训支出减少。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科学技术支出（类）科学技术普及（款）科普活动（项）：支出决算数为2.72万元，比上年决算增加2.72万元，增长100.00%，主要原因是：</w:t>
      </w:r>
      <w:r>
        <w:rPr>
          <w:rFonts w:hint="eastAsia" w:ascii="仿宋_GB2312" w:eastAsia="仿宋_GB2312"/>
          <w:b w:val="0"/>
          <w:sz w:val="32"/>
          <w:szCs w:val="32"/>
          <w:highlight w:val="none"/>
          <w:lang w:val="en-US" w:eastAsia="zh-CN"/>
        </w:rPr>
        <w:t>2024年新增阿克艾日克村，喀拉亚尕奇村科普馆管理经费。</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文化旅游体育与传媒支出（类）文化和旅游（款）其他文化和旅游支出（项）：支出决算数为2.00万元，比上年决算减少20.53万元，下降91.12%，</w:t>
      </w:r>
      <w:r>
        <w:rPr>
          <w:rFonts w:ascii="仿宋_GB2312" w:eastAsia="仿宋_GB2312"/>
          <w:b w:val="0"/>
          <w:sz w:val="32"/>
          <w:szCs w:val="32"/>
          <w:highlight w:val="none"/>
        </w:rPr>
        <w:t>主要原因是：</w:t>
      </w:r>
      <w:r>
        <w:rPr>
          <w:rFonts w:hint="eastAsia" w:ascii="仿宋_GB2312" w:eastAsia="仿宋_GB2312"/>
          <w:b w:val="0"/>
          <w:sz w:val="32"/>
          <w:szCs w:val="32"/>
          <w:highlight w:val="none"/>
          <w:lang w:val="en-US" w:eastAsia="zh-CN"/>
        </w:rPr>
        <w:t>2024年减小预算安排小兰干村旅游发展专项资金和强布勒村文化阵地建设项目资金。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文化旅游体育与传媒支出（类）其他文化旅游体育与传媒支出（款）其他文</w:t>
      </w:r>
      <w:r>
        <w:rPr>
          <w:rFonts w:ascii="仿宋_GB2312" w:eastAsia="仿宋_GB2312"/>
          <w:b w:val="0"/>
          <w:sz w:val="32"/>
          <w:szCs w:val="32"/>
          <w:highlight w:val="none"/>
        </w:rPr>
        <w:t>化旅游体育与传媒支出（项）：支出决算数为6.96万元，比上年决算增加6.26万元，增长894.29%，主要原因是：</w:t>
      </w:r>
      <w:r>
        <w:rPr>
          <w:rFonts w:hint="eastAsia" w:ascii="仿宋_GB2312" w:eastAsia="仿宋_GB2312"/>
          <w:b w:val="0"/>
          <w:sz w:val="32"/>
          <w:szCs w:val="32"/>
          <w:highlight w:val="none"/>
          <w:lang w:val="en-US" w:eastAsia="zh-CN"/>
        </w:rPr>
        <w:t>2024年新增中央补助地方公共文化服务体系建设补助资金。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社会保障和就业支出（类）行政事业单位养老支出（款）行政单位离退休（项）：支出决算数为17.83万元，比上年决算增加4.42万元，增长32.96%，主要原因是：</w:t>
      </w:r>
      <w:r>
        <w:rPr>
          <w:rFonts w:hint="eastAsia" w:ascii="仿宋_GB2312" w:eastAsia="仿宋_GB2312"/>
          <w:b w:val="0"/>
          <w:sz w:val="32"/>
          <w:szCs w:val="32"/>
          <w:highlight w:val="none"/>
          <w:lang w:val="en-US" w:eastAsia="zh-CN"/>
        </w:rPr>
        <w:t>2024年新增4名退休干部，增加相应退休金和考核奖励金等费用。</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社会保障和就业支出（类）行政事业单位养老支出（款）机关事业单位基本养老保险缴费支出（项）：支出决算数为170.85万元，比上年决算增加39.40万元，增长29.97%，主要原因是：</w:t>
      </w:r>
      <w:r>
        <w:rPr>
          <w:rFonts w:hint="eastAsia" w:ascii="仿宋_GB2312" w:eastAsia="仿宋_GB2312"/>
          <w:b w:val="0"/>
          <w:sz w:val="32"/>
          <w:szCs w:val="32"/>
          <w:highlight w:val="none"/>
          <w:lang w:val="en-US" w:eastAsia="zh-CN"/>
        </w:rPr>
        <w:t>2024年调整养老保险缴费指数，增加了相应养老保险缴费支出。</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社会保障</w:t>
      </w:r>
      <w:r>
        <w:rPr>
          <w:rFonts w:ascii="仿宋_GB2312" w:eastAsia="仿宋_GB2312"/>
          <w:b w:val="0"/>
          <w:sz w:val="32"/>
          <w:szCs w:val="32"/>
          <w:highlight w:val="none"/>
        </w:rPr>
        <w:t>和就业支出（类）行政事业单位养老支出（款）机关事业单位职业年金缴费支出（项）：支出决算数为33.79万元，比上年决算增加2.29万元，增长7.27%，主要原因是：</w:t>
      </w:r>
      <w:r>
        <w:rPr>
          <w:rFonts w:hint="eastAsia" w:ascii="仿宋_GB2312" w:eastAsia="仿宋_GB2312"/>
          <w:b w:val="0"/>
          <w:sz w:val="32"/>
          <w:szCs w:val="32"/>
          <w:highlight w:val="none"/>
          <w:lang w:val="en-US" w:eastAsia="zh-CN"/>
        </w:rPr>
        <w:t>2024年4名在职干部退休，增加了相应职业年金。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社会保障和就业支出（类）就业补助（款）公益性岗位补贴（项）：支出决算数为0.00万元，比上年决算减少16.00万元，下降100.00%，主要原因是：</w:t>
      </w:r>
      <w:r>
        <w:rPr>
          <w:rFonts w:hint="eastAsia" w:ascii="仿宋_GB2312" w:eastAsia="仿宋_GB2312"/>
          <w:b w:val="0"/>
          <w:sz w:val="32"/>
          <w:szCs w:val="32"/>
          <w:highlight w:val="none"/>
          <w:lang w:eastAsia="zh-CN"/>
        </w:rPr>
        <w:t>按照上级部门工作安排提示</w:t>
      </w:r>
      <w:r>
        <w:rPr>
          <w:rFonts w:hint="eastAsia" w:ascii="仿宋_GB2312" w:eastAsia="仿宋_GB2312"/>
          <w:b w:val="0"/>
          <w:sz w:val="32"/>
          <w:szCs w:val="32"/>
          <w:highlight w:val="none"/>
          <w:lang w:val="en-US" w:eastAsia="zh-CN"/>
        </w:rPr>
        <w:t>2024年全面取消公益性岗位人员，减少相应公益性岗位补贴。</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社会保障和就业支出（类）其他生活救助（款）其他农村生活救助（项）：支出决算数为13.47万元，比上年决算增加13.47万元，增长100.00%，主要原因是：</w:t>
      </w:r>
      <w:r>
        <w:rPr>
          <w:rFonts w:hint="eastAsia" w:ascii="仿宋_GB2312" w:eastAsia="仿宋_GB2312"/>
          <w:b w:val="0"/>
          <w:sz w:val="32"/>
          <w:szCs w:val="32"/>
          <w:highlight w:val="none"/>
          <w:lang w:val="en-US" w:eastAsia="zh-CN"/>
        </w:rPr>
        <w:t>2024年新增城乡困难家庭冬季采暖费补助。</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卫生健康支出（类）公共卫生（款）突发公共卫生事件应急处置（项）：支出决算数为0.00万元，比上年决算减少34.83万元，下降100.</w:t>
      </w:r>
      <w:r>
        <w:rPr>
          <w:rFonts w:ascii="仿宋_GB2312" w:eastAsia="仿宋_GB2312"/>
          <w:b w:val="0"/>
          <w:sz w:val="32"/>
          <w:szCs w:val="32"/>
          <w:highlight w:val="none"/>
        </w:rPr>
        <w:t>00%，主要原因是：</w:t>
      </w:r>
      <w:r>
        <w:rPr>
          <w:rFonts w:hint="eastAsia" w:ascii="仿宋_GB2312" w:eastAsia="仿宋_GB2312"/>
          <w:b w:val="0"/>
          <w:sz w:val="32"/>
          <w:szCs w:val="32"/>
          <w:highlight w:val="none"/>
          <w:lang w:val="en-US" w:eastAsia="zh-CN"/>
        </w:rPr>
        <w:t>2024年减少隔离点误餐补助经费。</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卫生健康支出（类）行政事业单位医疗（款）行政单位医疗（项）：支出决算数为79.94万元，比上年决算增加3.40万元，增长4.44%，主要原因是：</w:t>
      </w:r>
      <w:r>
        <w:rPr>
          <w:rFonts w:hint="eastAsia" w:ascii="仿宋_GB2312" w:eastAsia="仿宋_GB2312"/>
          <w:b w:val="0"/>
          <w:sz w:val="32"/>
          <w:szCs w:val="32"/>
          <w:highlight w:val="none"/>
          <w:lang w:val="en-US" w:eastAsia="zh-CN"/>
        </w:rPr>
        <w:t>2024年调整社保缴费指数，增加相应社保缴费支出。</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卫生健康支出（类）行政事业单位医疗（款）公务员医疗补助（项）：支出决算数为9.29万元，比上年决算减少0.68万元，下降6.82%，主要原因是：</w:t>
      </w:r>
      <w:r>
        <w:rPr>
          <w:rFonts w:hint="eastAsia" w:ascii="仿宋_GB2312" w:eastAsia="仿宋_GB2312"/>
          <w:b w:val="0"/>
          <w:sz w:val="32"/>
          <w:szCs w:val="32"/>
          <w:highlight w:val="none"/>
          <w:lang w:val="en-US" w:eastAsia="zh-CN"/>
        </w:rPr>
        <w:t>2024年4名行政干部退休，减少相应行政单位公务员医疗补助。</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农林水支出（类）农业农村（款）其他农业农村支出（项）：支出决算数为14.15万元，比上年决算减少35.85万元，下降71.70%，主要原因是：</w:t>
      </w:r>
      <w:r>
        <w:rPr>
          <w:rFonts w:hint="eastAsia" w:ascii="仿宋_GB2312" w:eastAsia="仿宋_GB2312"/>
          <w:b w:val="0"/>
          <w:sz w:val="32"/>
          <w:szCs w:val="32"/>
          <w:highlight w:val="none"/>
          <w:lang w:val="en-US" w:eastAsia="zh-CN"/>
        </w:rPr>
        <w:t>2024年减少预算安排吾夏克铁热克村污水处理项目资金。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农林水支出（类）巩固脱贫攻坚成果衔接乡村振兴（款）农村基础设施建设（项）：支出决算数为0.00万元，比上年决算减少500.00万元，下降100.00%，主要原因是：</w:t>
      </w:r>
      <w:r>
        <w:rPr>
          <w:rFonts w:hint="eastAsia" w:ascii="仿宋_GB2312" w:eastAsia="仿宋_GB2312"/>
          <w:b w:val="0"/>
          <w:sz w:val="32"/>
          <w:szCs w:val="32"/>
          <w:highlight w:val="none"/>
          <w:lang w:eastAsia="zh-CN"/>
        </w:rPr>
        <w:t>因</w:t>
      </w:r>
      <w:r>
        <w:rPr>
          <w:rFonts w:hint="eastAsia" w:ascii="仿宋_GB2312" w:eastAsia="仿宋_GB2312"/>
          <w:b w:val="0"/>
          <w:sz w:val="32"/>
          <w:szCs w:val="32"/>
          <w:highlight w:val="none"/>
          <w:lang w:val="en-US" w:eastAsia="zh-CN"/>
        </w:rPr>
        <w:t>2023年阿瓦提乡小兰干村人居环境整治建设项目已完工，完成项目资金支付，2024年未安排该项目项目。</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农林水支出（类）巩固脱贫攻坚成果衔接乡村振兴（款）生产发展（项）：支出决算数为177.69万元，比上年决算减少3,719.62万元，下降95.44%，主要原因是：</w:t>
      </w:r>
      <w:r>
        <w:rPr>
          <w:rFonts w:hint="eastAsia" w:ascii="仿宋_GB2312" w:eastAsia="仿宋_GB2312"/>
          <w:b w:val="0"/>
          <w:sz w:val="32"/>
          <w:szCs w:val="32"/>
          <w:highlight w:val="none"/>
          <w:lang w:val="en-US" w:eastAsia="zh-CN"/>
        </w:rPr>
        <w:t>2023年阿瓦提乡小兰干村人居环境整治建设项目，小兰干村污水处理项目，小兰干村产品加工厂项目，小兰干村保鲜库项目，小兰干村飞线整治项目，2024年减小以上项目资金</w:t>
      </w:r>
      <w:r>
        <w:rPr>
          <w:rFonts w:ascii="仿宋_GB2312" w:eastAsia="仿宋_GB2312"/>
          <w:b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农林水支出（类）巩固脱贫攻坚成果衔接乡村振兴（款）其他巩固脱贫攻坚成果衔接乡村振兴支出（项）：支出决算数为23.45万元，比上年决算减少21.45万元，下降47.77%，主要原因是：</w:t>
      </w:r>
      <w:r>
        <w:rPr>
          <w:rFonts w:hint="eastAsia" w:ascii="仿宋_GB2312" w:eastAsia="仿宋_GB2312"/>
          <w:b w:val="0"/>
          <w:sz w:val="32"/>
          <w:szCs w:val="32"/>
          <w:highlight w:val="none"/>
          <w:lang w:val="en-US" w:eastAsia="zh-CN"/>
        </w:rPr>
        <w:t>2024年减少预算安排特设岗及乡村振兴专干补助。</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农林水支出（类）农村综合改革（款）对村民委员会和村党支部的补助（项）：支出决算数为94.14万元，比上年决算减少305.27万元，下降76.43%，主要原因是：</w:t>
      </w:r>
      <w:r>
        <w:rPr>
          <w:rFonts w:hint="eastAsia" w:ascii="仿宋_GB2312" w:eastAsia="仿宋_GB2312"/>
          <w:b w:val="0"/>
          <w:sz w:val="32"/>
          <w:szCs w:val="32"/>
          <w:highlight w:val="none"/>
          <w:lang w:val="en-US" w:eastAsia="zh-CN"/>
        </w:rPr>
        <w:t>2024年开始村干部工资和小组干部工资报酬财政《一卡通》系统统一发放，因此2024年减少农村综合改革村民委员会和村党支部的补助。</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农林水支出（类）目标价格补贴（款）棉花目标价格补贴（项）：支出决算数为0.00万元，比上年决算减少1,661.18万元，下降100.00%，主要原因是：</w:t>
      </w:r>
      <w:r>
        <w:rPr>
          <w:rFonts w:hint="eastAsia" w:ascii="仿宋_GB2312" w:eastAsia="仿宋_GB2312"/>
          <w:b w:val="0"/>
          <w:sz w:val="32"/>
          <w:szCs w:val="32"/>
          <w:highlight w:val="none"/>
          <w:lang w:val="en-US" w:eastAsia="zh-CN"/>
        </w:rPr>
        <w:t>2024年预算未安排棉花目标价格补贴。</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农林水支出（类）其他农林水支出（款）其他农林水支出（项）：支出决算数为0.00万元，比上年决算减少126.36万元，下降100.00%，主要原因是：</w:t>
      </w:r>
      <w:r>
        <w:rPr>
          <w:rFonts w:hint="eastAsia" w:ascii="仿宋_GB2312" w:eastAsia="仿宋_GB2312"/>
          <w:b w:val="0"/>
          <w:sz w:val="32"/>
          <w:szCs w:val="32"/>
          <w:highlight w:val="none"/>
          <w:lang w:val="en-US" w:eastAsia="zh-CN"/>
        </w:rPr>
        <w:t>2024年减少阿瓦提乡吾夏克铁热克村污水处理建设项目资金。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rPr>
        <w:t>住房保障支出（类）住房改革支出（款）住房公积金（项）：支出决算数为137.52万元，比上年决算增加7.92万元，增长6.11%，主</w:t>
      </w:r>
      <w:r>
        <w:rPr>
          <w:rFonts w:ascii="仿宋_GB2312" w:eastAsia="仿宋_GB2312"/>
          <w:b w:val="0"/>
          <w:sz w:val="32"/>
          <w:szCs w:val="32"/>
          <w:highlight w:val="none"/>
        </w:rPr>
        <w:t>要原因是：</w:t>
      </w:r>
      <w:r>
        <w:rPr>
          <w:rFonts w:hint="eastAsia" w:ascii="仿宋_GB2312" w:eastAsia="仿宋_GB2312"/>
          <w:b w:val="0"/>
          <w:sz w:val="32"/>
          <w:szCs w:val="32"/>
          <w:highlight w:val="none"/>
          <w:lang w:val="en-US" w:eastAsia="zh-CN"/>
        </w:rPr>
        <w:t>2024年在职人员住房公积金指数调整，增加相应在职干部住房改革支出。</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其他支出（类）其他支出（款）其他支出（项）：支出决算数为6.59万元，比上年决算减少144.19万元，下降95.63%，主要原因是：</w:t>
      </w:r>
      <w:r>
        <w:rPr>
          <w:rFonts w:hint="eastAsia" w:ascii="仿宋_GB2312" w:eastAsia="仿宋_GB2312"/>
          <w:b w:val="0"/>
          <w:sz w:val="32"/>
          <w:szCs w:val="32"/>
          <w:highlight w:val="none"/>
          <w:lang w:val="en-US" w:eastAsia="zh-CN"/>
        </w:rPr>
        <w:t>2024年减少预算安排村级组织活动场所建设项目资金。</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2,059.94万元，其中：人员经费1,915.21万元，包括：基本工资、津贴补贴、奖金、机关事业单位基本养老保险缴费、职业年金缴费、职工基本医疗保险缴费、公务员医疗补助缴费、其他社会保障缴费、住房公积金、医疗费、其他工资福利支出、退休费和生活补助。</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公用经费144.73万元，包括：办公费、印刷费、电费、邮电费、取暖费、维修（护）费、培训费、工会经费、福利费和公务用车运行维护费。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rPr>
        <w:t>2024年度政府性基金预算财政拨款收入总计165.96万元，其中：年初结转和结余0.00万元，本年收入165.96万元。政府性基金预算财政拨款支出总计165.96万元，其中：年末结转和结余0.00万元，本年支出</w:t>
      </w:r>
      <w:r>
        <w:rPr>
          <w:rFonts w:ascii="仿宋_GB2312" w:eastAsia="仿宋_GB2312"/>
          <w:b w:val="0"/>
          <w:sz w:val="32"/>
          <w:szCs w:val="32"/>
          <w:highlight w:val="none"/>
        </w:rPr>
        <w:t>165.96万元。</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政府性基金预算财政拨款收入支出总体与上年相比，增加90.09万元，增长118.74%，主要原因是：</w:t>
      </w:r>
      <w:r>
        <w:rPr>
          <w:rFonts w:hint="eastAsia" w:ascii="仿宋_GB2312" w:eastAsia="仿宋_GB2312"/>
          <w:b w:val="0"/>
          <w:sz w:val="32"/>
          <w:szCs w:val="32"/>
          <w:highlight w:val="none"/>
          <w:lang w:val="en-US" w:eastAsia="zh-CN"/>
        </w:rPr>
        <w:t>2024年预算安排塔里木河干流综合治理项目资金及喀拉亚尕奇村，吾夏克铁热克村，其盖克其克村组织活动阵地建设项目及五小场所建设项目资金</w:t>
      </w:r>
      <w:r>
        <w:rPr>
          <w:rFonts w:ascii="仿宋_GB2312" w:eastAsia="仿宋_GB2312"/>
          <w:b w:val="0"/>
          <w:sz w:val="32"/>
          <w:szCs w:val="32"/>
          <w:highlight w:val="none"/>
        </w:rPr>
        <w:t>。与年初预算相比，年初预算数0.00万元，决算数165.96万元，预决算差异率100%，主要原因是：</w:t>
      </w:r>
      <w:r>
        <w:rPr>
          <w:rFonts w:hint="eastAsia" w:ascii="仿宋_GB2312" w:eastAsia="仿宋_GB2312"/>
          <w:b w:val="0"/>
          <w:sz w:val="32"/>
          <w:szCs w:val="32"/>
          <w:highlight w:val="none"/>
          <w:lang w:val="en-US" w:eastAsia="zh-CN"/>
        </w:rPr>
        <w:t>2024年新增预算安排塔里木河干流综合治理项目资金，延续安排喀拉亚尕奇村，吾夏克铁热克村，其盖克其克村组织活动阵地建设项目及五小场所建设项目资金</w:t>
      </w:r>
      <w:r>
        <w:rPr>
          <w:rFonts w:ascii="仿宋_GB2312" w:eastAsia="仿宋_GB2312"/>
          <w:b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政府性基金预算财政拨款支出165.96万元。</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节能环保支出（类）超长期特别国债安排的支出（款）“三北”工程建设（项）：支出决算数为8.49万元，比上年决算增加8.49万元，增长100.00%，主要原因是：</w:t>
      </w:r>
      <w:r>
        <w:rPr>
          <w:rFonts w:hint="eastAsia" w:ascii="仿宋_GB2312" w:eastAsia="仿宋_GB2312"/>
          <w:b w:val="0"/>
          <w:sz w:val="32"/>
          <w:szCs w:val="32"/>
          <w:highlight w:val="none"/>
          <w:lang w:val="en-US" w:eastAsia="zh-CN"/>
        </w:rPr>
        <w:t>2024年新增预算安排塔里木河干流综合治理项目资金。</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城乡社区支出（类）国有土地使用权出让收入安排的支出（款）农村基础设施建设支出（项）：支出决算数为157.47万元，比上年决算增加99.60万元，增长172.11%，主要原因是：</w:t>
      </w:r>
      <w:r>
        <w:rPr>
          <w:rFonts w:hint="eastAsia" w:ascii="仿宋_GB2312" w:eastAsia="仿宋_GB2312"/>
          <w:b w:val="0"/>
          <w:sz w:val="32"/>
          <w:szCs w:val="32"/>
          <w:highlight w:val="none"/>
          <w:lang w:val="en-US" w:eastAsia="zh-CN"/>
        </w:rPr>
        <w:t>2024年预算延续安排喀拉亚尕奇村，吾夏克铁热克村，其盖克其克村组织活动阵地建设项目及五小场所建设项目资金</w:t>
      </w:r>
      <w:r>
        <w:rPr>
          <w:rFonts w:ascii="仿宋_GB2312" w:eastAsia="仿宋_GB2312"/>
          <w:b w:val="0"/>
          <w:sz w:val="32"/>
          <w:szCs w:val="32"/>
          <w:highlight w:val="none"/>
        </w:rPr>
        <w:t>城乡社区支出（类）国有土地使用权出让收入安排的支出（款）其他国有土地使用权出让收入安排的支出（项）：支出决算数为0.00万元，比上年决算减少18.00万元，下降100.00%，主要原因是：</w:t>
      </w:r>
      <w:r>
        <w:rPr>
          <w:rFonts w:hint="eastAsia" w:ascii="仿宋_GB2312" w:eastAsia="仿宋_GB2312"/>
          <w:b w:val="0"/>
          <w:sz w:val="32"/>
          <w:szCs w:val="32"/>
          <w:highlight w:val="none"/>
          <w:lang w:val="en-US" w:eastAsia="zh-CN"/>
        </w:rPr>
        <w:t>2024年减少春节前农民工工资支出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2024年度国有资本经营预算财政拨款收入总计0.03万元，其中：年初结转和结余0.00万元，本年收入0.03万元。国有资本经营预算财政拨款支出总计0.03万元，其中：年末结转和结余0.00万元，本年支出0.03万元。</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rPr>
        <w:t>国有资本经营预算财政拨款</w:t>
      </w:r>
      <w:r>
        <w:rPr>
          <w:rFonts w:ascii="仿宋_GB2312" w:eastAsia="仿宋_GB2312"/>
          <w:b w:val="0"/>
          <w:sz w:val="32"/>
          <w:szCs w:val="32"/>
          <w:highlight w:val="none"/>
        </w:rPr>
        <w:t>收入支出总体与上年相比，减少0.04万元，下降57.14%，主要原因是：</w:t>
      </w:r>
      <w:r>
        <w:rPr>
          <w:rFonts w:hint="eastAsia" w:ascii="仿宋_GB2312" w:eastAsia="仿宋_GB2312"/>
          <w:b w:val="0"/>
          <w:sz w:val="32"/>
          <w:szCs w:val="32"/>
          <w:highlight w:val="none"/>
          <w:lang w:val="en-US" w:eastAsia="zh-CN"/>
        </w:rPr>
        <w:t>2024年减少国有企业退休人员社会化管理补助资金</w:t>
      </w:r>
      <w:r>
        <w:rPr>
          <w:rFonts w:ascii="仿宋_GB2312" w:eastAsia="仿宋_GB2312"/>
          <w:b w:val="0"/>
          <w:sz w:val="32"/>
          <w:szCs w:val="32"/>
          <w:highlight w:val="none"/>
        </w:rPr>
        <w:t>。与年初预算相比，年初预算数0.00万元，决算数0.03万元，预决算差异率100%，主要原因是：</w:t>
      </w:r>
      <w:r>
        <w:rPr>
          <w:rFonts w:hint="eastAsia" w:ascii="仿宋_GB2312" w:eastAsia="仿宋_GB2312"/>
          <w:b w:val="0"/>
          <w:sz w:val="32"/>
          <w:szCs w:val="32"/>
          <w:highlight w:val="none"/>
          <w:lang w:val="en-US" w:eastAsia="zh-CN"/>
        </w:rPr>
        <w:t>2024年未完成国有企业退休人员社会化管理补助资金预订支付进度</w:t>
      </w:r>
      <w:r>
        <w:rPr>
          <w:rFonts w:ascii="仿宋_GB2312" w:eastAsia="仿宋_GB2312"/>
          <w:b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国有资本经营预算财政拨款支出0.03万元。</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国有资本经营预算支出（类）解决历史遗留问题及改革成本支出（款）国有企业退休人员社会化管理补助支出（项）：支出决算数为0.03万元，比上年决算减少0.04万元，下降57.14%，主要原因是：</w:t>
      </w:r>
      <w:r>
        <w:rPr>
          <w:rFonts w:hint="eastAsia" w:ascii="仿宋_GB2312" w:eastAsia="仿宋_GB2312"/>
          <w:b w:val="0"/>
          <w:sz w:val="32"/>
          <w:szCs w:val="32"/>
          <w:highlight w:val="none"/>
          <w:lang w:val="en-US" w:eastAsia="zh-CN"/>
        </w:rPr>
        <w:t>2024年未完成国有企业退休人员社会化管理补助资金未完成年初预订支付进度</w:t>
      </w:r>
      <w:r>
        <w:rPr>
          <w:rFonts w:ascii="仿宋_GB2312" w:eastAsia="仿宋_GB2312"/>
          <w:b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2024年度财政拨款“三公”经费支出18.92万元，比上年增加3.74万元，增长24.64%，主要原因是：</w:t>
      </w:r>
      <w:r>
        <w:rPr>
          <w:rFonts w:hint="eastAsia" w:ascii="仿宋_GB2312" w:eastAsia="仿宋_GB2312"/>
          <w:b w:val="0"/>
          <w:sz w:val="32"/>
          <w:szCs w:val="32"/>
          <w:highlight w:val="none"/>
          <w:lang w:val="en-US" w:eastAsia="zh-CN"/>
        </w:rPr>
        <w:t>2024年度公务车辆维修及维护经费支出增加</w:t>
      </w:r>
      <w:r>
        <w:rPr>
          <w:rFonts w:ascii="仿宋_GB2312" w:eastAsia="仿宋_GB2312"/>
          <w:b w:val="0"/>
          <w:sz w:val="32"/>
          <w:szCs w:val="32"/>
          <w:highlight w:val="none"/>
        </w:rPr>
        <w:t>。其中：因公出国（境）费支出0.00万元,占0.00%，与上年相比无变化，主要原因是：；公务用车购置及运行维护费支出18.92万元，占100.00%，比上年增加3.74万元，增长24.64%，主要原因是：</w:t>
      </w:r>
      <w:r>
        <w:rPr>
          <w:rFonts w:hint="eastAsia" w:ascii="仿宋_GB2312" w:eastAsia="仿宋_GB2312"/>
          <w:b w:val="0"/>
          <w:sz w:val="32"/>
          <w:szCs w:val="32"/>
          <w:highlight w:val="none"/>
          <w:lang w:val="en-US" w:eastAsia="zh-CN"/>
        </w:rPr>
        <w:t>2024年度公务车辆维修及维护经费支出增加</w:t>
      </w:r>
      <w:r>
        <w:rPr>
          <w:rFonts w:ascii="仿宋_GB2312" w:eastAsia="仿宋_GB2312"/>
          <w:b w:val="0"/>
          <w:sz w:val="32"/>
          <w:szCs w:val="32"/>
          <w:highlight w:val="none"/>
        </w:rPr>
        <w:t>；公务接待费支出0.00万元，占0.00%，与上年相比无变化。</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具体情况如下：</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因公出国（境）费支出0.00万元，开支内容包括。单位全年安排的因公出国（境）团组0个，因公出国（境）0人次。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highlight w:val="none"/>
        </w:rPr>
        <w:t>公务用车购置及运行维护费18.92万元，其中：公务用车购置费0.00万元，公务用车运行维护费18.92万元。公务用车运行维护费开支内容包括。公务用车购置数0辆，公</w:t>
      </w:r>
      <w:r>
        <w:rPr>
          <w:rFonts w:ascii="仿宋_GB2312" w:eastAsia="仿宋_GB2312"/>
          <w:b w:val="0"/>
          <w:sz w:val="32"/>
          <w:szCs w:val="32"/>
        </w:rPr>
        <w:t>务用车保有量10辆。国有资产占用情况中固定资产车辆10辆，与公务用车保有量</w:t>
      </w:r>
      <w:r>
        <w:rPr>
          <w:rFonts w:hint="eastAsia" w:ascii="仿宋_GB2312" w:eastAsia="仿宋_GB2312"/>
          <w:b w:val="0"/>
          <w:sz w:val="32"/>
          <w:szCs w:val="32"/>
          <w:lang w:eastAsia="zh-CN"/>
        </w:rPr>
        <w:t>无</w:t>
      </w:r>
      <w:r>
        <w:rPr>
          <w:rFonts w:ascii="仿宋_GB2312" w:eastAsia="仿宋_GB2312"/>
          <w:b w:val="0"/>
          <w:sz w:val="32"/>
          <w:szCs w:val="32"/>
        </w:rPr>
        <w:t>差异。</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18.92万元，决算数18.92万元，预决算差异率0.00%，其中：因公出国（境）费全年预算数0.00万元，决算数0.00万元，预决算差异率0.00%，公务用车购置费全年预算数0.00万元，决算数0.00万元，预决算差异率0.00%，公务用车运行维护费全年预算数18.92万元，决算数18.92万元，预决算差异率0.00%，公务接待费全年预算数0.00万元，决算数0.00万元，预决算差异率0.00%。</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highlight w:val="none"/>
        </w:rPr>
      </w:pPr>
      <w:r>
        <w:rPr>
          <w:rFonts w:ascii="仿宋_GB2312" w:eastAsia="仿宋_GB2312"/>
          <w:b w:val="0"/>
          <w:sz w:val="32"/>
          <w:szCs w:val="32"/>
        </w:rPr>
        <w:t>2024年度库尔</w:t>
      </w:r>
      <w:r>
        <w:rPr>
          <w:rFonts w:ascii="仿宋_GB2312" w:eastAsia="仿宋_GB2312"/>
          <w:b w:val="0"/>
          <w:sz w:val="32"/>
          <w:szCs w:val="32"/>
          <w:highlight w:val="none"/>
        </w:rPr>
        <w:t>勒市阿瓦提乡人民政府单位机关运行经费支出144.73万元，比上年减少59.70万元，下降29.20%，主要原因是：</w:t>
      </w:r>
      <w:r>
        <w:rPr>
          <w:rFonts w:hint="eastAsia" w:ascii="仿宋_GB2312" w:eastAsia="仿宋_GB2312"/>
          <w:b w:val="0"/>
          <w:sz w:val="32"/>
          <w:szCs w:val="32"/>
          <w:highlight w:val="none"/>
          <w:lang w:val="en-US" w:eastAsia="zh-CN"/>
        </w:rPr>
        <w:t>2024年阿瓦提乡培训费，人大代表活动经费，第一数据为民办实事经费，福利费，水费和部分办公经费未完成年初预订支付进度</w:t>
      </w:r>
      <w:r>
        <w:rPr>
          <w:rFonts w:ascii="仿宋_GB2312" w:eastAsia="仿宋_GB2312"/>
          <w:b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outlineLvl w:val="2"/>
        <w:rPr>
          <w:rFonts w:ascii="仿宋_GB2312" w:eastAsia="仿宋_GB2312"/>
          <w:sz w:val="32"/>
          <w:szCs w:val="32"/>
          <w:highlight w:val="none"/>
        </w:rPr>
      </w:pPr>
      <w:r>
        <w:rPr>
          <w:rFonts w:ascii="仿宋_GB2312" w:eastAsia="仿宋_GB2312"/>
          <w:b/>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2024年度政府采购支出总额57.15万元，其中：政府采购货物支出5.70万元、政府采购工程支出0.00万元、政府采购服务支出51.45万元。</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授予中小企业合同金额57.15万元，占政府采购支出总额的100.00%，其中：授予小微企业合同金额57.15万元，占政府采购支出总额的100.00%。</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6,692.07平方米，价值852.27万元。车辆10辆，价值90.44万元，其中：副部（省）级及以上领导用车0辆、主要负责人用车1辆、机要通信用车0辆、应急保障用车0辆、执法执勤用车3辆、特种专业技术用车0辆、离退休干部服务用车0辆、其他用车6辆，其他用车主要是</w:t>
      </w:r>
      <w:r>
        <w:rPr>
          <w:rFonts w:hint="eastAsia" w:ascii="仿宋_GB2312" w:eastAsia="仿宋_GB2312"/>
          <w:b w:val="0"/>
          <w:sz w:val="32"/>
          <w:szCs w:val="32"/>
          <w:lang w:eastAsia="zh-CN"/>
        </w:rPr>
        <w:t>：</w:t>
      </w:r>
      <w:r>
        <w:rPr>
          <w:rFonts w:ascii="仿宋_GB2312" w:eastAsia="仿宋_GB2312"/>
          <w:b w:val="0"/>
          <w:sz w:val="32"/>
          <w:szCs w:val="32"/>
        </w:rPr>
        <w:t>单价100万元（含）以上设备（不含车辆）1台（套）。</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根据预算绩效管理要求，我部门202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ascii="仿宋_GB2312" w:eastAsia="仿宋_GB2312"/>
          <w:b w:val="0"/>
          <w:sz w:val="32"/>
          <w:szCs w:val="32"/>
        </w:rPr>
        <w:t>3,063.92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ascii="仿宋_GB2312" w:eastAsia="仿宋_GB2312"/>
          <w:b w:val="0"/>
          <w:sz w:val="32"/>
          <w:szCs w:val="32"/>
        </w:rPr>
        <w:t>3,063.92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eastAsia="仿宋_GB2312"/>
          <w:b w:val="0"/>
          <w:sz w:val="32"/>
          <w:szCs w:val="32"/>
          <w:lang w:val="en-US" w:eastAsia="zh-CN"/>
        </w:rPr>
        <w:t>358.01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eastAsia="仿宋_GB2312"/>
          <w:b w:val="0"/>
          <w:sz w:val="32"/>
          <w:szCs w:val="32"/>
          <w:lang w:val="en-US" w:eastAsia="zh-CN"/>
        </w:rPr>
        <w:t>354.02</w:t>
      </w:r>
      <w:bookmarkStart w:id="16" w:name="_GoBack"/>
      <w:bookmarkEnd w:id="16"/>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rPr>
        <w:t>一是客观资料采集和预测。绩效监控工作组每年于监控节点前10日对资料进行客观、全面地收集，从而真实、准确地反映项目执行的实际情况和取得的结果,对可能达到的结果和完成目标进行科学、合理的预测分析。通过实地调研，开展基础数据收集和社会调查工作，围绕指标展开，确保调研的有效性和数据的真实性。实地调研主要是将项目的资金流和业务流梳理清楚,首先是对资金的收支进行梳理,包括资金来源、预算安排、实际到位和实际使用资金量、资金使用明细等内容。其次是对业务流的梳理。业务流的梳理主要体现在对每一个指标的实际值进行收集,确认好每一个指标对应的实际值之后,将实际值与目标值进行比较,反映跟踪阶段资金管理情况、管项目执行与计划完成的偏差情况、项目效果与预期偏差情况等。二是分析实施偏差和项目完成可能性从经费保障、制度保障、人员保障、硬件条件保障及其他方面进行偏差原因分析，找出实际的、根本的原因。在此基础上,根据前期的实施情况,结合后期的实施计划,对完成可能性进行分析。三是形成绩效跟踪监控报告为了让财政部门、主管部门和实施单位对绩效跟踪的结果有更全面的了解,我单位通过报告的形式形成绩效跟踪评价的结论。每年两份报告，分别为6月监控报告和年底监控报告。四是结果应用绩效监控能够使财政部门和预算单位动态地了解项目进展，及时掌握项目实施过程与项目目标之间的偏差。对于经各方确认的监控意见或建议,我单位会及时汇报财政部门，协同敦促实施单位抓紧落实整改的措施和时间表;对于偏差较大、项目明显偏离计划轨道的，按照预算管理的相关规定进入预算调整程序。</w:t>
      </w:r>
      <w:r>
        <w:rPr>
          <w:rFonts w:hint="eastAsia" w:ascii="仿宋_GB2312" w:eastAsia="仿宋_GB2312"/>
          <w:color w:val="auto"/>
          <w:sz w:val="32"/>
          <w:szCs w:val="32"/>
          <w:highlight w:val="none"/>
          <w:lang w:eastAsia="zh-CN"/>
        </w:rPr>
        <w:t>发现的问题及原因：</w:t>
      </w:r>
      <w:r>
        <w:rPr>
          <w:rFonts w:hint="eastAsia" w:ascii="仿宋_GB2312" w:hAnsi="宋体"/>
          <w:sz w:val="28"/>
          <w:szCs w:val="28"/>
        </w:rPr>
        <w:t>一</w:t>
      </w:r>
      <w:r>
        <w:rPr>
          <w:rFonts w:hint="eastAsia" w:ascii="仿宋_GB2312" w:eastAsia="仿宋_GB2312"/>
          <w:sz w:val="32"/>
          <w:szCs w:val="32"/>
        </w:rPr>
        <w:t>是管理中我单位存在公用经费资金紧缺的问题，原因为我单位有分校，人员和物资都需要分地安排，因此导致经费短缺的情况。二是实际实施项目时，往往会由于一些客观因素，如拨款时间、相关政府部门的审批环节，其它条件限制等等，导致项目不能按时完成</w:t>
      </w:r>
      <w:r>
        <w:rPr>
          <w:rFonts w:hint="eastAsia" w:ascii="仿宋_GB2312" w:eastAsia="仿宋_GB2312"/>
          <w:color w:val="auto"/>
          <w:sz w:val="32"/>
          <w:szCs w:val="32"/>
          <w:highlight w:val="none"/>
          <w:lang w:eastAsia="zh-CN"/>
        </w:rPr>
        <w:t>。</w:t>
      </w:r>
      <w:r>
        <w:rPr>
          <w:rFonts w:hint="eastAsia" w:ascii="仿宋_GB2312" w:eastAsia="仿宋_GB2312"/>
          <w:sz w:val="32"/>
          <w:szCs w:val="32"/>
        </w:rPr>
        <w:t>建议申请单位应在预算阶段充分考虑上述因素，预留时间，全面了解流程规则，尽量避免跨期完成项目。三是重点工作办结率也存在加强与上升空间，需要有关部门加强工作效率，在重点工作的完成率和完成度上都需要更加完善。四是对绩效评价认识不足，对整体支出绩效评价业务仍有不熟悉的地方。五是项目资金执行力度需进一步加强</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下一步改进措施：</w:t>
      </w:r>
      <w:r>
        <w:rPr>
          <w:rFonts w:hint="eastAsia" w:ascii="仿宋_GB2312" w:eastAsia="仿宋_GB2312"/>
          <w:sz w:val="32"/>
          <w:szCs w:val="32"/>
        </w:rPr>
        <w:t>一是加强资金实时监控，严格按照相关要求对相关资金进行使用，确保资金使用及时有效。二是强化我单位对资金绩效实现情况的责任约束，进一步规范资金使用绩效。三是我单位将根据上级要求，严格按照绩效项目预期目标进行支出等事宜，我单位将由专人负责绩效项目，做好各项工作。实时控制项目开展的每个时间节点，完成总目标，保证既定的绩效目标得以实现。四是加强财务管理，严格财务审核。在费用报账支付时，按照预算规定的费用项目和用途进行资金使用审核、列报支付、财务核算，杜绝超支现象的发生。具体项目自评情况附项目支出绩效自评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0" w:firstLineChars="200"/>
        <w:jc w:val="both"/>
        <w:textAlignment w:val="auto"/>
      </w:pPr>
      <w:r>
        <w:rPr>
          <w:rFonts w:ascii="仿宋_GB2312" w:eastAsia="仿宋_GB2312"/>
          <w:b w:val="0"/>
          <w:sz w:val="32"/>
          <w:szCs w:val="32"/>
        </w:rPr>
        <w:t>本单位无其他需说明事项。</w:t>
      </w:r>
    </w:p>
    <w:p>
      <w:pPr>
        <w:keepNext w:val="0"/>
        <w:keepLines w:val="0"/>
        <w:pageBreakBefore w:val="0"/>
        <w:widowControl w:val="0"/>
        <w:kinsoku/>
        <w:wordWrap/>
        <w:overflowPunct/>
        <w:topLinePunct w:val="0"/>
        <w:autoSpaceDE/>
        <w:autoSpaceDN/>
        <w:bidi w:val="0"/>
        <w:adjustRightInd/>
        <w:snapToGrid/>
        <w:spacing w:line="560" w:lineRule="exact"/>
        <w:ind w:leftChars="0"/>
        <w:textAlignment w:val="auto"/>
        <w:rPr>
          <w:rFonts w:ascii="黑体" w:eastAsia="黑体"/>
          <w:b w:val="0"/>
          <w:sz w:val="32"/>
          <w:szCs w:val="32"/>
        </w:rPr>
      </w:pPr>
      <w:r>
        <w:rPr>
          <w:rFonts w:ascii="黑体" w:eastAsia="黑体"/>
          <w:b w:val="0"/>
          <w:sz w:val="32"/>
          <w:szCs w:val="32"/>
        </w:rPr>
        <w:br w:type="page"/>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643" w:firstLineChars="200"/>
        <w:jc w:val="both"/>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leftChars="0"/>
        <w:jc w:val="both"/>
        <w:textAlignment w:val="auto"/>
      </w:pPr>
      <w:r>
        <w:rPr>
          <w:b w:val="0"/>
          <w:sz w:val="0"/>
          <w:szCs w:val="0"/>
        </w:rPr>
        <w:br w:type="page"/>
      </w:r>
    </w:p>
    <w:p>
      <w:pPr>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leftChars="0"/>
        <w:jc w:val="center"/>
        <w:textAlignment w:val="auto"/>
        <w:outlineLvl w:val="0"/>
        <w:rPr>
          <w:rFonts w:ascii="黑体" w:eastAsia="黑体"/>
          <w:b w:val="0"/>
          <w:sz w:val="32"/>
          <w:szCs w:val="32"/>
        </w:rPr>
      </w:pPr>
      <w:r>
        <w:rPr>
          <w:rFonts w:ascii="黑体" w:eastAsia="黑体"/>
          <w:b w:val="0"/>
          <w:sz w:val="32"/>
          <w:szCs w:val="32"/>
        </w:rPr>
        <w:t>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lang w:val="en-US" w:eastAsia="zh-CN" w:bidi="ar-SA"/>
        </w:rPr>
      </w:pPr>
      <w:bookmarkStart w:id="0" w:name="_Toc2183"/>
      <w:bookmarkStart w:id="1" w:name="_Toc6062"/>
      <w:r>
        <w:rPr>
          <w:rFonts w:hint="eastAsia" w:ascii="黑体" w:hAnsi="黑体" w:eastAsia="仿宋_GB2312" w:cs="宋体"/>
          <w:bCs/>
          <w:kern w:val="0"/>
          <w:sz w:val="32"/>
          <w:szCs w:val="32"/>
          <w:lang w:val="en-US" w:eastAsia="zh-CN" w:bidi="ar-SA"/>
        </w:rPr>
        <w:t>一、《收入支出决算总表》</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lang w:val="en-US" w:eastAsia="zh-CN" w:bidi="ar-SA"/>
        </w:rPr>
      </w:pPr>
      <w:bookmarkStart w:id="2" w:name="_Toc30364"/>
      <w:bookmarkStart w:id="3" w:name="_Toc24532"/>
      <w:r>
        <w:rPr>
          <w:rFonts w:hint="eastAsia" w:ascii="黑体" w:hAnsi="黑体" w:eastAsia="仿宋_GB2312" w:cs="宋体"/>
          <w:bCs/>
          <w:kern w:val="0"/>
          <w:sz w:val="32"/>
          <w:szCs w:val="32"/>
          <w:lang w:val="en-US" w:eastAsia="zh-CN" w:bidi="ar-SA"/>
        </w:rPr>
        <w:t>二、《收入决算表》</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lang w:val="en-US" w:eastAsia="zh-CN" w:bidi="ar-SA"/>
        </w:rPr>
      </w:pPr>
      <w:bookmarkStart w:id="4" w:name="_Toc21304"/>
      <w:bookmarkStart w:id="5" w:name="_Toc32434"/>
      <w:r>
        <w:rPr>
          <w:rFonts w:hint="eastAsia" w:ascii="黑体" w:hAnsi="黑体" w:eastAsia="仿宋_GB2312" w:cs="宋体"/>
          <w:bCs/>
          <w:kern w:val="0"/>
          <w:sz w:val="32"/>
          <w:szCs w:val="32"/>
          <w:lang w:val="en-US" w:eastAsia="zh-CN" w:bidi="ar-SA"/>
        </w:rPr>
        <w:t>三、《支出决算表》</w:t>
      </w:r>
      <w:bookmarkEnd w:id="4"/>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lang w:val="en-US" w:eastAsia="zh-CN" w:bidi="ar-SA"/>
        </w:rPr>
      </w:pPr>
      <w:bookmarkStart w:id="6" w:name="_Toc14238"/>
      <w:bookmarkStart w:id="7" w:name="_Toc28786"/>
      <w:r>
        <w:rPr>
          <w:rFonts w:hint="eastAsia" w:ascii="黑体" w:hAnsi="黑体" w:eastAsia="仿宋_GB2312" w:cs="宋体"/>
          <w:bCs/>
          <w:kern w:val="0"/>
          <w:sz w:val="32"/>
          <w:szCs w:val="32"/>
          <w:lang w:val="en-US" w:eastAsia="zh-CN" w:bidi="ar-SA"/>
        </w:rPr>
        <w:t>四、《财政拨款收入支出决算总表》</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lang w:val="en-US" w:eastAsia="zh-CN" w:bidi="ar-SA"/>
        </w:rPr>
      </w:pPr>
      <w:bookmarkStart w:id="8" w:name="_Toc10347"/>
      <w:bookmarkStart w:id="9" w:name="_Toc14869"/>
      <w:r>
        <w:rPr>
          <w:rFonts w:hint="eastAsia" w:ascii="黑体" w:hAnsi="黑体" w:eastAsia="仿宋_GB2312" w:cs="宋体"/>
          <w:bCs/>
          <w:kern w:val="0"/>
          <w:sz w:val="32"/>
          <w:szCs w:val="32"/>
          <w:lang w:val="en-US" w:eastAsia="zh-CN" w:bidi="ar-SA"/>
        </w:rPr>
        <w:t>五、《一般公共预算财政拨款支出决算表》</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lang w:val="en-US" w:eastAsia="zh-CN" w:bidi="ar-SA"/>
        </w:rPr>
      </w:pPr>
      <w:bookmarkStart w:id="10" w:name="_Toc8884"/>
      <w:bookmarkStart w:id="11" w:name="_Toc5626"/>
      <w:r>
        <w:rPr>
          <w:rFonts w:hint="eastAsia" w:ascii="黑体" w:hAnsi="黑体" w:eastAsia="仿宋_GB2312" w:cs="宋体"/>
          <w:bCs/>
          <w:kern w:val="0"/>
          <w:sz w:val="32"/>
          <w:szCs w:val="32"/>
          <w:lang w:val="en-US" w:eastAsia="zh-CN" w:bidi="ar-SA"/>
        </w:rPr>
        <w:t>六、《一般公共预算财政拨款基本支出决算表》</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lang w:val="en-US" w:eastAsia="zh-CN" w:bidi="ar-SA"/>
        </w:rPr>
      </w:pPr>
      <w:r>
        <w:rPr>
          <w:rFonts w:hint="eastAsia" w:ascii="黑体" w:hAnsi="黑体" w:eastAsia="仿宋_GB2312" w:cs="宋体"/>
          <w:bCs/>
          <w:kern w:val="0"/>
          <w:sz w:val="32"/>
          <w:szCs w:val="32"/>
          <w:lang w:val="en-US" w:eastAsia="zh-CN" w:bidi="ar-SA"/>
        </w:rPr>
        <w:t>七、</w:t>
      </w:r>
      <w:bookmarkStart w:id="12" w:name="_Toc29106"/>
      <w:bookmarkStart w:id="13" w:name="_Toc32663"/>
      <w:r>
        <w:rPr>
          <w:rFonts w:hint="eastAsia" w:ascii="黑体" w:hAnsi="黑体" w:eastAsia="仿宋_GB2312" w:cs="宋体"/>
          <w:bCs/>
          <w:kern w:val="0"/>
          <w:sz w:val="32"/>
          <w:szCs w:val="32"/>
          <w:lang w:val="en-US" w:eastAsia="zh-CN" w:bidi="ar-SA"/>
        </w:rPr>
        <w:t>《财政拨款“三公”经费支出决算表》</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黑体" w:hAnsi="黑体" w:eastAsia="仿宋_GB2312" w:cs="宋体"/>
          <w:bCs/>
          <w:kern w:val="0"/>
          <w:sz w:val="32"/>
          <w:szCs w:val="32"/>
          <w:lang w:val="en-US" w:eastAsia="zh-CN" w:bidi="ar-SA"/>
        </w:rPr>
      </w:pPr>
      <w:bookmarkStart w:id="14" w:name="_Toc7643"/>
      <w:bookmarkStart w:id="15" w:name="_Toc5453"/>
      <w:r>
        <w:rPr>
          <w:rFonts w:hint="eastAsia" w:ascii="黑体" w:hAnsi="黑体" w:eastAsia="仿宋_GB2312" w:cs="宋体"/>
          <w:bCs/>
          <w:kern w:val="0"/>
          <w:sz w:val="32"/>
          <w:szCs w:val="32"/>
          <w:lang w:val="en-US" w:eastAsia="zh-CN" w:bidi="ar-SA"/>
        </w:rPr>
        <w:t>八、《政府性基金预算财政拨款收入支出决算表》</w:t>
      </w:r>
      <w:bookmarkEnd w:id="14"/>
      <w:bookmarkEnd w:id="15"/>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0"/>
        <w:rPr>
          <w:rFonts w:ascii="黑体" w:eastAsia="黑体"/>
          <w:b w:val="0"/>
          <w:sz w:val="32"/>
          <w:szCs w:val="32"/>
        </w:rPr>
      </w:pPr>
      <w:r>
        <w:rPr>
          <w:rFonts w:hint="eastAsia" w:ascii="黑体" w:hAnsi="黑体" w:eastAsia="仿宋_GB2312" w:cs="宋体"/>
          <w:bCs/>
          <w:kern w:val="0"/>
          <w:sz w:val="32"/>
          <w:szCs w:val="32"/>
          <w:lang w:val="en-US" w:eastAsia="zh-CN" w:bidi="ar-SA"/>
        </w:rPr>
        <w:t>九、《国有资本经营预算财政拨款收入支出决算表》</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both"/>
        <w:textAlignment w:val="auto"/>
        <w:outlineLvl w:val="0"/>
        <w:rPr>
          <w:rFonts w:ascii="黑体" w:eastAsia="黑体"/>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171450</wp:posOffset>
            </wp:positionH>
            <wp:positionV relativeFrom="paragraph">
              <wp:posOffset>63500</wp:posOffset>
            </wp:positionV>
            <wp:extent cx="5479415" cy="7552055"/>
            <wp:effectExtent l="0" t="0" r="6985" b="10795"/>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stretch>
                      <a:fillRect/>
                    </a:stretch>
                  </pic:blipFill>
                  <pic:spPr>
                    <a:xfrm>
                      <a:off x="0" y="0"/>
                      <a:ext cx="5479415" cy="755205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Chars="0" w:firstLine="420" w:firstLineChars="200"/>
        <w:jc w:val="left"/>
        <w:textAlignment w:val="auto"/>
        <w:outlineLvl w:val="1"/>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jc w:val="left"/>
        <w:textAlignment w:val="auto"/>
        <w:outlineLvl w:val="1"/>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-7620</wp:posOffset>
            </wp:positionH>
            <wp:positionV relativeFrom="paragraph">
              <wp:posOffset>14605</wp:posOffset>
            </wp:positionV>
            <wp:extent cx="5475605" cy="7847330"/>
            <wp:effectExtent l="0" t="0" r="10795" b="1270"/>
            <wp:wrapNone/>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6"/>
                    <a:stretch>
                      <a:fillRect/>
                    </a:stretch>
                  </pic:blipFill>
                  <pic:spPr>
                    <a:xfrm>
                      <a:off x="0" y="0"/>
                      <a:ext cx="5475605" cy="7847330"/>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0</wp:posOffset>
            </wp:positionH>
            <wp:positionV relativeFrom="paragraph">
              <wp:posOffset>-7678420</wp:posOffset>
            </wp:positionV>
            <wp:extent cx="5297170" cy="7950835"/>
            <wp:effectExtent l="0" t="0" r="17780" b="12065"/>
            <wp:wrapNone/>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7"/>
                    <a:stretch>
                      <a:fillRect/>
                    </a:stretch>
                  </pic:blipFill>
                  <pic:spPr>
                    <a:xfrm>
                      <a:off x="0" y="0"/>
                      <a:ext cx="5297170" cy="795083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0</wp:posOffset>
            </wp:positionH>
            <wp:positionV relativeFrom="paragraph">
              <wp:posOffset>-7659370</wp:posOffset>
            </wp:positionV>
            <wp:extent cx="5485130" cy="7933055"/>
            <wp:effectExtent l="0" t="0" r="1270" b="10795"/>
            <wp:wrapNone/>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8"/>
                    <a:stretch>
                      <a:fillRect/>
                    </a:stretch>
                  </pic:blipFill>
                  <pic:spPr>
                    <a:xfrm>
                      <a:off x="0" y="0"/>
                      <a:ext cx="5485130" cy="793305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261620</wp:posOffset>
            </wp:positionH>
            <wp:positionV relativeFrom="paragraph">
              <wp:posOffset>217805</wp:posOffset>
            </wp:positionV>
            <wp:extent cx="4864100" cy="7798435"/>
            <wp:effectExtent l="0" t="0" r="12700" b="12065"/>
            <wp:wrapNone/>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9"/>
                    <a:stretch>
                      <a:fillRect/>
                    </a:stretch>
                  </pic:blipFill>
                  <pic:spPr>
                    <a:xfrm>
                      <a:off x="0" y="0"/>
                      <a:ext cx="4864100" cy="779843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-15875</wp:posOffset>
            </wp:positionH>
            <wp:positionV relativeFrom="paragraph">
              <wp:posOffset>313055</wp:posOffset>
            </wp:positionV>
            <wp:extent cx="5479415" cy="7908290"/>
            <wp:effectExtent l="0" t="0" r="6985" b="16510"/>
            <wp:wrapNone/>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0"/>
                    <a:stretch>
                      <a:fillRect/>
                    </a:stretch>
                  </pic:blipFill>
                  <pic:spPr>
                    <a:xfrm>
                      <a:off x="0" y="0"/>
                      <a:ext cx="5479415" cy="7908290"/>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15875</wp:posOffset>
            </wp:positionH>
            <wp:positionV relativeFrom="paragraph">
              <wp:posOffset>180975</wp:posOffset>
            </wp:positionV>
            <wp:extent cx="5480050" cy="3957955"/>
            <wp:effectExtent l="0" t="0" r="6350" b="4445"/>
            <wp:wrapNone/>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1"/>
                    <a:stretch>
                      <a:fillRect/>
                    </a:stretch>
                  </pic:blipFill>
                  <pic:spPr>
                    <a:xfrm>
                      <a:off x="0" y="0"/>
                      <a:ext cx="5480050" cy="3957955"/>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leftChars="0"/>
        <w:textAlignment w:val="auto"/>
      </w:pPr>
      <w:r>
        <w:br w:type="page"/>
      </w:r>
    </w:p>
    <w:p>
      <w:pPr>
        <w:keepNext w:val="0"/>
        <w:keepLines w:val="0"/>
        <w:pageBreakBefore w:val="0"/>
        <w:widowControl w:val="0"/>
        <w:kinsoku/>
        <w:wordWrap/>
        <w:overflowPunct/>
        <w:topLinePunct w:val="0"/>
        <w:autoSpaceDE/>
        <w:autoSpaceDN/>
        <w:bidi w:val="0"/>
        <w:adjustRightInd/>
        <w:snapToGrid/>
        <w:spacing w:line="560" w:lineRule="exact"/>
        <w:ind w:leftChars="0"/>
        <w:textAlignment w:val="auto"/>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-39370</wp:posOffset>
            </wp:positionH>
            <wp:positionV relativeFrom="paragraph">
              <wp:posOffset>232410</wp:posOffset>
            </wp:positionV>
            <wp:extent cx="5482590" cy="3567430"/>
            <wp:effectExtent l="0" t="0" r="3810" b="13970"/>
            <wp:wrapNone/>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2"/>
                    <a:stretch>
                      <a:fillRect/>
                    </a:stretch>
                  </pic:blipFill>
                  <pic:spPr>
                    <a:xfrm>
                      <a:off x="0" y="0"/>
                      <a:ext cx="5482590" cy="3567430"/>
                    </a:xfrm>
                    <a:prstGeom prst="rect">
                      <a:avLst/>
                    </a:prstGeom>
                    <a:noFill/>
                    <a:ln>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pPr>
    </w:p>
    <w:p>
      <w:pPr>
        <w:keepNext w:val="0"/>
        <w:keepLines w:val="0"/>
        <w:pageBreakBefore w:val="0"/>
        <w:widowControl w:val="0"/>
        <w:kinsoku/>
        <w:wordWrap/>
        <w:overflowPunct/>
        <w:topLinePunct w:val="0"/>
        <w:autoSpaceDE/>
        <w:autoSpaceDN/>
        <w:bidi w:val="0"/>
        <w:adjustRightInd/>
        <w:snapToGrid/>
        <w:spacing w:line="560" w:lineRule="exact"/>
        <w:ind w:leftChars="0"/>
        <w:textAlignment w:val="auto"/>
      </w:pPr>
      <w:r>
        <w:br w:type="page"/>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Chars="0"/>
        <w:jc w:val="left"/>
        <w:textAlignment w:val="auto"/>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0</wp:posOffset>
            </wp:positionH>
            <wp:positionV relativeFrom="paragraph">
              <wp:posOffset>-2001520</wp:posOffset>
            </wp:positionV>
            <wp:extent cx="5476240" cy="2270760"/>
            <wp:effectExtent l="0" t="0" r="10160" b="15240"/>
            <wp:wrapNone/>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3"/>
                    <a:stretch>
                      <a:fillRect/>
                    </a:stretch>
                  </pic:blipFill>
                  <pic:spPr>
                    <a:xfrm>
                      <a:off x="0" y="0"/>
                      <a:ext cx="5476240" cy="2270760"/>
                    </a:xfrm>
                    <a:prstGeom prst="rect">
                      <a:avLst/>
                    </a:prstGeom>
                    <a:noFill/>
                    <a:ln>
                      <a:noFill/>
                    </a:ln>
                  </pic:spPr>
                </pic:pic>
              </a:graphicData>
            </a:graphic>
          </wp:anchor>
        </w:drawing>
      </w:r>
    </w:p>
    <w:sectPr>
      <w:footerReference r:id="rId3" w:type="default"/>
      <w:pgSz w:w="12240" w:h="15840"/>
      <w:pgMar w:top="1440" w:right="1800" w:bottom="1440" w:left="1800" w:header="964" w:footer="107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9710D7"/>
    <w:multiLevelType w:val="singleLevel"/>
    <w:tmpl w:val="BF9710D7"/>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E37647"/>
    <w:rsid w:val="0622697F"/>
    <w:rsid w:val="0ACA55E7"/>
    <w:rsid w:val="0FDA4F40"/>
    <w:rsid w:val="11812AE9"/>
    <w:rsid w:val="15237BC7"/>
    <w:rsid w:val="1A6845F0"/>
    <w:rsid w:val="20B20042"/>
    <w:rsid w:val="21807CFB"/>
    <w:rsid w:val="238B3F59"/>
    <w:rsid w:val="23AF0909"/>
    <w:rsid w:val="2DB26B63"/>
    <w:rsid w:val="3029493B"/>
    <w:rsid w:val="30E81FE6"/>
    <w:rsid w:val="3606495A"/>
    <w:rsid w:val="377E7F80"/>
    <w:rsid w:val="38625E3E"/>
    <w:rsid w:val="391A525C"/>
    <w:rsid w:val="3AA45B20"/>
    <w:rsid w:val="40B82E3F"/>
    <w:rsid w:val="46076244"/>
    <w:rsid w:val="47C0606E"/>
    <w:rsid w:val="4B045930"/>
    <w:rsid w:val="4C916FA2"/>
    <w:rsid w:val="4E1255EE"/>
    <w:rsid w:val="51134662"/>
    <w:rsid w:val="58A047B4"/>
    <w:rsid w:val="58B44611"/>
    <w:rsid w:val="593B7EE4"/>
    <w:rsid w:val="5B407393"/>
    <w:rsid w:val="5DA37E1B"/>
    <w:rsid w:val="5F666845"/>
    <w:rsid w:val="61175E25"/>
    <w:rsid w:val="626F5803"/>
    <w:rsid w:val="62DB0BE1"/>
    <w:rsid w:val="69EC02EF"/>
    <w:rsid w:val="6FF1073B"/>
    <w:rsid w:val="701F6D5D"/>
    <w:rsid w:val="707C5968"/>
    <w:rsid w:val="79BD0B19"/>
    <w:rsid w:val="7AB63B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87</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2025-08-12T12:07:00Z</dcterms:created>
  <dc:creator>Administrator</dc:creator>
  <cp:lastModifiedBy>YIKNETHNIGJXR97</cp:lastModifiedBy>
  <dcterms:modified xsi:type="dcterms:W3CDTF">2025-08-20T08:57:57Z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