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keepNext w:val="0"/>
        <w:keepLines w:val="0"/>
        <w:widowControl/>
        <w:suppressLineNumbers w:val="0"/>
        <w:pBdr>
          <w:top w:val="none" w:color="auto" w:sz="0" w:space="0"/>
          <w:left w:val="none" w:color="auto" w:sz="0" w:space="0"/>
          <w:bottom w:val="none" w:color="auto" w:sz="0" w:space="0"/>
          <w:right w:val="none" w:color="auto" w:sz="0" w:space="0"/>
        </w:pBdr>
        <w:shd w:val="clear" w:fill="FFFFFF"/>
        <w:wordWrap w:val="0"/>
        <w:spacing w:before="0" w:beforeAutospacing="0" w:line="566" w:lineRule="atLeast"/>
        <w:ind w:left="120" w:right="-150" w:firstLine="0"/>
        <w:jc w:val="center"/>
        <w:rPr>
          <w:rFonts w:ascii="黑体" w:hAnsi="宋体" w:eastAsia="黑体" w:cs="黑体"/>
          <w:i w:val="0"/>
          <w:iCs w:val="0"/>
          <w:caps w:val="0"/>
          <w:color w:val="auto"/>
          <w:spacing w:val="0"/>
          <w:kern w:val="0"/>
          <w:sz w:val="43"/>
          <w:szCs w:val="43"/>
          <w:shd w:val="clear" w:fill="FFFFFF"/>
          <w:lang w:val="en-US" w:eastAsia="zh-CN" w:bidi="ar"/>
        </w:rPr>
      </w:pPr>
      <w:r>
        <w:rPr>
          <w:rFonts w:ascii="黑体" w:hAnsi="宋体" w:eastAsia="黑体" w:cs="黑体"/>
          <w:i w:val="0"/>
          <w:iCs w:val="0"/>
          <w:caps w:val="0"/>
          <w:color w:val="auto"/>
          <w:spacing w:val="0"/>
          <w:kern w:val="0"/>
          <w:sz w:val="43"/>
          <w:szCs w:val="43"/>
          <w:shd w:val="clear" w:fill="FFFFFF"/>
          <w:lang w:val="en-US" w:eastAsia="zh-CN" w:bidi="ar"/>
        </w:rPr>
        <w:t>​</w:t>
      </w:r>
    </w:p>
    <w:p>
      <w:pPr>
        <w:keepNext w:val="0"/>
        <w:keepLines w:val="0"/>
        <w:widowControl/>
        <w:suppressLineNumbers w:val="0"/>
        <w:pBdr>
          <w:top w:val="none" w:color="auto" w:sz="0" w:space="0"/>
          <w:left w:val="none" w:color="auto" w:sz="0" w:space="0"/>
          <w:bottom w:val="none" w:color="auto" w:sz="0" w:space="0"/>
          <w:right w:val="none" w:color="auto" w:sz="0" w:space="0"/>
        </w:pBdr>
        <w:shd w:val="clear" w:fill="FFFFFF"/>
        <w:wordWrap w:val="0"/>
        <w:spacing w:before="0" w:beforeAutospacing="0" w:line="566" w:lineRule="atLeast"/>
        <w:ind w:left="120" w:right="-150" w:firstLine="0"/>
        <w:jc w:val="center"/>
        <w:rPr>
          <w:rFonts w:ascii="黑体" w:hAnsi="宋体" w:eastAsia="黑体" w:cs="黑体"/>
          <w:i w:val="0"/>
          <w:iCs w:val="0"/>
          <w:caps w:val="0"/>
          <w:color w:val="auto"/>
          <w:spacing w:val="0"/>
          <w:kern w:val="0"/>
          <w:sz w:val="43"/>
          <w:szCs w:val="43"/>
          <w:shd w:val="clear" w:fill="FFFFFF"/>
          <w:lang w:val="en-US" w:eastAsia="zh-CN" w:bidi="ar"/>
        </w:rPr>
      </w:pPr>
    </w:p>
    <w:p>
      <w:pPr>
        <w:keepNext w:val="0"/>
        <w:keepLines w:val="0"/>
        <w:widowControl/>
        <w:suppressLineNumbers w:val="0"/>
        <w:pBdr>
          <w:top w:val="none" w:color="auto" w:sz="0" w:space="0"/>
          <w:left w:val="none" w:color="auto" w:sz="0" w:space="0"/>
          <w:bottom w:val="none" w:color="auto" w:sz="0" w:space="0"/>
          <w:right w:val="none" w:color="auto" w:sz="0" w:space="0"/>
        </w:pBdr>
        <w:shd w:val="clear" w:fill="FFFFFF"/>
        <w:wordWrap w:val="0"/>
        <w:spacing w:before="0" w:beforeAutospacing="0" w:line="566" w:lineRule="atLeast"/>
        <w:ind w:left="120" w:right="-150" w:firstLine="0"/>
        <w:jc w:val="center"/>
        <w:rPr>
          <w:rFonts w:ascii="黑体" w:hAnsi="宋体" w:eastAsia="黑体" w:cs="黑体"/>
          <w:i w:val="0"/>
          <w:iCs w:val="0"/>
          <w:caps w:val="0"/>
          <w:color w:val="auto"/>
          <w:spacing w:val="0"/>
          <w:kern w:val="0"/>
          <w:sz w:val="43"/>
          <w:szCs w:val="43"/>
          <w:shd w:val="clear" w:fill="FFFFFF"/>
          <w:lang w:val="en-US" w:eastAsia="zh-CN" w:bidi="ar"/>
        </w:rPr>
      </w:pPr>
    </w:p>
    <w:p>
      <w:pPr>
        <w:keepNext w:val="0"/>
        <w:keepLines w:val="0"/>
        <w:widowControl/>
        <w:suppressLineNumbers w:val="0"/>
        <w:pBdr>
          <w:top w:val="none" w:color="auto" w:sz="0" w:space="0"/>
          <w:left w:val="none" w:color="auto" w:sz="0" w:space="0"/>
          <w:bottom w:val="none" w:color="auto" w:sz="0" w:space="0"/>
          <w:right w:val="none" w:color="auto" w:sz="0" w:space="0"/>
        </w:pBdr>
        <w:shd w:val="clear" w:fill="FFFFFF"/>
        <w:wordWrap w:val="0"/>
        <w:spacing w:before="0" w:beforeAutospacing="0" w:line="566" w:lineRule="atLeast"/>
        <w:ind w:right="-150"/>
        <w:jc w:val="both"/>
        <w:rPr>
          <w:rFonts w:ascii="黑体" w:hAnsi="宋体" w:eastAsia="黑体" w:cs="黑体"/>
          <w:i w:val="0"/>
          <w:iCs w:val="0"/>
          <w:caps w:val="0"/>
          <w:color w:val="auto"/>
          <w:spacing w:val="0"/>
          <w:kern w:val="0"/>
          <w:sz w:val="43"/>
          <w:szCs w:val="43"/>
          <w:shd w:val="clear" w:fill="FFFFFF"/>
          <w:lang w:val="en-US" w:eastAsia="zh-CN" w:bidi="ar"/>
        </w:rPr>
      </w:pPr>
    </w:p>
    <w:p>
      <w:pPr>
        <w:keepNext w:val="0"/>
        <w:keepLines w:val="0"/>
        <w:widowControl/>
        <w:suppressLineNumbers w:val="0"/>
        <w:pBdr>
          <w:top w:val="none" w:color="auto" w:sz="0" w:space="0"/>
          <w:left w:val="none" w:color="auto" w:sz="0" w:space="0"/>
          <w:bottom w:val="none" w:color="auto" w:sz="0" w:space="0"/>
          <w:right w:val="none" w:color="auto" w:sz="0" w:space="0"/>
        </w:pBdr>
        <w:shd w:val="clear" w:fill="FFFFFF"/>
        <w:wordWrap w:val="0"/>
        <w:spacing w:before="0" w:beforeAutospacing="0" w:line="566" w:lineRule="atLeast"/>
        <w:ind w:left="120" w:right="-150" w:firstLine="0"/>
        <w:jc w:val="center"/>
        <w:rPr>
          <w:rFonts w:ascii="黑体" w:hAnsi="宋体" w:eastAsia="黑体" w:cs="黑体"/>
          <w:i w:val="0"/>
          <w:iCs w:val="0"/>
          <w:caps w:val="0"/>
          <w:color w:val="auto"/>
          <w:spacing w:val="0"/>
          <w:kern w:val="0"/>
          <w:sz w:val="43"/>
          <w:szCs w:val="43"/>
          <w:shd w:val="clear" w:fill="FFFFFF"/>
          <w:lang w:val="en-US" w:eastAsia="zh-CN" w:bidi="ar"/>
        </w:rPr>
      </w:pPr>
    </w:p>
    <w:p>
      <w:pPr>
        <w:keepNext w:val="0"/>
        <w:keepLines w:val="0"/>
        <w:pageBreakBefore w:val="0"/>
        <w:widowControl w:val="0"/>
        <w:kinsoku/>
        <w:wordWrap/>
        <w:overflowPunct/>
        <w:topLinePunct w:val="0"/>
        <w:bidi w:val="0"/>
        <w:adjustRightInd/>
        <w:snapToGrid/>
        <w:spacing w:line="240" w:lineRule="auto"/>
        <w:jc w:val="center"/>
        <w:textAlignment w:val="auto"/>
        <w:rPr>
          <w:rFonts w:hint="eastAsia" w:ascii="方正小标宋_GBK" w:hAnsi="宋体" w:eastAsia="方正小标宋_GBK" w:cs="Times New Roman"/>
          <w:color w:val="auto"/>
          <w:sz w:val="44"/>
          <w:szCs w:val="44"/>
          <w:highlight w:val="none"/>
          <w:lang w:val="en-US" w:eastAsia="zh-CN"/>
        </w:rPr>
      </w:pPr>
      <w:r>
        <w:rPr>
          <w:rFonts w:hint="eastAsia" w:ascii="方正小标宋_GBK" w:hAnsi="宋体" w:eastAsia="方正小标宋_GBK" w:cs="Times New Roman"/>
          <w:color w:val="auto"/>
          <w:sz w:val="44"/>
          <w:szCs w:val="44"/>
          <w:highlight w:val="none"/>
          <w:lang w:val="en-US" w:eastAsia="zh-CN"/>
        </w:rPr>
        <w:t>库尔勒市铁克其乡人民政府</w:t>
      </w:r>
    </w:p>
    <w:p>
      <w:pPr>
        <w:keepNext w:val="0"/>
        <w:keepLines w:val="0"/>
        <w:pageBreakBefore w:val="0"/>
        <w:widowControl w:val="0"/>
        <w:kinsoku/>
        <w:wordWrap/>
        <w:overflowPunct/>
        <w:topLinePunct w:val="0"/>
        <w:bidi w:val="0"/>
        <w:adjustRightInd/>
        <w:snapToGrid/>
        <w:spacing w:line="240" w:lineRule="auto"/>
        <w:jc w:val="center"/>
        <w:textAlignment w:val="auto"/>
        <w:rPr>
          <w:rFonts w:hint="eastAsia" w:ascii="方正小标宋_GBK" w:hAnsi="宋体" w:eastAsia="方正小标宋_GBK" w:cs="Times New Roman"/>
          <w:color w:val="auto"/>
          <w:sz w:val="44"/>
          <w:szCs w:val="44"/>
          <w:highlight w:val="none"/>
          <w:lang w:val="en-US" w:eastAsia="zh-CN"/>
        </w:rPr>
      </w:pPr>
      <w:r>
        <w:rPr>
          <w:rFonts w:hint="eastAsia" w:ascii="方正小标宋_GBK" w:hAnsi="宋体" w:eastAsia="方正小标宋_GBK" w:cs="Times New Roman"/>
          <w:color w:val="auto"/>
          <w:sz w:val="44"/>
          <w:szCs w:val="44"/>
          <w:highlight w:val="none"/>
          <w:lang w:val="en-US" w:eastAsia="zh-CN"/>
        </w:rPr>
        <w:t>2024年度部门决算</w:t>
      </w:r>
    </w:p>
    <w:p>
      <w:pPr>
        <w:keepNext w:val="0"/>
        <w:keepLines w:val="0"/>
        <w:pageBreakBefore w:val="0"/>
        <w:widowControl w:val="0"/>
        <w:kinsoku/>
        <w:wordWrap/>
        <w:overflowPunct/>
        <w:topLinePunct w:val="0"/>
        <w:bidi w:val="0"/>
        <w:adjustRightInd/>
        <w:snapToGrid/>
        <w:spacing w:line="240" w:lineRule="auto"/>
        <w:jc w:val="center"/>
        <w:textAlignment w:val="auto"/>
        <w:rPr>
          <w:rFonts w:hint="eastAsia" w:ascii="方正小标宋_GBK" w:hAnsi="宋体" w:eastAsia="方正小标宋_GBK" w:cs="Times New Roman"/>
          <w:color w:val="auto"/>
          <w:sz w:val="44"/>
          <w:szCs w:val="44"/>
          <w:highlight w:val="none"/>
          <w:lang w:val="en-US" w:eastAsia="zh-CN"/>
        </w:rPr>
      </w:pPr>
      <w:r>
        <w:rPr>
          <w:rFonts w:hint="eastAsia" w:ascii="方正小标宋_GBK" w:hAnsi="宋体" w:eastAsia="方正小标宋_GBK" w:cs="Times New Roman"/>
          <w:color w:val="auto"/>
          <w:sz w:val="44"/>
          <w:szCs w:val="44"/>
          <w:highlight w:val="none"/>
          <w:lang w:val="en-US" w:eastAsia="zh-CN"/>
        </w:rPr>
        <w:t>公开说明</w:t>
      </w:r>
    </w:p>
    <w:p>
      <w:pPr>
        <w:keepNext w:val="0"/>
        <w:keepLines w:val="0"/>
        <w:pageBreakBefore w:val="0"/>
        <w:widowControl w:val="0"/>
        <w:kinsoku/>
        <w:wordWrap/>
        <w:overflowPunct/>
        <w:topLinePunct w:val="0"/>
        <w:bidi w:val="0"/>
        <w:adjustRightInd/>
        <w:snapToGrid/>
        <w:spacing w:line="240" w:lineRule="auto"/>
        <w:jc w:val="center"/>
        <w:textAlignment w:val="auto"/>
        <w:rPr>
          <w:rFonts w:hint="eastAsia" w:ascii="方正小标宋_GBK" w:hAnsi="宋体" w:eastAsia="方正小标宋_GBK" w:cs="Times New Roman"/>
          <w:color w:val="auto"/>
          <w:sz w:val="44"/>
          <w:szCs w:val="44"/>
          <w:highlight w:val="none"/>
          <w:lang w:val="en-US" w:eastAsia="zh-CN"/>
        </w:rPr>
      </w:pPr>
    </w:p>
    <w:p>
      <w:pPr>
        <w:keepNext w:val="0"/>
        <w:keepLines w:val="0"/>
        <w:pageBreakBefore w:val="0"/>
        <w:widowControl w:val="0"/>
        <w:kinsoku/>
        <w:wordWrap/>
        <w:overflowPunct/>
        <w:topLinePunct w:val="0"/>
        <w:bidi w:val="0"/>
        <w:adjustRightInd/>
        <w:snapToGrid/>
        <w:spacing w:line="240" w:lineRule="auto"/>
        <w:jc w:val="center"/>
        <w:textAlignment w:val="auto"/>
        <w:rPr>
          <w:rFonts w:hint="eastAsia" w:ascii="方正小标宋_GBK" w:hAnsi="宋体" w:eastAsia="方正小标宋_GBK" w:cs="Times New Roman"/>
          <w:color w:val="auto"/>
          <w:sz w:val="44"/>
          <w:szCs w:val="44"/>
          <w:highlight w:val="none"/>
          <w:lang w:val="en-US" w:eastAsia="zh-CN"/>
        </w:rPr>
      </w:pPr>
    </w:p>
    <w:p>
      <w:pPr>
        <w:keepNext w:val="0"/>
        <w:keepLines w:val="0"/>
        <w:widowControl/>
        <w:suppressLineNumbers w:val="0"/>
        <w:pBdr>
          <w:top w:val="none" w:color="auto" w:sz="0" w:space="0"/>
          <w:left w:val="none" w:color="auto" w:sz="0" w:space="0"/>
          <w:bottom w:val="none" w:color="auto" w:sz="0" w:space="0"/>
          <w:right w:val="none" w:color="auto" w:sz="0" w:space="0"/>
        </w:pBdr>
        <w:shd w:val="clear" w:fill="FFFFFF"/>
        <w:wordWrap w:val="0"/>
        <w:spacing w:before="0" w:beforeAutospacing="0" w:line="409" w:lineRule="atLeast"/>
        <w:ind w:left="120" w:right="-150" w:firstLine="0"/>
        <w:jc w:val="center"/>
        <w:rPr>
          <w:rFonts w:ascii="黑体" w:hAnsi="宋体" w:eastAsia="黑体" w:cs="黑体"/>
          <w:b/>
          <w:bCs/>
          <w:i w:val="0"/>
          <w:iCs w:val="0"/>
          <w:caps w:val="0"/>
          <w:color w:val="auto"/>
          <w:spacing w:val="0"/>
          <w:kern w:val="0"/>
          <w:sz w:val="31"/>
          <w:szCs w:val="31"/>
          <w:shd w:val="clear" w:fill="FFFFFF"/>
          <w:lang w:val="en-US" w:eastAsia="zh-CN" w:bidi="ar"/>
        </w:rPr>
      </w:pPr>
    </w:p>
    <w:p>
      <w:pPr>
        <w:keepNext w:val="0"/>
        <w:keepLines w:val="0"/>
        <w:widowControl/>
        <w:suppressLineNumbers w:val="0"/>
        <w:pBdr>
          <w:top w:val="none" w:color="auto" w:sz="0" w:space="0"/>
          <w:left w:val="none" w:color="auto" w:sz="0" w:space="0"/>
          <w:bottom w:val="none" w:color="auto" w:sz="0" w:space="0"/>
          <w:right w:val="none" w:color="auto" w:sz="0" w:space="0"/>
        </w:pBdr>
        <w:shd w:val="clear" w:fill="FFFFFF"/>
        <w:wordWrap w:val="0"/>
        <w:spacing w:before="0" w:beforeAutospacing="0" w:line="409" w:lineRule="atLeast"/>
        <w:ind w:left="120" w:right="-150" w:firstLine="0"/>
        <w:jc w:val="center"/>
        <w:rPr>
          <w:rFonts w:ascii="黑体" w:hAnsi="宋体" w:eastAsia="黑体" w:cs="黑体"/>
          <w:b/>
          <w:bCs/>
          <w:i w:val="0"/>
          <w:iCs w:val="0"/>
          <w:caps w:val="0"/>
          <w:color w:val="auto"/>
          <w:spacing w:val="0"/>
          <w:kern w:val="0"/>
          <w:sz w:val="31"/>
          <w:szCs w:val="31"/>
          <w:shd w:val="clear" w:fill="FFFFFF"/>
          <w:lang w:val="en-US" w:eastAsia="zh-CN" w:bidi="ar"/>
        </w:rPr>
      </w:pPr>
    </w:p>
    <w:p>
      <w:pPr>
        <w:keepNext w:val="0"/>
        <w:keepLines w:val="0"/>
        <w:widowControl/>
        <w:suppressLineNumbers w:val="0"/>
        <w:pBdr>
          <w:top w:val="none" w:color="auto" w:sz="0" w:space="0"/>
          <w:left w:val="none" w:color="auto" w:sz="0" w:space="0"/>
          <w:bottom w:val="none" w:color="auto" w:sz="0" w:space="0"/>
          <w:right w:val="none" w:color="auto" w:sz="0" w:space="0"/>
        </w:pBdr>
        <w:shd w:val="clear" w:fill="FFFFFF"/>
        <w:wordWrap w:val="0"/>
        <w:spacing w:before="0" w:beforeAutospacing="0" w:line="409" w:lineRule="atLeast"/>
        <w:ind w:left="120" w:right="-150" w:firstLine="0"/>
        <w:jc w:val="center"/>
        <w:rPr>
          <w:rFonts w:ascii="黑体" w:hAnsi="宋体" w:eastAsia="黑体" w:cs="黑体"/>
          <w:b/>
          <w:bCs/>
          <w:i w:val="0"/>
          <w:iCs w:val="0"/>
          <w:caps w:val="0"/>
          <w:color w:val="auto"/>
          <w:spacing w:val="0"/>
          <w:kern w:val="0"/>
          <w:sz w:val="31"/>
          <w:szCs w:val="31"/>
          <w:shd w:val="clear" w:fill="FFFFFF"/>
          <w:lang w:val="en-US" w:eastAsia="zh-CN" w:bidi="ar"/>
        </w:rPr>
      </w:pPr>
    </w:p>
    <w:p>
      <w:pPr>
        <w:keepNext w:val="0"/>
        <w:keepLines w:val="0"/>
        <w:widowControl/>
        <w:suppressLineNumbers w:val="0"/>
        <w:pBdr>
          <w:top w:val="none" w:color="auto" w:sz="0" w:space="0"/>
          <w:left w:val="none" w:color="auto" w:sz="0" w:space="0"/>
          <w:bottom w:val="none" w:color="auto" w:sz="0" w:space="0"/>
          <w:right w:val="none" w:color="auto" w:sz="0" w:space="0"/>
        </w:pBdr>
        <w:shd w:val="clear" w:fill="FFFFFF"/>
        <w:wordWrap w:val="0"/>
        <w:spacing w:before="0" w:beforeAutospacing="0" w:line="409" w:lineRule="atLeast"/>
        <w:ind w:left="120" w:right="-150" w:firstLine="0"/>
        <w:jc w:val="center"/>
        <w:rPr>
          <w:rFonts w:ascii="黑体" w:hAnsi="宋体" w:eastAsia="黑体" w:cs="黑体"/>
          <w:b/>
          <w:bCs/>
          <w:i w:val="0"/>
          <w:iCs w:val="0"/>
          <w:caps w:val="0"/>
          <w:color w:val="auto"/>
          <w:spacing w:val="0"/>
          <w:kern w:val="0"/>
          <w:sz w:val="31"/>
          <w:szCs w:val="31"/>
          <w:shd w:val="clear" w:fill="FFFFFF"/>
          <w:lang w:val="en-US" w:eastAsia="zh-CN" w:bidi="ar"/>
        </w:rPr>
      </w:pPr>
    </w:p>
    <w:p>
      <w:pPr>
        <w:pStyle w:val="2"/>
        <w:numPr>
          <w:ilvl w:val="0"/>
          <w:numId w:val="0"/>
        </w:numPr>
        <w:ind w:left="1680" w:leftChars="0"/>
        <w:rPr>
          <w:lang w:val="en-US" w:eastAsia="zh-CN"/>
        </w:rPr>
      </w:pPr>
    </w:p>
    <w:p>
      <w:pPr>
        <w:rPr>
          <w:rFonts w:ascii="黑体" w:hAnsi="宋体" w:eastAsia="黑体" w:cs="黑体"/>
          <w:b/>
          <w:bCs/>
          <w:i w:val="0"/>
          <w:iCs w:val="0"/>
          <w:caps w:val="0"/>
          <w:color w:val="auto"/>
          <w:spacing w:val="0"/>
          <w:kern w:val="0"/>
          <w:sz w:val="31"/>
          <w:szCs w:val="31"/>
          <w:shd w:val="clear" w:fill="FFFFFF"/>
          <w:lang w:val="en-US" w:eastAsia="zh-CN" w:bidi="ar"/>
        </w:rPr>
      </w:pPr>
    </w:p>
    <w:p>
      <w:pPr>
        <w:pStyle w:val="2"/>
        <w:numPr>
          <w:ilvl w:val="0"/>
          <w:numId w:val="0"/>
        </w:numPr>
        <w:ind w:left="1680" w:leftChars="0"/>
        <w:rPr>
          <w:lang w:val="en-US" w:eastAsia="zh-CN"/>
        </w:rPr>
      </w:pPr>
    </w:p>
    <w:p>
      <w:pPr>
        <w:rPr>
          <w:lang w:val="en-US" w:eastAsia="zh-CN"/>
        </w:rPr>
      </w:pPr>
    </w:p>
    <w:p>
      <w:pPr>
        <w:keepNext w:val="0"/>
        <w:keepLines w:val="0"/>
        <w:widowControl/>
        <w:suppressLineNumbers w:val="0"/>
        <w:pBdr>
          <w:top w:val="none" w:color="auto" w:sz="0" w:space="0"/>
          <w:left w:val="none" w:color="auto" w:sz="0" w:space="0"/>
          <w:bottom w:val="none" w:color="auto" w:sz="0" w:space="0"/>
          <w:right w:val="none" w:color="auto" w:sz="0" w:space="0"/>
        </w:pBdr>
        <w:shd w:val="clear" w:fill="FFFFFF"/>
        <w:wordWrap w:val="0"/>
        <w:spacing w:before="0" w:beforeAutospacing="0" w:line="409" w:lineRule="atLeast"/>
        <w:ind w:left="120" w:right="-150" w:firstLine="0"/>
        <w:jc w:val="center"/>
        <w:rPr>
          <w:rFonts w:ascii="黑体" w:hAnsi="宋体" w:eastAsia="黑体" w:cs="黑体"/>
          <w:b/>
          <w:bCs/>
          <w:i w:val="0"/>
          <w:iCs w:val="0"/>
          <w:caps w:val="0"/>
          <w:color w:val="auto"/>
          <w:spacing w:val="0"/>
          <w:kern w:val="0"/>
          <w:sz w:val="31"/>
          <w:szCs w:val="31"/>
          <w:shd w:val="clear" w:fill="FFFFFF"/>
          <w:lang w:val="en-US" w:eastAsia="zh-CN" w:bidi="ar"/>
        </w:rPr>
      </w:pPr>
    </w:p>
    <w:p>
      <w:pPr>
        <w:keepNext w:val="0"/>
        <w:keepLines w:val="0"/>
        <w:widowControl/>
        <w:suppressLineNumbers w:val="0"/>
        <w:pBdr>
          <w:top w:val="none" w:color="auto" w:sz="0" w:space="0"/>
          <w:left w:val="none" w:color="auto" w:sz="0" w:space="0"/>
          <w:bottom w:val="none" w:color="auto" w:sz="0" w:space="0"/>
          <w:right w:val="none" w:color="auto" w:sz="0" w:space="0"/>
        </w:pBdr>
        <w:shd w:val="clear" w:fill="FFFFFF"/>
        <w:wordWrap w:val="0"/>
        <w:spacing w:before="0" w:beforeAutospacing="0" w:line="409" w:lineRule="atLeast"/>
        <w:ind w:right="-150"/>
        <w:jc w:val="both"/>
        <w:rPr>
          <w:rFonts w:ascii="黑体" w:hAnsi="宋体" w:eastAsia="黑体" w:cs="黑体"/>
          <w:b/>
          <w:bCs/>
          <w:i w:val="0"/>
          <w:iCs w:val="0"/>
          <w:caps w:val="0"/>
          <w:color w:val="auto"/>
          <w:spacing w:val="0"/>
          <w:kern w:val="0"/>
          <w:sz w:val="31"/>
          <w:szCs w:val="31"/>
          <w:shd w:val="clear" w:fill="FFFFFF"/>
          <w:lang w:val="en-US" w:eastAsia="zh-CN" w:bidi="ar"/>
        </w:rPr>
      </w:pPr>
    </w:p>
    <w:p>
      <w:pPr>
        <w:keepNext w:val="0"/>
        <w:keepLines w:val="0"/>
        <w:pageBreakBefore w:val="0"/>
        <w:widowControl w:val="0"/>
        <w:kinsoku/>
        <w:wordWrap/>
        <w:overflowPunct/>
        <w:topLinePunct w:val="0"/>
        <w:autoSpaceDE/>
        <w:autoSpaceDN/>
        <w:bidi w:val="0"/>
        <w:adjustRightInd/>
        <w:snapToGrid/>
        <w:spacing w:line="240" w:lineRule="auto"/>
        <w:ind w:left="0" w:leftChars="0"/>
        <w:jc w:val="center"/>
        <w:textAlignment w:val="auto"/>
        <w:rPr>
          <w:rFonts w:hint="eastAsia" w:ascii="仿宋_GB2312" w:hAnsi="仿宋_GB2312" w:eastAsia="仿宋_GB2312" w:cs="仿宋_GB2312"/>
          <w:b/>
          <w:bCs w:val="0"/>
          <w:color w:val="auto"/>
          <w:kern w:val="0"/>
          <w:sz w:val="36"/>
          <w:szCs w:val="36"/>
          <w:highlight w:val="none"/>
        </w:rPr>
      </w:pPr>
      <w:r>
        <w:rPr>
          <w:rFonts w:hint="eastAsia" w:ascii="仿宋_GB2312" w:hAnsi="仿宋_GB2312" w:eastAsia="仿宋_GB2312" w:cs="仿宋_GB2312"/>
          <w:b/>
          <w:bCs w:val="0"/>
          <w:color w:val="auto"/>
          <w:kern w:val="0"/>
          <w:sz w:val="36"/>
          <w:szCs w:val="36"/>
          <w:highlight w:val="none"/>
          <w:lang w:val="en-US" w:eastAsia="zh-CN"/>
        </w:rPr>
        <w:t>目录</w:t>
      </w:r>
    </w:p>
    <w:p>
      <w:pPr>
        <w:keepNext w:val="0"/>
        <w:keepLines w:val="0"/>
        <w:widowControl/>
        <w:suppressLineNumbers w:val="0"/>
        <w:pBdr>
          <w:top w:val="none" w:color="auto" w:sz="0" w:space="0"/>
          <w:left w:val="none" w:color="auto" w:sz="0" w:space="0"/>
          <w:bottom w:val="none" w:color="auto" w:sz="0" w:space="0"/>
          <w:right w:val="none" w:color="auto" w:sz="0" w:space="0"/>
        </w:pBdr>
        <w:shd w:val="clear" w:fill="FFFFFF"/>
        <w:wordWrap w:val="0"/>
        <w:spacing w:before="0" w:beforeAutospacing="0" w:line="409" w:lineRule="atLeast"/>
        <w:ind w:left="120" w:right="-150" w:firstLine="0"/>
        <w:jc w:val="left"/>
        <w:rPr>
          <w:rFonts w:ascii="仿宋_GB2312" w:hAnsi="仿宋_GB2312" w:eastAsia="仿宋_GB2312" w:cs="仿宋_GB2312"/>
          <w:i w:val="0"/>
          <w:iCs w:val="0"/>
          <w:caps w:val="0"/>
          <w:color w:val="auto"/>
          <w:spacing w:val="0"/>
          <w:sz w:val="32"/>
          <w:szCs w:val="32"/>
        </w:rPr>
      </w:pPr>
      <w:r>
        <w:rPr>
          <w:rFonts w:ascii="仿宋_GB2312" w:hAnsi="仿宋_GB2312" w:eastAsia="仿宋_GB2312" w:cs="仿宋_GB2312"/>
          <w:b/>
          <w:bCs/>
          <w:i w:val="0"/>
          <w:iCs w:val="0"/>
          <w:caps w:val="0"/>
          <w:color w:val="auto"/>
          <w:spacing w:val="0"/>
          <w:kern w:val="0"/>
          <w:sz w:val="32"/>
          <w:szCs w:val="32"/>
          <w:shd w:val="clear" w:fill="FFFFFF"/>
          <w:lang w:val="en-US" w:eastAsia="zh-CN" w:bidi="ar"/>
        </w:rPr>
        <w:t>第一部分 </w:t>
      </w:r>
      <w:r>
        <w:rPr>
          <w:rFonts w:hint="eastAsia" w:ascii="仿宋_GB2312" w:hAnsi="仿宋_GB2312" w:eastAsia="仿宋_GB2312" w:cs="仿宋_GB2312"/>
          <w:b/>
          <w:bCs/>
          <w:i w:val="0"/>
          <w:iCs w:val="0"/>
          <w:caps w:val="0"/>
          <w:color w:val="auto"/>
          <w:spacing w:val="0"/>
          <w:kern w:val="0"/>
          <w:sz w:val="32"/>
          <w:szCs w:val="32"/>
          <w:shd w:val="clear" w:fill="FFFFFF"/>
          <w:lang w:val="en-US" w:eastAsia="zh-CN" w:bidi="ar"/>
        </w:rPr>
        <w:t xml:space="preserve"> 部门</w:t>
      </w:r>
      <w:r>
        <w:rPr>
          <w:rFonts w:ascii="仿宋_GB2312" w:hAnsi="仿宋_GB2312" w:eastAsia="仿宋_GB2312" w:cs="仿宋_GB2312"/>
          <w:b/>
          <w:bCs/>
          <w:i w:val="0"/>
          <w:iCs w:val="0"/>
          <w:caps w:val="0"/>
          <w:color w:val="auto"/>
          <w:spacing w:val="0"/>
          <w:kern w:val="0"/>
          <w:sz w:val="32"/>
          <w:szCs w:val="32"/>
          <w:shd w:val="clear" w:fill="FFFFFF"/>
          <w:lang w:val="en-US" w:eastAsia="zh-CN" w:bidi="ar"/>
        </w:rPr>
        <w:t>概况</w:t>
      </w:r>
    </w:p>
    <w:p>
      <w:pPr>
        <w:keepNext w:val="0"/>
        <w:keepLines w:val="0"/>
        <w:widowControl/>
        <w:suppressLineNumbers w:val="0"/>
        <w:pBdr>
          <w:top w:val="none" w:color="auto" w:sz="0" w:space="0"/>
          <w:left w:val="none" w:color="auto" w:sz="0" w:space="0"/>
          <w:bottom w:val="none" w:color="auto" w:sz="0" w:space="0"/>
          <w:right w:val="none" w:color="auto" w:sz="0" w:space="0"/>
        </w:pBdr>
        <w:shd w:val="clear" w:fill="FFFFFF"/>
        <w:wordWrap w:val="0"/>
        <w:spacing w:before="0" w:beforeAutospacing="0" w:line="409" w:lineRule="atLeast"/>
        <w:ind w:left="120" w:right="-150" w:firstLine="0"/>
        <w:jc w:val="left"/>
        <w:rPr>
          <w:rFonts w:ascii="仿宋_GB2312" w:hAnsi="仿宋_GB2312" w:eastAsia="仿宋_GB2312" w:cs="仿宋_GB2312"/>
          <w:i w:val="0"/>
          <w:iCs w:val="0"/>
          <w:caps w:val="0"/>
          <w:color w:val="auto"/>
          <w:spacing w:val="0"/>
          <w:sz w:val="32"/>
          <w:szCs w:val="32"/>
        </w:rPr>
      </w:pPr>
      <w:r>
        <w:rPr>
          <w:rFonts w:ascii="仿宋_GB2312" w:hAnsi="仿宋_GB2312" w:eastAsia="仿宋_GB2312" w:cs="仿宋_GB2312"/>
          <w:i w:val="0"/>
          <w:iCs w:val="0"/>
          <w:caps w:val="0"/>
          <w:color w:val="auto"/>
          <w:spacing w:val="0"/>
          <w:kern w:val="0"/>
          <w:sz w:val="32"/>
          <w:szCs w:val="32"/>
          <w:shd w:val="clear" w:fill="FFFFFF"/>
          <w:lang w:val="en-US" w:eastAsia="zh-CN" w:bidi="ar"/>
        </w:rPr>
        <w:t>一、主要职能</w:t>
      </w:r>
    </w:p>
    <w:p>
      <w:pPr>
        <w:keepNext w:val="0"/>
        <w:keepLines w:val="0"/>
        <w:widowControl/>
        <w:suppressLineNumbers w:val="0"/>
        <w:pBdr>
          <w:top w:val="none" w:color="auto" w:sz="0" w:space="0"/>
          <w:left w:val="none" w:color="auto" w:sz="0" w:space="0"/>
          <w:bottom w:val="none" w:color="auto" w:sz="0" w:space="0"/>
          <w:right w:val="none" w:color="auto" w:sz="0" w:space="0"/>
        </w:pBdr>
        <w:shd w:val="clear" w:fill="FFFFFF"/>
        <w:wordWrap w:val="0"/>
        <w:spacing w:before="0" w:beforeAutospacing="0" w:line="409" w:lineRule="atLeast"/>
        <w:ind w:left="120" w:right="-150" w:firstLine="0"/>
        <w:jc w:val="left"/>
        <w:rPr>
          <w:rFonts w:ascii="仿宋_GB2312" w:hAnsi="仿宋_GB2312" w:eastAsia="仿宋_GB2312" w:cs="仿宋_GB2312"/>
          <w:i w:val="0"/>
          <w:iCs w:val="0"/>
          <w:caps w:val="0"/>
          <w:color w:val="auto"/>
          <w:spacing w:val="0"/>
          <w:sz w:val="32"/>
          <w:szCs w:val="32"/>
        </w:rPr>
      </w:pPr>
      <w:r>
        <w:rPr>
          <w:rFonts w:ascii="仿宋_GB2312" w:hAnsi="仿宋_GB2312" w:eastAsia="仿宋_GB2312" w:cs="仿宋_GB2312"/>
          <w:i w:val="0"/>
          <w:iCs w:val="0"/>
          <w:caps w:val="0"/>
          <w:color w:val="auto"/>
          <w:spacing w:val="0"/>
          <w:kern w:val="0"/>
          <w:sz w:val="32"/>
          <w:szCs w:val="32"/>
          <w:shd w:val="clear" w:fill="FFFFFF"/>
          <w:lang w:val="en-US" w:eastAsia="zh-CN" w:bidi="ar"/>
        </w:rPr>
        <w:t>二、机构设置及人员情况</w:t>
      </w:r>
    </w:p>
    <w:p>
      <w:pPr>
        <w:keepNext w:val="0"/>
        <w:keepLines w:val="0"/>
        <w:widowControl/>
        <w:suppressLineNumbers w:val="0"/>
        <w:pBdr>
          <w:top w:val="none" w:color="auto" w:sz="0" w:space="0"/>
          <w:left w:val="none" w:color="auto" w:sz="0" w:space="0"/>
          <w:bottom w:val="none" w:color="auto" w:sz="0" w:space="0"/>
          <w:right w:val="none" w:color="auto" w:sz="0" w:space="0"/>
        </w:pBdr>
        <w:shd w:val="clear" w:fill="FFFFFF"/>
        <w:wordWrap w:val="0"/>
        <w:spacing w:before="0" w:beforeAutospacing="0" w:line="409" w:lineRule="atLeast"/>
        <w:ind w:left="120" w:right="-150" w:firstLine="0"/>
        <w:jc w:val="left"/>
        <w:rPr>
          <w:rFonts w:ascii="仿宋_GB2312" w:hAnsi="仿宋_GB2312" w:eastAsia="仿宋_GB2312" w:cs="仿宋_GB2312"/>
          <w:i w:val="0"/>
          <w:iCs w:val="0"/>
          <w:caps w:val="0"/>
          <w:color w:val="auto"/>
          <w:spacing w:val="0"/>
          <w:sz w:val="32"/>
          <w:szCs w:val="32"/>
        </w:rPr>
      </w:pPr>
      <w:r>
        <w:rPr>
          <w:rFonts w:ascii="仿宋_GB2312" w:hAnsi="仿宋_GB2312" w:eastAsia="仿宋_GB2312" w:cs="仿宋_GB2312"/>
          <w:b/>
          <w:bCs/>
          <w:i w:val="0"/>
          <w:iCs w:val="0"/>
          <w:caps w:val="0"/>
          <w:color w:val="auto"/>
          <w:spacing w:val="0"/>
          <w:kern w:val="0"/>
          <w:sz w:val="32"/>
          <w:szCs w:val="32"/>
          <w:shd w:val="clear" w:fill="FFFFFF"/>
          <w:lang w:val="en-US" w:eastAsia="zh-CN" w:bidi="ar"/>
        </w:rPr>
        <w:t>第二部分 部门决算情况说明</w:t>
      </w:r>
    </w:p>
    <w:p>
      <w:pPr>
        <w:keepNext w:val="0"/>
        <w:keepLines w:val="0"/>
        <w:widowControl/>
        <w:suppressLineNumbers w:val="0"/>
        <w:pBdr>
          <w:top w:val="none" w:color="auto" w:sz="0" w:space="0"/>
          <w:left w:val="none" w:color="auto" w:sz="0" w:space="0"/>
          <w:bottom w:val="none" w:color="auto" w:sz="0" w:space="0"/>
          <w:right w:val="none" w:color="auto" w:sz="0" w:space="0"/>
        </w:pBdr>
        <w:shd w:val="clear" w:fill="FFFFFF"/>
        <w:wordWrap w:val="0"/>
        <w:spacing w:before="0" w:beforeAutospacing="0" w:line="409" w:lineRule="atLeast"/>
        <w:ind w:left="120" w:right="-150" w:firstLine="0"/>
        <w:jc w:val="left"/>
        <w:rPr>
          <w:rFonts w:ascii="仿宋_GB2312" w:hAnsi="仿宋_GB2312" w:eastAsia="仿宋_GB2312" w:cs="仿宋_GB2312"/>
          <w:i w:val="0"/>
          <w:iCs w:val="0"/>
          <w:caps w:val="0"/>
          <w:color w:val="auto"/>
          <w:spacing w:val="0"/>
          <w:sz w:val="32"/>
          <w:szCs w:val="32"/>
        </w:rPr>
      </w:pPr>
      <w:r>
        <w:rPr>
          <w:rFonts w:ascii="仿宋_GB2312" w:hAnsi="仿宋_GB2312" w:eastAsia="仿宋_GB2312" w:cs="仿宋_GB2312"/>
          <w:i w:val="0"/>
          <w:iCs w:val="0"/>
          <w:caps w:val="0"/>
          <w:color w:val="auto"/>
          <w:spacing w:val="0"/>
          <w:kern w:val="0"/>
          <w:sz w:val="32"/>
          <w:szCs w:val="32"/>
          <w:shd w:val="clear" w:fill="FFFFFF"/>
          <w:lang w:val="en-US" w:eastAsia="zh-CN" w:bidi="ar"/>
        </w:rPr>
        <w:t>一、收入支出决算总体情况说明</w:t>
      </w:r>
    </w:p>
    <w:p>
      <w:pPr>
        <w:keepNext w:val="0"/>
        <w:keepLines w:val="0"/>
        <w:widowControl/>
        <w:suppressLineNumbers w:val="0"/>
        <w:pBdr>
          <w:top w:val="none" w:color="auto" w:sz="0" w:space="0"/>
          <w:left w:val="none" w:color="auto" w:sz="0" w:space="0"/>
          <w:bottom w:val="none" w:color="auto" w:sz="0" w:space="0"/>
          <w:right w:val="none" w:color="auto" w:sz="0" w:space="0"/>
        </w:pBdr>
        <w:shd w:val="clear" w:fill="FFFFFF"/>
        <w:wordWrap w:val="0"/>
        <w:spacing w:before="0" w:beforeAutospacing="0" w:line="409" w:lineRule="atLeast"/>
        <w:ind w:left="120" w:right="-150" w:firstLine="0"/>
        <w:jc w:val="left"/>
        <w:rPr>
          <w:rFonts w:ascii="仿宋_GB2312" w:hAnsi="仿宋_GB2312" w:eastAsia="仿宋_GB2312" w:cs="仿宋_GB2312"/>
          <w:i w:val="0"/>
          <w:iCs w:val="0"/>
          <w:caps w:val="0"/>
          <w:color w:val="auto"/>
          <w:spacing w:val="0"/>
          <w:sz w:val="32"/>
          <w:szCs w:val="32"/>
        </w:rPr>
      </w:pPr>
      <w:r>
        <w:rPr>
          <w:rFonts w:ascii="仿宋_GB2312" w:hAnsi="仿宋_GB2312" w:eastAsia="仿宋_GB2312" w:cs="仿宋_GB2312"/>
          <w:i w:val="0"/>
          <w:iCs w:val="0"/>
          <w:caps w:val="0"/>
          <w:color w:val="auto"/>
          <w:spacing w:val="0"/>
          <w:kern w:val="0"/>
          <w:sz w:val="32"/>
          <w:szCs w:val="32"/>
          <w:shd w:val="clear" w:fill="FFFFFF"/>
          <w:lang w:val="en-US" w:eastAsia="zh-CN" w:bidi="ar"/>
        </w:rPr>
        <w:t>二、收入决算情况说明</w:t>
      </w:r>
    </w:p>
    <w:p>
      <w:pPr>
        <w:keepNext w:val="0"/>
        <w:keepLines w:val="0"/>
        <w:widowControl/>
        <w:suppressLineNumbers w:val="0"/>
        <w:pBdr>
          <w:top w:val="none" w:color="auto" w:sz="0" w:space="0"/>
          <w:left w:val="none" w:color="auto" w:sz="0" w:space="0"/>
          <w:bottom w:val="none" w:color="auto" w:sz="0" w:space="0"/>
          <w:right w:val="none" w:color="auto" w:sz="0" w:space="0"/>
        </w:pBdr>
        <w:shd w:val="clear" w:fill="FFFFFF"/>
        <w:wordWrap w:val="0"/>
        <w:spacing w:before="0" w:beforeAutospacing="0" w:line="409" w:lineRule="atLeast"/>
        <w:ind w:left="120" w:right="-150" w:firstLine="0"/>
        <w:jc w:val="left"/>
        <w:rPr>
          <w:rFonts w:ascii="仿宋_GB2312" w:hAnsi="仿宋_GB2312" w:eastAsia="仿宋_GB2312" w:cs="仿宋_GB2312"/>
          <w:i w:val="0"/>
          <w:iCs w:val="0"/>
          <w:caps w:val="0"/>
          <w:color w:val="auto"/>
          <w:spacing w:val="0"/>
          <w:sz w:val="32"/>
          <w:szCs w:val="32"/>
        </w:rPr>
      </w:pPr>
      <w:r>
        <w:rPr>
          <w:rFonts w:ascii="仿宋_GB2312" w:hAnsi="仿宋_GB2312" w:eastAsia="仿宋_GB2312" w:cs="仿宋_GB2312"/>
          <w:i w:val="0"/>
          <w:iCs w:val="0"/>
          <w:caps w:val="0"/>
          <w:color w:val="auto"/>
          <w:spacing w:val="0"/>
          <w:kern w:val="0"/>
          <w:sz w:val="32"/>
          <w:szCs w:val="32"/>
          <w:shd w:val="clear" w:fill="FFFFFF"/>
          <w:lang w:val="en-US" w:eastAsia="zh-CN" w:bidi="ar"/>
        </w:rPr>
        <w:t>三、支出决算情况说明</w:t>
      </w:r>
    </w:p>
    <w:p>
      <w:pPr>
        <w:keepNext w:val="0"/>
        <w:keepLines w:val="0"/>
        <w:widowControl/>
        <w:suppressLineNumbers w:val="0"/>
        <w:pBdr>
          <w:top w:val="none" w:color="auto" w:sz="0" w:space="0"/>
          <w:left w:val="none" w:color="auto" w:sz="0" w:space="0"/>
          <w:bottom w:val="none" w:color="auto" w:sz="0" w:space="0"/>
          <w:right w:val="none" w:color="auto" w:sz="0" w:space="0"/>
        </w:pBdr>
        <w:shd w:val="clear" w:fill="FFFFFF"/>
        <w:wordWrap w:val="0"/>
        <w:spacing w:before="0" w:beforeAutospacing="0" w:line="409" w:lineRule="atLeast"/>
        <w:ind w:left="120" w:right="-150" w:firstLine="0"/>
        <w:jc w:val="left"/>
        <w:rPr>
          <w:rFonts w:ascii="仿宋_GB2312" w:hAnsi="仿宋_GB2312" w:eastAsia="仿宋_GB2312" w:cs="仿宋_GB2312"/>
          <w:i w:val="0"/>
          <w:iCs w:val="0"/>
          <w:caps w:val="0"/>
          <w:color w:val="auto"/>
          <w:spacing w:val="0"/>
          <w:sz w:val="32"/>
          <w:szCs w:val="32"/>
        </w:rPr>
      </w:pPr>
      <w:r>
        <w:rPr>
          <w:rFonts w:ascii="仿宋_GB2312" w:hAnsi="仿宋_GB2312" w:eastAsia="仿宋_GB2312" w:cs="仿宋_GB2312"/>
          <w:i w:val="0"/>
          <w:iCs w:val="0"/>
          <w:caps w:val="0"/>
          <w:color w:val="auto"/>
          <w:spacing w:val="0"/>
          <w:kern w:val="0"/>
          <w:sz w:val="32"/>
          <w:szCs w:val="32"/>
          <w:shd w:val="clear" w:fill="FFFFFF"/>
          <w:lang w:val="en-US" w:eastAsia="zh-CN" w:bidi="ar"/>
        </w:rPr>
        <w:t>四、财政拨款收入支出决算总体情况说明</w:t>
      </w:r>
    </w:p>
    <w:p>
      <w:pPr>
        <w:keepNext w:val="0"/>
        <w:keepLines w:val="0"/>
        <w:widowControl/>
        <w:suppressLineNumbers w:val="0"/>
        <w:pBdr>
          <w:top w:val="none" w:color="auto" w:sz="0" w:space="0"/>
          <w:left w:val="none" w:color="auto" w:sz="0" w:space="0"/>
          <w:bottom w:val="none" w:color="auto" w:sz="0" w:space="0"/>
          <w:right w:val="none" w:color="auto" w:sz="0" w:space="0"/>
        </w:pBdr>
        <w:shd w:val="clear" w:fill="FFFFFF"/>
        <w:wordWrap w:val="0"/>
        <w:spacing w:before="0" w:beforeAutospacing="0" w:line="409" w:lineRule="atLeast"/>
        <w:ind w:left="120" w:right="-150" w:firstLine="0"/>
        <w:jc w:val="left"/>
        <w:rPr>
          <w:rFonts w:ascii="仿宋_GB2312" w:hAnsi="仿宋_GB2312" w:eastAsia="仿宋_GB2312" w:cs="仿宋_GB2312"/>
          <w:i w:val="0"/>
          <w:iCs w:val="0"/>
          <w:caps w:val="0"/>
          <w:color w:val="auto"/>
          <w:spacing w:val="0"/>
          <w:sz w:val="32"/>
          <w:szCs w:val="32"/>
        </w:rPr>
      </w:pPr>
      <w:r>
        <w:rPr>
          <w:rFonts w:ascii="仿宋_GB2312" w:hAnsi="仿宋_GB2312" w:eastAsia="仿宋_GB2312" w:cs="仿宋_GB2312"/>
          <w:i w:val="0"/>
          <w:iCs w:val="0"/>
          <w:caps w:val="0"/>
          <w:color w:val="auto"/>
          <w:spacing w:val="0"/>
          <w:kern w:val="0"/>
          <w:sz w:val="32"/>
          <w:szCs w:val="32"/>
          <w:shd w:val="clear" w:fill="FFFFFF"/>
          <w:lang w:val="en-US" w:eastAsia="zh-CN" w:bidi="ar"/>
        </w:rPr>
        <w:t>五、一般公共预算财政拨款支出决算情况说明</w:t>
      </w:r>
    </w:p>
    <w:p>
      <w:pPr>
        <w:keepNext w:val="0"/>
        <w:keepLines w:val="0"/>
        <w:widowControl/>
        <w:suppressLineNumbers w:val="0"/>
        <w:pBdr>
          <w:top w:val="none" w:color="auto" w:sz="0" w:space="0"/>
          <w:left w:val="none" w:color="auto" w:sz="0" w:space="0"/>
          <w:bottom w:val="none" w:color="auto" w:sz="0" w:space="0"/>
          <w:right w:val="none" w:color="auto" w:sz="0" w:space="0"/>
        </w:pBdr>
        <w:shd w:val="clear" w:fill="FFFFFF"/>
        <w:wordWrap w:val="0"/>
        <w:spacing w:before="0" w:beforeAutospacing="0" w:line="409" w:lineRule="atLeast"/>
        <w:ind w:left="120" w:right="-150" w:firstLine="0"/>
        <w:jc w:val="left"/>
        <w:rPr>
          <w:rFonts w:ascii="仿宋_GB2312" w:hAnsi="仿宋_GB2312" w:eastAsia="仿宋_GB2312" w:cs="仿宋_GB2312"/>
          <w:i w:val="0"/>
          <w:iCs w:val="0"/>
          <w:caps w:val="0"/>
          <w:color w:val="auto"/>
          <w:spacing w:val="0"/>
          <w:sz w:val="32"/>
          <w:szCs w:val="32"/>
        </w:rPr>
      </w:pPr>
      <w:r>
        <w:rPr>
          <w:rFonts w:ascii="仿宋_GB2312" w:hAnsi="仿宋_GB2312" w:eastAsia="仿宋_GB2312" w:cs="仿宋_GB2312"/>
          <w:i w:val="0"/>
          <w:iCs w:val="0"/>
          <w:caps w:val="0"/>
          <w:color w:val="auto"/>
          <w:spacing w:val="0"/>
          <w:kern w:val="0"/>
          <w:sz w:val="32"/>
          <w:szCs w:val="32"/>
          <w:shd w:val="clear" w:fill="FFFFFF"/>
          <w:lang w:val="en-US" w:eastAsia="zh-CN" w:bidi="ar"/>
        </w:rPr>
        <w:t>（一）一般公共预算财政拨款支出决算总体情况</w:t>
      </w:r>
    </w:p>
    <w:p>
      <w:pPr>
        <w:keepNext w:val="0"/>
        <w:keepLines w:val="0"/>
        <w:widowControl/>
        <w:suppressLineNumbers w:val="0"/>
        <w:pBdr>
          <w:top w:val="none" w:color="auto" w:sz="0" w:space="0"/>
          <w:left w:val="none" w:color="auto" w:sz="0" w:space="0"/>
          <w:bottom w:val="none" w:color="auto" w:sz="0" w:space="0"/>
          <w:right w:val="none" w:color="auto" w:sz="0" w:space="0"/>
        </w:pBdr>
        <w:shd w:val="clear" w:fill="FFFFFF"/>
        <w:wordWrap w:val="0"/>
        <w:spacing w:before="0" w:beforeAutospacing="0" w:line="409" w:lineRule="atLeast"/>
        <w:ind w:left="120" w:right="-150" w:firstLine="0"/>
        <w:jc w:val="left"/>
        <w:rPr>
          <w:rFonts w:ascii="仿宋_GB2312" w:hAnsi="仿宋_GB2312" w:eastAsia="仿宋_GB2312" w:cs="仿宋_GB2312"/>
          <w:i w:val="0"/>
          <w:iCs w:val="0"/>
          <w:caps w:val="0"/>
          <w:color w:val="auto"/>
          <w:spacing w:val="0"/>
          <w:sz w:val="32"/>
          <w:szCs w:val="32"/>
        </w:rPr>
      </w:pPr>
      <w:r>
        <w:rPr>
          <w:rFonts w:ascii="仿宋_GB2312" w:hAnsi="仿宋_GB2312" w:eastAsia="仿宋_GB2312" w:cs="仿宋_GB2312"/>
          <w:i w:val="0"/>
          <w:iCs w:val="0"/>
          <w:caps w:val="0"/>
          <w:color w:val="auto"/>
          <w:spacing w:val="0"/>
          <w:kern w:val="0"/>
          <w:sz w:val="32"/>
          <w:szCs w:val="32"/>
          <w:shd w:val="clear" w:fill="FFFFFF"/>
          <w:lang w:val="en-US" w:eastAsia="zh-CN" w:bidi="ar"/>
        </w:rPr>
        <w:t>（二）一般公共预算财政拨款支出决算结构情况</w:t>
      </w:r>
    </w:p>
    <w:p>
      <w:pPr>
        <w:keepNext w:val="0"/>
        <w:keepLines w:val="0"/>
        <w:widowControl/>
        <w:suppressLineNumbers w:val="0"/>
        <w:pBdr>
          <w:top w:val="none" w:color="auto" w:sz="0" w:space="0"/>
          <w:left w:val="none" w:color="auto" w:sz="0" w:space="0"/>
          <w:bottom w:val="none" w:color="auto" w:sz="0" w:space="0"/>
          <w:right w:val="none" w:color="auto" w:sz="0" w:space="0"/>
        </w:pBdr>
        <w:shd w:val="clear" w:fill="FFFFFF"/>
        <w:wordWrap w:val="0"/>
        <w:spacing w:before="0" w:beforeAutospacing="0" w:line="409" w:lineRule="atLeast"/>
        <w:ind w:left="120" w:right="-150" w:firstLine="0"/>
        <w:jc w:val="left"/>
        <w:rPr>
          <w:rFonts w:ascii="仿宋_GB2312" w:hAnsi="仿宋_GB2312" w:eastAsia="仿宋_GB2312" w:cs="仿宋_GB2312"/>
          <w:i w:val="0"/>
          <w:iCs w:val="0"/>
          <w:caps w:val="0"/>
          <w:color w:val="auto"/>
          <w:spacing w:val="0"/>
          <w:sz w:val="32"/>
          <w:szCs w:val="32"/>
        </w:rPr>
      </w:pPr>
      <w:r>
        <w:rPr>
          <w:rFonts w:ascii="仿宋_GB2312" w:hAnsi="仿宋_GB2312" w:eastAsia="仿宋_GB2312" w:cs="仿宋_GB2312"/>
          <w:i w:val="0"/>
          <w:iCs w:val="0"/>
          <w:caps w:val="0"/>
          <w:color w:val="auto"/>
          <w:spacing w:val="0"/>
          <w:kern w:val="0"/>
          <w:sz w:val="32"/>
          <w:szCs w:val="32"/>
          <w:shd w:val="clear" w:fill="FFFFFF"/>
          <w:lang w:val="en-US" w:eastAsia="zh-CN" w:bidi="ar"/>
        </w:rPr>
        <w:t>（三）一般公共预算财政拨款支出决算具体情况</w:t>
      </w:r>
    </w:p>
    <w:p>
      <w:pPr>
        <w:keepNext w:val="0"/>
        <w:keepLines w:val="0"/>
        <w:widowControl/>
        <w:suppressLineNumbers w:val="0"/>
        <w:pBdr>
          <w:top w:val="none" w:color="auto" w:sz="0" w:space="0"/>
          <w:left w:val="none" w:color="auto" w:sz="0" w:space="0"/>
          <w:bottom w:val="none" w:color="auto" w:sz="0" w:space="0"/>
          <w:right w:val="none" w:color="auto" w:sz="0" w:space="0"/>
        </w:pBdr>
        <w:shd w:val="clear" w:fill="FFFFFF"/>
        <w:wordWrap w:val="0"/>
        <w:spacing w:before="0" w:beforeAutospacing="0" w:line="409" w:lineRule="atLeast"/>
        <w:ind w:left="120" w:right="-150" w:firstLine="0"/>
        <w:jc w:val="left"/>
        <w:rPr>
          <w:rFonts w:ascii="仿宋_GB2312" w:hAnsi="仿宋_GB2312" w:eastAsia="仿宋_GB2312" w:cs="仿宋_GB2312"/>
          <w:i w:val="0"/>
          <w:iCs w:val="0"/>
          <w:caps w:val="0"/>
          <w:color w:val="auto"/>
          <w:spacing w:val="0"/>
          <w:sz w:val="32"/>
          <w:szCs w:val="32"/>
        </w:rPr>
      </w:pPr>
      <w:r>
        <w:rPr>
          <w:rFonts w:ascii="仿宋_GB2312" w:hAnsi="仿宋_GB2312" w:eastAsia="仿宋_GB2312" w:cs="仿宋_GB2312"/>
          <w:i w:val="0"/>
          <w:iCs w:val="0"/>
          <w:caps w:val="0"/>
          <w:color w:val="auto"/>
          <w:spacing w:val="0"/>
          <w:kern w:val="0"/>
          <w:sz w:val="32"/>
          <w:szCs w:val="32"/>
          <w:shd w:val="clear" w:fill="FFFFFF"/>
          <w:lang w:val="en-US" w:eastAsia="zh-CN" w:bidi="ar"/>
        </w:rPr>
        <w:t>六、一般公共预算财政拨款基本支出决算情况说明</w:t>
      </w:r>
    </w:p>
    <w:p>
      <w:pPr>
        <w:keepNext w:val="0"/>
        <w:keepLines w:val="0"/>
        <w:widowControl/>
        <w:suppressLineNumbers w:val="0"/>
        <w:pBdr>
          <w:top w:val="none" w:color="auto" w:sz="0" w:space="0"/>
          <w:left w:val="none" w:color="auto" w:sz="0" w:space="0"/>
          <w:bottom w:val="none" w:color="auto" w:sz="0" w:space="0"/>
          <w:right w:val="none" w:color="auto" w:sz="0" w:space="0"/>
        </w:pBdr>
        <w:shd w:val="clear" w:fill="FFFFFF"/>
        <w:wordWrap w:val="0"/>
        <w:spacing w:before="0" w:beforeAutospacing="0" w:line="409" w:lineRule="atLeast"/>
        <w:ind w:left="120" w:right="-150" w:firstLine="0"/>
        <w:jc w:val="left"/>
        <w:rPr>
          <w:rFonts w:ascii="仿宋_GB2312" w:hAnsi="仿宋_GB2312" w:eastAsia="仿宋_GB2312" w:cs="仿宋_GB2312"/>
          <w:i w:val="0"/>
          <w:iCs w:val="0"/>
          <w:caps w:val="0"/>
          <w:color w:val="auto"/>
          <w:spacing w:val="0"/>
          <w:sz w:val="32"/>
          <w:szCs w:val="32"/>
        </w:rPr>
      </w:pPr>
      <w:r>
        <w:rPr>
          <w:rFonts w:ascii="仿宋_GB2312" w:hAnsi="仿宋_GB2312" w:eastAsia="仿宋_GB2312" w:cs="仿宋_GB2312"/>
          <w:i w:val="0"/>
          <w:iCs w:val="0"/>
          <w:caps w:val="0"/>
          <w:color w:val="auto"/>
          <w:spacing w:val="0"/>
          <w:kern w:val="0"/>
          <w:sz w:val="32"/>
          <w:szCs w:val="32"/>
          <w:shd w:val="clear" w:fill="FFFFFF"/>
          <w:lang w:val="en-US" w:eastAsia="zh-CN" w:bidi="ar"/>
        </w:rPr>
        <w:t>七、政府性基金预算财政拨款收入支出决算情况说明</w:t>
      </w:r>
    </w:p>
    <w:p>
      <w:pPr>
        <w:keepNext w:val="0"/>
        <w:keepLines w:val="0"/>
        <w:widowControl/>
        <w:suppressLineNumbers w:val="0"/>
        <w:pBdr>
          <w:top w:val="none" w:color="auto" w:sz="0" w:space="0"/>
          <w:left w:val="none" w:color="auto" w:sz="0" w:space="0"/>
          <w:bottom w:val="none" w:color="auto" w:sz="0" w:space="0"/>
          <w:right w:val="none" w:color="auto" w:sz="0" w:space="0"/>
        </w:pBdr>
        <w:shd w:val="clear" w:fill="FFFFFF"/>
        <w:wordWrap w:val="0"/>
        <w:spacing w:before="0" w:beforeAutospacing="0" w:line="409" w:lineRule="atLeast"/>
        <w:ind w:left="120" w:right="-150" w:firstLine="0"/>
        <w:jc w:val="left"/>
        <w:rPr>
          <w:rFonts w:ascii="仿宋_GB2312" w:hAnsi="仿宋_GB2312" w:eastAsia="仿宋_GB2312" w:cs="仿宋_GB2312"/>
          <w:i w:val="0"/>
          <w:iCs w:val="0"/>
          <w:caps w:val="0"/>
          <w:color w:val="auto"/>
          <w:spacing w:val="0"/>
          <w:sz w:val="32"/>
          <w:szCs w:val="32"/>
        </w:rPr>
      </w:pPr>
      <w:r>
        <w:rPr>
          <w:rFonts w:ascii="仿宋_GB2312" w:hAnsi="仿宋_GB2312" w:eastAsia="仿宋_GB2312" w:cs="仿宋_GB2312"/>
          <w:i w:val="0"/>
          <w:iCs w:val="0"/>
          <w:caps w:val="0"/>
          <w:color w:val="auto"/>
          <w:spacing w:val="0"/>
          <w:kern w:val="0"/>
          <w:sz w:val="32"/>
          <w:szCs w:val="32"/>
          <w:shd w:val="clear" w:fill="FFFFFF"/>
          <w:lang w:val="en-US" w:eastAsia="zh-CN" w:bidi="ar"/>
        </w:rPr>
        <w:t>八、国有资本经营预算财政拨款收入支出决算情况说明</w:t>
      </w:r>
    </w:p>
    <w:p>
      <w:pPr>
        <w:keepNext w:val="0"/>
        <w:keepLines w:val="0"/>
        <w:widowControl/>
        <w:suppressLineNumbers w:val="0"/>
        <w:pBdr>
          <w:top w:val="none" w:color="auto" w:sz="0" w:space="0"/>
          <w:left w:val="none" w:color="auto" w:sz="0" w:space="0"/>
          <w:bottom w:val="none" w:color="auto" w:sz="0" w:space="0"/>
          <w:right w:val="none" w:color="auto" w:sz="0" w:space="0"/>
        </w:pBdr>
        <w:shd w:val="clear" w:fill="FFFFFF"/>
        <w:wordWrap w:val="0"/>
        <w:spacing w:before="0" w:beforeAutospacing="0" w:line="409" w:lineRule="atLeast"/>
        <w:ind w:left="120" w:right="-150" w:firstLine="0"/>
        <w:jc w:val="left"/>
        <w:rPr>
          <w:rFonts w:ascii="仿宋_GB2312" w:hAnsi="仿宋_GB2312" w:eastAsia="仿宋_GB2312" w:cs="仿宋_GB2312"/>
          <w:i w:val="0"/>
          <w:iCs w:val="0"/>
          <w:caps w:val="0"/>
          <w:color w:val="auto"/>
          <w:spacing w:val="0"/>
          <w:sz w:val="32"/>
          <w:szCs w:val="32"/>
        </w:rPr>
      </w:pPr>
      <w:r>
        <w:rPr>
          <w:rFonts w:ascii="仿宋_GB2312" w:hAnsi="仿宋_GB2312" w:eastAsia="仿宋_GB2312" w:cs="仿宋_GB2312"/>
          <w:i w:val="0"/>
          <w:iCs w:val="0"/>
          <w:caps w:val="0"/>
          <w:color w:val="auto"/>
          <w:spacing w:val="0"/>
          <w:kern w:val="0"/>
          <w:sz w:val="32"/>
          <w:szCs w:val="32"/>
          <w:shd w:val="clear" w:fill="FFFFFF"/>
          <w:lang w:val="en-US" w:eastAsia="zh-CN" w:bidi="ar"/>
        </w:rPr>
        <w:t>九、财政拨款“三公”经费支出决算情况说明</w:t>
      </w:r>
    </w:p>
    <w:p>
      <w:pPr>
        <w:keepNext w:val="0"/>
        <w:keepLines w:val="0"/>
        <w:widowControl/>
        <w:suppressLineNumbers w:val="0"/>
        <w:pBdr>
          <w:top w:val="none" w:color="auto" w:sz="0" w:space="0"/>
          <w:left w:val="none" w:color="auto" w:sz="0" w:space="0"/>
          <w:bottom w:val="none" w:color="auto" w:sz="0" w:space="0"/>
          <w:right w:val="none" w:color="auto" w:sz="0" w:space="0"/>
        </w:pBdr>
        <w:shd w:val="clear" w:fill="FFFFFF"/>
        <w:wordWrap w:val="0"/>
        <w:spacing w:before="0" w:beforeAutospacing="0" w:line="409" w:lineRule="atLeast"/>
        <w:ind w:left="120" w:right="-150" w:firstLine="0"/>
        <w:jc w:val="left"/>
        <w:rPr>
          <w:rFonts w:ascii="仿宋_GB2312" w:hAnsi="仿宋_GB2312" w:eastAsia="仿宋_GB2312" w:cs="仿宋_GB2312"/>
          <w:i w:val="0"/>
          <w:iCs w:val="0"/>
          <w:caps w:val="0"/>
          <w:color w:val="auto"/>
          <w:spacing w:val="0"/>
          <w:sz w:val="32"/>
          <w:szCs w:val="32"/>
        </w:rPr>
      </w:pPr>
      <w:r>
        <w:rPr>
          <w:rFonts w:ascii="仿宋_GB2312" w:hAnsi="仿宋_GB2312" w:eastAsia="仿宋_GB2312" w:cs="仿宋_GB2312"/>
          <w:i w:val="0"/>
          <w:iCs w:val="0"/>
          <w:caps w:val="0"/>
          <w:color w:val="auto"/>
          <w:spacing w:val="0"/>
          <w:kern w:val="0"/>
          <w:sz w:val="32"/>
          <w:szCs w:val="32"/>
          <w:shd w:val="clear" w:fill="FFFFFF"/>
          <w:lang w:val="en-US" w:eastAsia="zh-CN" w:bidi="ar"/>
        </w:rPr>
        <w:t>十、其他重要事项的情况说明</w:t>
      </w:r>
    </w:p>
    <w:p>
      <w:pPr>
        <w:keepNext w:val="0"/>
        <w:keepLines w:val="0"/>
        <w:widowControl/>
        <w:suppressLineNumbers w:val="0"/>
        <w:pBdr>
          <w:top w:val="none" w:color="auto" w:sz="0" w:space="0"/>
          <w:left w:val="none" w:color="auto" w:sz="0" w:space="0"/>
          <w:bottom w:val="none" w:color="auto" w:sz="0" w:space="0"/>
          <w:right w:val="none" w:color="auto" w:sz="0" w:space="0"/>
        </w:pBdr>
        <w:shd w:val="clear" w:fill="FFFFFF"/>
        <w:wordWrap w:val="0"/>
        <w:spacing w:before="0" w:beforeAutospacing="0" w:line="409" w:lineRule="atLeast"/>
        <w:ind w:left="120" w:right="-150" w:firstLine="0"/>
        <w:jc w:val="left"/>
        <w:rPr>
          <w:rFonts w:ascii="仿宋_GB2312" w:hAnsi="仿宋_GB2312" w:eastAsia="仿宋_GB2312" w:cs="仿宋_GB2312"/>
          <w:i w:val="0"/>
          <w:iCs w:val="0"/>
          <w:caps w:val="0"/>
          <w:color w:val="auto"/>
          <w:spacing w:val="0"/>
          <w:sz w:val="32"/>
          <w:szCs w:val="32"/>
        </w:rPr>
      </w:pPr>
      <w:r>
        <w:rPr>
          <w:rFonts w:ascii="仿宋_GB2312" w:hAnsi="仿宋_GB2312" w:eastAsia="仿宋_GB2312" w:cs="仿宋_GB2312"/>
          <w:i w:val="0"/>
          <w:iCs w:val="0"/>
          <w:caps w:val="0"/>
          <w:color w:val="auto"/>
          <w:spacing w:val="0"/>
          <w:kern w:val="0"/>
          <w:sz w:val="32"/>
          <w:szCs w:val="32"/>
          <w:shd w:val="clear" w:fill="FFFFFF"/>
          <w:lang w:val="en-US" w:eastAsia="zh-CN" w:bidi="ar"/>
        </w:rPr>
        <w:t>（一）机关运行经费及公用经费支出情况</w:t>
      </w:r>
    </w:p>
    <w:p>
      <w:pPr>
        <w:keepNext w:val="0"/>
        <w:keepLines w:val="0"/>
        <w:widowControl/>
        <w:suppressLineNumbers w:val="0"/>
        <w:pBdr>
          <w:top w:val="none" w:color="auto" w:sz="0" w:space="0"/>
          <w:left w:val="none" w:color="auto" w:sz="0" w:space="0"/>
          <w:bottom w:val="none" w:color="auto" w:sz="0" w:space="0"/>
          <w:right w:val="none" w:color="auto" w:sz="0" w:space="0"/>
        </w:pBdr>
        <w:shd w:val="clear" w:fill="FFFFFF"/>
        <w:wordWrap w:val="0"/>
        <w:spacing w:before="0" w:beforeAutospacing="0" w:line="409" w:lineRule="atLeast"/>
        <w:ind w:left="120" w:right="-150" w:firstLine="0"/>
        <w:jc w:val="left"/>
        <w:rPr>
          <w:rFonts w:ascii="仿宋_GB2312" w:hAnsi="仿宋_GB2312" w:eastAsia="仿宋_GB2312" w:cs="仿宋_GB2312"/>
          <w:i w:val="0"/>
          <w:iCs w:val="0"/>
          <w:caps w:val="0"/>
          <w:color w:val="auto"/>
          <w:spacing w:val="0"/>
          <w:sz w:val="32"/>
          <w:szCs w:val="32"/>
        </w:rPr>
      </w:pPr>
      <w:r>
        <w:rPr>
          <w:rFonts w:ascii="仿宋_GB2312" w:hAnsi="仿宋_GB2312" w:eastAsia="仿宋_GB2312" w:cs="仿宋_GB2312"/>
          <w:i w:val="0"/>
          <w:iCs w:val="0"/>
          <w:caps w:val="0"/>
          <w:color w:val="auto"/>
          <w:spacing w:val="0"/>
          <w:kern w:val="0"/>
          <w:sz w:val="32"/>
          <w:szCs w:val="32"/>
          <w:shd w:val="clear" w:fill="FFFFFF"/>
          <w:lang w:val="en-US" w:eastAsia="zh-CN" w:bidi="ar"/>
        </w:rPr>
        <w:t>（二）政府采购情况</w:t>
      </w:r>
    </w:p>
    <w:p>
      <w:pPr>
        <w:keepNext w:val="0"/>
        <w:keepLines w:val="0"/>
        <w:widowControl/>
        <w:suppressLineNumbers w:val="0"/>
        <w:pBdr>
          <w:top w:val="none" w:color="auto" w:sz="0" w:space="0"/>
          <w:left w:val="none" w:color="auto" w:sz="0" w:space="0"/>
          <w:bottom w:val="none" w:color="auto" w:sz="0" w:space="0"/>
          <w:right w:val="none" w:color="auto" w:sz="0" w:space="0"/>
        </w:pBdr>
        <w:shd w:val="clear" w:fill="FFFFFF"/>
        <w:wordWrap w:val="0"/>
        <w:spacing w:before="0" w:beforeAutospacing="0" w:line="409" w:lineRule="atLeast"/>
        <w:ind w:left="120" w:right="-150" w:firstLine="0"/>
        <w:jc w:val="left"/>
        <w:rPr>
          <w:rFonts w:ascii="仿宋_GB2312" w:hAnsi="仿宋_GB2312" w:eastAsia="仿宋_GB2312" w:cs="仿宋_GB2312"/>
          <w:i w:val="0"/>
          <w:iCs w:val="0"/>
          <w:caps w:val="0"/>
          <w:color w:val="auto"/>
          <w:spacing w:val="0"/>
          <w:sz w:val="32"/>
          <w:szCs w:val="32"/>
        </w:rPr>
      </w:pPr>
      <w:r>
        <w:rPr>
          <w:rFonts w:ascii="仿宋_GB2312" w:hAnsi="仿宋_GB2312" w:eastAsia="仿宋_GB2312" w:cs="仿宋_GB2312"/>
          <w:i w:val="0"/>
          <w:iCs w:val="0"/>
          <w:caps w:val="0"/>
          <w:color w:val="auto"/>
          <w:spacing w:val="0"/>
          <w:kern w:val="0"/>
          <w:sz w:val="32"/>
          <w:szCs w:val="32"/>
          <w:shd w:val="clear" w:fill="FFFFFF"/>
          <w:lang w:val="en-US" w:eastAsia="zh-CN" w:bidi="ar"/>
        </w:rPr>
        <w:t>（三）国有资产占用情况说明</w:t>
      </w:r>
    </w:p>
    <w:p>
      <w:pPr>
        <w:keepNext w:val="0"/>
        <w:keepLines w:val="0"/>
        <w:widowControl/>
        <w:suppressLineNumbers w:val="0"/>
        <w:pBdr>
          <w:top w:val="none" w:color="auto" w:sz="0" w:space="0"/>
          <w:left w:val="none" w:color="auto" w:sz="0" w:space="0"/>
          <w:bottom w:val="none" w:color="auto" w:sz="0" w:space="0"/>
          <w:right w:val="none" w:color="auto" w:sz="0" w:space="0"/>
        </w:pBdr>
        <w:shd w:val="clear" w:fill="FFFFFF"/>
        <w:wordWrap w:val="0"/>
        <w:spacing w:before="0" w:beforeAutospacing="0" w:line="409" w:lineRule="atLeast"/>
        <w:ind w:left="120" w:right="-150" w:firstLine="0"/>
        <w:jc w:val="left"/>
        <w:rPr>
          <w:rFonts w:ascii="仿宋_GB2312" w:hAnsi="仿宋_GB2312" w:eastAsia="仿宋_GB2312" w:cs="仿宋_GB2312"/>
          <w:i w:val="0"/>
          <w:iCs w:val="0"/>
          <w:caps w:val="0"/>
          <w:color w:val="auto"/>
          <w:spacing w:val="0"/>
          <w:sz w:val="32"/>
          <w:szCs w:val="32"/>
        </w:rPr>
      </w:pPr>
      <w:r>
        <w:rPr>
          <w:rFonts w:ascii="仿宋_GB2312" w:hAnsi="仿宋_GB2312" w:eastAsia="仿宋_GB2312" w:cs="仿宋_GB2312"/>
          <w:i w:val="0"/>
          <w:iCs w:val="0"/>
          <w:caps w:val="0"/>
          <w:color w:val="auto"/>
          <w:spacing w:val="0"/>
          <w:kern w:val="0"/>
          <w:sz w:val="32"/>
          <w:szCs w:val="32"/>
          <w:shd w:val="clear" w:fill="FFFFFF"/>
          <w:lang w:val="en-US" w:eastAsia="zh-CN" w:bidi="ar"/>
        </w:rPr>
        <w:t>十一、预算绩效的情况说明</w:t>
      </w:r>
    </w:p>
    <w:p>
      <w:pPr>
        <w:keepNext w:val="0"/>
        <w:keepLines w:val="0"/>
        <w:widowControl/>
        <w:suppressLineNumbers w:val="0"/>
        <w:pBdr>
          <w:top w:val="none" w:color="auto" w:sz="0" w:space="0"/>
          <w:left w:val="none" w:color="auto" w:sz="0" w:space="0"/>
          <w:bottom w:val="none" w:color="auto" w:sz="0" w:space="0"/>
          <w:right w:val="none" w:color="auto" w:sz="0" w:space="0"/>
        </w:pBdr>
        <w:shd w:val="clear" w:fill="FFFFFF"/>
        <w:wordWrap w:val="0"/>
        <w:spacing w:before="0" w:beforeAutospacing="0" w:line="409" w:lineRule="atLeast"/>
        <w:ind w:left="120" w:right="-150" w:firstLine="0"/>
        <w:jc w:val="left"/>
        <w:rPr>
          <w:rFonts w:ascii="仿宋_GB2312" w:hAnsi="仿宋_GB2312" w:eastAsia="仿宋_GB2312" w:cs="仿宋_GB2312"/>
          <w:i w:val="0"/>
          <w:iCs w:val="0"/>
          <w:caps w:val="0"/>
          <w:color w:val="auto"/>
          <w:spacing w:val="0"/>
          <w:sz w:val="32"/>
          <w:szCs w:val="32"/>
        </w:rPr>
      </w:pPr>
      <w:r>
        <w:rPr>
          <w:rFonts w:ascii="仿宋_GB2312" w:hAnsi="仿宋_GB2312" w:eastAsia="仿宋_GB2312" w:cs="仿宋_GB2312"/>
          <w:i w:val="0"/>
          <w:iCs w:val="0"/>
          <w:caps w:val="0"/>
          <w:color w:val="auto"/>
          <w:spacing w:val="0"/>
          <w:kern w:val="0"/>
          <w:sz w:val="32"/>
          <w:szCs w:val="32"/>
          <w:shd w:val="clear" w:fill="FFFFFF"/>
          <w:lang w:val="en-US" w:eastAsia="zh-CN" w:bidi="ar"/>
        </w:rPr>
        <w:t>十二、其他需说明的事项</w:t>
      </w:r>
    </w:p>
    <w:p>
      <w:pPr>
        <w:keepNext w:val="0"/>
        <w:keepLines w:val="0"/>
        <w:widowControl/>
        <w:suppressLineNumbers w:val="0"/>
        <w:pBdr>
          <w:top w:val="none" w:color="auto" w:sz="0" w:space="0"/>
          <w:left w:val="none" w:color="auto" w:sz="0" w:space="0"/>
          <w:bottom w:val="none" w:color="auto" w:sz="0" w:space="0"/>
          <w:right w:val="none" w:color="auto" w:sz="0" w:space="0"/>
        </w:pBdr>
        <w:shd w:val="clear" w:fill="FFFFFF"/>
        <w:wordWrap w:val="0"/>
        <w:spacing w:before="0" w:beforeAutospacing="0" w:line="409" w:lineRule="atLeast"/>
        <w:ind w:left="120" w:right="-150" w:firstLine="0"/>
        <w:jc w:val="left"/>
        <w:rPr>
          <w:rFonts w:ascii="仿宋_GB2312" w:hAnsi="仿宋_GB2312" w:eastAsia="仿宋_GB2312" w:cs="仿宋_GB2312"/>
          <w:i w:val="0"/>
          <w:iCs w:val="0"/>
          <w:caps w:val="0"/>
          <w:color w:val="auto"/>
          <w:spacing w:val="0"/>
          <w:sz w:val="32"/>
          <w:szCs w:val="32"/>
        </w:rPr>
      </w:pPr>
      <w:r>
        <w:rPr>
          <w:rFonts w:ascii="仿宋_GB2312" w:hAnsi="仿宋_GB2312" w:eastAsia="仿宋_GB2312" w:cs="仿宋_GB2312"/>
          <w:b/>
          <w:bCs/>
          <w:i w:val="0"/>
          <w:iCs w:val="0"/>
          <w:caps w:val="0"/>
          <w:color w:val="auto"/>
          <w:spacing w:val="0"/>
          <w:kern w:val="0"/>
          <w:sz w:val="32"/>
          <w:szCs w:val="32"/>
          <w:shd w:val="clear" w:fill="FFFFFF"/>
          <w:lang w:val="en-US" w:eastAsia="zh-CN" w:bidi="ar"/>
        </w:rPr>
        <w:t>第三部分 专业名词解释</w:t>
      </w:r>
    </w:p>
    <w:p>
      <w:pPr>
        <w:keepNext w:val="0"/>
        <w:keepLines w:val="0"/>
        <w:widowControl/>
        <w:suppressLineNumbers w:val="0"/>
        <w:pBdr>
          <w:top w:val="none" w:color="auto" w:sz="0" w:space="0"/>
          <w:left w:val="none" w:color="auto" w:sz="0" w:space="0"/>
          <w:bottom w:val="none" w:color="auto" w:sz="0" w:space="0"/>
          <w:right w:val="none" w:color="auto" w:sz="0" w:space="0"/>
        </w:pBdr>
        <w:shd w:val="clear" w:fill="FFFFFF"/>
        <w:wordWrap w:val="0"/>
        <w:spacing w:before="0" w:beforeAutospacing="0" w:line="409" w:lineRule="atLeast"/>
        <w:ind w:left="120" w:right="-150" w:firstLine="0"/>
        <w:jc w:val="left"/>
        <w:rPr>
          <w:rFonts w:ascii="仿宋_GB2312" w:hAnsi="仿宋_GB2312" w:eastAsia="仿宋_GB2312" w:cs="仿宋_GB2312"/>
          <w:i w:val="0"/>
          <w:iCs w:val="0"/>
          <w:caps w:val="0"/>
          <w:color w:val="auto"/>
          <w:spacing w:val="0"/>
          <w:sz w:val="32"/>
          <w:szCs w:val="32"/>
        </w:rPr>
      </w:pPr>
      <w:r>
        <w:rPr>
          <w:rFonts w:ascii="仿宋_GB2312" w:hAnsi="仿宋_GB2312" w:eastAsia="仿宋_GB2312" w:cs="仿宋_GB2312"/>
          <w:b/>
          <w:bCs/>
          <w:i w:val="0"/>
          <w:iCs w:val="0"/>
          <w:caps w:val="0"/>
          <w:color w:val="auto"/>
          <w:spacing w:val="0"/>
          <w:kern w:val="0"/>
          <w:sz w:val="32"/>
          <w:szCs w:val="32"/>
          <w:shd w:val="clear" w:fill="FFFFFF"/>
          <w:lang w:val="en-US" w:eastAsia="zh-CN" w:bidi="ar"/>
        </w:rPr>
        <w:t>第四部分 部门决算报表（见附表）</w:t>
      </w:r>
    </w:p>
    <w:p>
      <w:pPr>
        <w:keepNext w:val="0"/>
        <w:keepLines w:val="0"/>
        <w:widowControl/>
        <w:suppressLineNumbers w:val="0"/>
        <w:pBdr>
          <w:top w:val="none" w:color="auto" w:sz="0" w:space="0"/>
          <w:left w:val="none" w:color="auto" w:sz="0" w:space="0"/>
          <w:bottom w:val="none" w:color="auto" w:sz="0" w:space="0"/>
          <w:right w:val="none" w:color="auto" w:sz="0" w:space="0"/>
        </w:pBdr>
        <w:shd w:val="clear" w:fill="FFFFFF"/>
        <w:wordWrap w:val="0"/>
        <w:spacing w:before="0" w:beforeAutospacing="0" w:line="409" w:lineRule="atLeast"/>
        <w:ind w:left="120" w:right="-150" w:firstLine="0"/>
        <w:jc w:val="left"/>
        <w:rPr>
          <w:rFonts w:ascii="仿宋_GB2312" w:hAnsi="仿宋_GB2312" w:eastAsia="仿宋_GB2312" w:cs="仿宋_GB2312"/>
          <w:i w:val="0"/>
          <w:iCs w:val="0"/>
          <w:caps w:val="0"/>
          <w:color w:val="auto"/>
          <w:spacing w:val="0"/>
          <w:sz w:val="32"/>
          <w:szCs w:val="32"/>
        </w:rPr>
      </w:pPr>
      <w:r>
        <w:rPr>
          <w:rFonts w:ascii="仿宋_GB2312" w:hAnsi="仿宋_GB2312" w:eastAsia="仿宋_GB2312" w:cs="仿宋_GB2312"/>
          <w:i w:val="0"/>
          <w:iCs w:val="0"/>
          <w:caps w:val="0"/>
          <w:color w:val="auto"/>
          <w:spacing w:val="0"/>
          <w:kern w:val="0"/>
          <w:sz w:val="32"/>
          <w:szCs w:val="32"/>
          <w:shd w:val="clear" w:fill="FFFFFF"/>
          <w:lang w:val="en-US" w:eastAsia="zh-CN" w:bidi="ar"/>
        </w:rPr>
        <w:t>一、《收入支出决算总表》</w:t>
      </w:r>
    </w:p>
    <w:p>
      <w:pPr>
        <w:keepNext w:val="0"/>
        <w:keepLines w:val="0"/>
        <w:widowControl/>
        <w:suppressLineNumbers w:val="0"/>
        <w:pBdr>
          <w:top w:val="none" w:color="auto" w:sz="0" w:space="0"/>
          <w:left w:val="none" w:color="auto" w:sz="0" w:space="0"/>
          <w:bottom w:val="none" w:color="auto" w:sz="0" w:space="0"/>
          <w:right w:val="none" w:color="auto" w:sz="0" w:space="0"/>
        </w:pBdr>
        <w:shd w:val="clear" w:fill="FFFFFF"/>
        <w:wordWrap w:val="0"/>
        <w:spacing w:before="0" w:beforeAutospacing="0" w:line="409" w:lineRule="atLeast"/>
        <w:ind w:left="120" w:right="-150" w:firstLine="0"/>
        <w:jc w:val="left"/>
        <w:rPr>
          <w:rFonts w:ascii="仿宋_GB2312" w:hAnsi="仿宋_GB2312" w:eastAsia="仿宋_GB2312" w:cs="仿宋_GB2312"/>
          <w:i w:val="0"/>
          <w:iCs w:val="0"/>
          <w:caps w:val="0"/>
          <w:color w:val="auto"/>
          <w:spacing w:val="0"/>
          <w:sz w:val="32"/>
          <w:szCs w:val="32"/>
        </w:rPr>
      </w:pPr>
      <w:r>
        <w:rPr>
          <w:rFonts w:ascii="仿宋_GB2312" w:hAnsi="仿宋_GB2312" w:eastAsia="仿宋_GB2312" w:cs="仿宋_GB2312"/>
          <w:i w:val="0"/>
          <w:iCs w:val="0"/>
          <w:caps w:val="0"/>
          <w:color w:val="auto"/>
          <w:spacing w:val="0"/>
          <w:kern w:val="0"/>
          <w:sz w:val="32"/>
          <w:szCs w:val="32"/>
          <w:shd w:val="clear" w:fill="FFFFFF"/>
          <w:lang w:val="en-US" w:eastAsia="zh-CN" w:bidi="ar"/>
        </w:rPr>
        <w:t>二、《收入决算表》</w:t>
      </w:r>
    </w:p>
    <w:p>
      <w:pPr>
        <w:keepNext w:val="0"/>
        <w:keepLines w:val="0"/>
        <w:widowControl/>
        <w:suppressLineNumbers w:val="0"/>
        <w:pBdr>
          <w:top w:val="none" w:color="auto" w:sz="0" w:space="0"/>
          <w:left w:val="none" w:color="auto" w:sz="0" w:space="0"/>
          <w:bottom w:val="none" w:color="auto" w:sz="0" w:space="0"/>
          <w:right w:val="none" w:color="auto" w:sz="0" w:space="0"/>
        </w:pBdr>
        <w:shd w:val="clear" w:fill="FFFFFF"/>
        <w:wordWrap w:val="0"/>
        <w:spacing w:before="0" w:beforeAutospacing="0" w:line="409" w:lineRule="atLeast"/>
        <w:ind w:left="120" w:right="-150" w:firstLine="0"/>
        <w:jc w:val="left"/>
        <w:rPr>
          <w:rFonts w:ascii="仿宋_GB2312" w:hAnsi="仿宋_GB2312" w:eastAsia="仿宋_GB2312" w:cs="仿宋_GB2312"/>
          <w:i w:val="0"/>
          <w:iCs w:val="0"/>
          <w:caps w:val="0"/>
          <w:color w:val="auto"/>
          <w:spacing w:val="0"/>
          <w:sz w:val="32"/>
          <w:szCs w:val="32"/>
        </w:rPr>
      </w:pPr>
      <w:r>
        <w:rPr>
          <w:rFonts w:ascii="仿宋_GB2312" w:hAnsi="仿宋_GB2312" w:eastAsia="仿宋_GB2312" w:cs="仿宋_GB2312"/>
          <w:i w:val="0"/>
          <w:iCs w:val="0"/>
          <w:caps w:val="0"/>
          <w:color w:val="auto"/>
          <w:spacing w:val="0"/>
          <w:kern w:val="0"/>
          <w:sz w:val="32"/>
          <w:szCs w:val="32"/>
          <w:shd w:val="clear" w:fill="FFFFFF"/>
          <w:lang w:val="en-US" w:eastAsia="zh-CN" w:bidi="ar"/>
        </w:rPr>
        <w:t>三、《支出决算表》</w:t>
      </w:r>
    </w:p>
    <w:p>
      <w:pPr>
        <w:keepNext w:val="0"/>
        <w:keepLines w:val="0"/>
        <w:widowControl/>
        <w:suppressLineNumbers w:val="0"/>
        <w:pBdr>
          <w:top w:val="none" w:color="auto" w:sz="0" w:space="0"/>
          <w:left w:val="none" w:color="auto" w:sz="0" w:space="0"/>
          <w:bottom w:val="none" w:color="auto" w:sz="0" w:space="0"/>
          <w:right w:val="none" w:color="auto" w:sz="0" w:space="0"/>
        </w:pBdr>
        <w:shd w:val="clear" w:fill="FFFFFF"/>
        <w:wordWrap w:val="0"/>
        <w:spacing w:before="0" w:beforeAutospacing="0" w:line="409" w:lineRule="atLeast"/>
        <w:ind w:left="120" w:right="-150" w:firstLine="0"/>
        <w:jc w:val="left"/>
        <w:rPr>
          <w:rFonts w:ascii="仿宋_GB2312" w:hAnsi="仿宋_GB2312" w:eastAsia="仿宋_GB2312" w:cs="仿宋_GB2312"/>
          <w:i w:val="0"/>
          <w:iCs w:val="0"/>
          <w:caps w:val="0"/>
          <w:color w:val="auto"/>
          <w:spacing w:val="0"/>
          <w:sz w:val="32"/>
          <w:szCs w:val="32"/>
        </w:rPr>
      </w:pPr>
      <w:r>
        <w:rPr>
          <w:rFonts w:ascii="仿宋_GB2312" w:hAnsi="仿宋_GB2312" w:eastAsia="仿宋_GB2312" w:cs="仿宋_GB2312"/>
          <w:i w:val="0"/>
          <w:iCs w:val="0"/>
          <w:caps w:val="0"/>
          <w:color w:val="auto"/>
          <w:spacing w:val="0"/>
          <w:kern w:val="0"/>
          <w:sz w:val="32"/>
          <w:szCs w:val="32"/>
          <w:shd w:val="clear" w:fill="FFFFFF"/>
          <w:lang w:val="en-US" w:eastAsia="zh-CN" w:bidi="ar"/>
        </w:rPr>
        <w:t>四、《财政拨款收入支出决算总表》</w:t>
      </w:r>
    </w:p>
    <w:p>
      <w:pPr>
        <w:keepNext w:val="0"/>
        <w:keepLines w:val="0"/>
        <w:widowControl/>
        <w:suppressLineNumbers w:val="0"/>
        <w:pBdr>
          <w:top w:val="none" w:color="auto" w:sz="0" w:space="0"/>
          <w:left w:val="none" w:color="auto" w:sz="0" w:space="0"/>
          <w:bottom w:val="none" w:color="auto" w:sz="0" w:space="0"/>
          <w:right w:val="none" w:color="auto" w:sz="0" w:space="0"/>
        </w:pBdr>
        <w:shd w:val="clear" w:fill="FFFFFF"/>
        <w:wordWrap w:val="0"/>
        <w:spacing w:before="0" w:beforeAutospacing="0" w:line="409" w:lineRule="atLeast"/>
        <w:ind w:left="120" w:right="-150" w:firstLine="0"/>
        <w:jc w:val="left"/>
        <w:rPr>
          <w:rFonts w:ascii="仿宋_GB2312" w:hAnsi="仿宋_GB2312" w:eastAsia="仿宋_GB2312" w:cs="仿宋_GB2312"/>
          <w:i w:val="0"/>
          <w:iCs w:val="0"/>
          <w:caps w:val="0"/>
          <w:color w:val="auto"/>
          <w:spacing w:val="0"/>
          <w:sz w:val="32"/>
          <w:szCs w:val="32"/>
        </w:rPr>
      </w:pPr>
      <w:r>
        <w:rPr>
          <w:rFonts w:ascii="仿宋_GB2312" w:hAnsi="仿宋_GB2312" w:eastAsia="仿宋_GB2312" w:cs="仿宋_GB2312"/>
          <w:i w:val="0"/>
          <w:iCs w:val="0"/>
          <w:caps w:val="0"/>
          <w:color w:val="auto"/>
          <w:spacing w:val="0"/>
          <w:kern w:val="0"/>
          <w:sz w:val="32"/>
          <w:szCs w:val="32"/>
          <w:shd w:val="clear" w:fill="FFFFFF"/>
          <w:lang w:val="en-US" w:eastAsia="zh-CN" w:bidi="ar"/>
        </w:rPr>
        <w:t>五、《一般公共预算财政拨款支出决算表》</w:t>
      </w:r>
    </w:p>
    <w:p>
      <w:pPr>
        <w:keepNext w:val="0"/>
        <w:keepLines w:val="0"/>
        <w:widowControl/>
        <w:suppressLineNumbers w:val="0"/>
        <w:pBdr>
          <w:top w:val="none" w:color="auto" w:sz="0" w:space="0"/>
          <w:left w:val="none" w:color="auto" w:sz="0" w:space="0"/>
          <w:bottom w:val="none" w:color="auto" w:sz="0" w:space="0"/>
          <w:right w:val="none" w:color="auto" w:sz="0" w:space="0"/>
        </w:pBdr>
        <w:shd w:val="clear" w:fill="FFFFFF"/>
        <w:wordWrap w:val="0"/>
        <w:spacing w:before="0" w:beforeAutospacing="0" w:line="409" w:lineRule="atLeast"/>
        <w:ind w:left="120" w:right="-150" w:firstLine="0"/>
        <w:jc w:val="left"/>
        <w:rPr>
          <w:rFonts w:ascii="仿宋_GB2312" w:hAnsi="仿宋_GB2312" w:eastAsia="仿宋_GB2312" w:cs="仿宋_GB2312"/>
          <w:i w:val="0"/>
          <w:iCs w:val="0"/>
          <w:caps w:val="0"/>
          <w:color w:val="auto"/>
          <w:spacing w:val="0"/>
          <w:sz w:val="32"/>
          <w:szCs w:val="32"/>
        </w:rPr>
      </w:pPr>
      <w:r>
        <w:rPr>
          <w:rFonts w:ascii="仿宋_GB2312" w:hAnsi="仿宋_GB2312" w:eastAsia="仿宋_GB2312" w:cs="仿宋_GB2312"/>
          <w:i w:val="0"/>
          <w:iCs w:val="0"/>
          <w:caps w:val="0"/>
          <w:color w:val="auto"/>
          <w:spacing w:val="0"/>
          <w:kern w:val="0"/>
          <w:sz w:val="32"/>
          <w:szCs w:val="32"/>
          <w:shd w:val="clear" w:fill="FFFFFF"/>
          <w:lang w:val="en-US" w:eastAsia="zh-CN" w:bidi="ar"/>
        </w:rPr>
        <w:t>六、《一般公共预算财政拨款基本支出决算表》</w:t>
      </w:r>
    </w:p>
    <w:p>
      <w:pPr>
        <w:keepNext w:val="0"/>
        <w:keepLines w:val="0"/>
        <w:widowControl/>
        <w:suppressLineNumbers w:val="0"/>
        <w:pBdr>
          <w:top w:val="none" w:color="auto" w:sz="0" w:space="0"/>
          <w:left w:val="none" w:color="auto" w:sz="0" w:space="0"/>
          <w:bottom w:val="none" w:color="auto" w:sz="0" w:space="0"/>
          <w:right w:val="none" w:color="auto" w:sz="0" w:space="0"/>
        </w:pBdr>
        <w:shd w:val="clear" w:fill="FFFFFF"/>
        <w:wordWrap w:val="0"/>
        <w:spacing w:before="0" w:beforeAutospacing="0" w:line="409" w:lineRule="atLeast"/>
        <w:ind w:left="120" w:right="-150" w:firstLine="0"/>
        <w:jc w:val="left"/>
        <w:rPr>
          <w:rFonts w:ascii="仿宋_GB2312" w:hAnsi="仿宋_GB2312" w:eastAsia="仿宋_GB2312" w:cs="仿宋_GB2312"/>
          <w:i w:val="0"/>
          <w:iCs w:val="0"/>
          <w:caps w:val="0"/>
          <w:color w:val="auto"/>
          <w:spacing w:val="0"/>
          <w:sz w:val="32"/>
          <w:szCs w:val="32"/>
        </w:rPr>
      </w:pPr>
      <w:r>
        <w:rPr>
          <w:rFonts w:ascii="仿宋_GB2312" w:hAnsi="仿宋_GB2312" w:eastAsia="仿宋_GB2312" w:cs="仿宋_GB2312"/>
          <w:i w:val="0"/>
          <w:iCs w:val="0"/>
          <w:caps w:val="0"/>
          <w:color w:val="auto"/>
          <w:spacing w:val="0"/>
          <w:kern w:val="0"/>
          <w:sz w:val="32"/>
          <w:szCs w:val="32"/>
          <w:shd w:val="clear" w:fill="FFFFFF"/>
          <w:lang w:val="en-US" w:eastAsia="zh-CN" w:bidi="ar"/>
        </w:rPr>
        <w:t>七、《政府性基金预算财政拨款收入支出决算表》</w:t>
      </w:r>
    </w:p>
    <w:p>
      <w:pPr>
        <w:keepNext w:val="0"/>
        <w:keepLines w:val="0"/>
        <w:widowControl/>
        <w:suppressLineNumbers w:val="0"/>
        <w:pBdr>
          <w:top w:val="none" w:color="auto" w:sz="0" w:space="0"/>
          <w:left w:val="none" w:color="auto" w:sz="0" w:space="0"/>
          <w:bottom w:val="none" w:color="auto" w:sz="0" w:space="0"/>
          <w:right w:val="none" w:color="auto" w:sz="0" w:space="0"/>
        </w:pBdr>
        <w:shd w:val="clear" w:fill="FFFFFF"/>
        <w:wordWrap w:val="0"/>
        <w:spacing w:before="0" w:beforeAutospacing="0" w:line="409" w:lineRule="atLeast"/>
        <w:ind w:left="120" w:right="-150" w:firstLine="0"/>
        <w:jc w:val="left"/>
        <w:rPr>
          <w:rFonts w:ascii="仿宋_GB2312" w:hAnsi="仿宋_GB2312" w:eastAsia="仿宋_GB2312" w:cs="仿宋_GB2312"/>
          <w:i w:val="0"/>
          <w:iCs w:val="0"/>
          <w:caps w:val="0"/>
          <w:color w:val="auto"/>
          <w:spacing w:val="0"/>
          <w:sz w:val="32"/>
          <w:szCs w:val="32"/>
        </w:rPr>
      </w:pPr>
      <w:r>
        <w:rPr>
          <w:rFonts w:ascii="仿宋_GB2312" w:hAnsi="仿宋_GB2312" w:eastAsia="仿宋_GB2312" w:cs="仿宋_GB2312"/>
          <w:i w:val="0"/>
          <w:iCs w:val="0"/>
          <w:caps w:val="0"/>
          <w:color w:val="auto"/>
          <w:spacing w:val="0"/>
          <w:kern w:val="0"/>
          <w:sz w:val="32"/>
          <w:szCs w:val="32"/>
          <w:shd w:val="clear" w:fill="FFFFFF"/>
          <w:lang w:val="en-US" w:eastAsia="zh-CN" w:bidi="ar"/>
        </w:rPr>
        <w:t>八、《国有资本经营预算财政拨款收入支出决算表》</w:t>
      </w:r>
    </w:p>
    <w:p>
      <w:pPr>
        <w:keepNext w:val="0"/>
        <w:keepLines w:val="0"/>
        <w:widowControl/>
        <w:suppressLineNumbers w:val="0"/>
        <w:pBdr>
          <w:top w:val="none" w:color="auto" w:sz="0" w:space="0"/>
          <w:left w:val="none" w:color="auto" w:sz="0" w:space="0"/>
          <w:bottom w:val="none" w:color="auto" w:sz="0" w:space="0"/>
          <w:right w:val="none" w:color="auto" w:sz="0" w:space="0"/>
        </w:pBdr>
        <w:shd w:val="clear" w:fill="FFFFFF"/>
        <w:wordWrap w:val="0"/>
        <w:spacing w:before="0" w:beforeAutospacing="0" w:line="409" w:lineRule="atLeast"/>
        <w:ind w:left="120" w:right="-150" w:firstLine="0"/>
        <w:jc w:val="left"/>
        <w:rPr>
          <w:rFonts w:ascii="仿宋_GB2312" w:hAnsi="仿宋_GB2312" w:eastAsia="仿宋_GB2312" w:cs="仿宋_GB2312"/>
          <w:i w:val="0"/>
          <w:iCs w:val="0"/>
          <w:caps w:val="0"/>
          <w:color w:val="auto"/>
          <w:spacing w:val="0"/>
          <w:sz w:val="32"/>
          <w:szCs w:val="32"/>
        </w:rPr>
      </w:pPr>
      <w:r>
        <w:rPr>
          <w:rFonts w:ascii="仿宋_GB2312" w:hAnsi="仿宋_GB2312" w:eastAsia="仿宋_GB2312" w:cs="仿宋_GB2312"/>
          <w:i w:val="0"/>
          <w:iCs w:val="0"/>
          <w:caps w:val="0"/>
          <w:color w:val="auto"/>
          <w:spacing w:val="0"/>
          <w:kern w:val="0"/>
          <w:sz w:val="32"/>
          <w:szCs w:val="32"/>
          <w:shd w:val="clear" w:fill="FFFFFF"/>
          <w:lang w:val="en-US" w:eastAsia="zh-CN" w:bidi="ar"/>
        </w:rPr>
        <w:t>九、《财政拨款“三公”经费支出决算表》</w:t>
      </w:r>
    </w:p>
    <w:p>
      <w:pPr>
        <w:keepNext w:val="0"/>
        <w:keepLines w:val="0"/>
        <w:widowControl/>
        <w:suppressLineNumbers w:val="0"/>
        <w:pBdr>
          <w:top w:val="none" w:color="auto" w:sz="0" w:space="0"/>
          <w:left w:val="none" w:color="auto" w:sz="0" w:space="0"/>
          <w:bottom w:val="none" w:color="auto" w:sz="0" w:space="0"/>
          <w:right w:val="none" w:color="auto" w:sz="0" w:space="0"/>
        </w:pBdr>
        <w:shd w:val="clear" w:fill="FFFFFF"/>
        <w:wordWrap w:val="0"/>
        <w:spacing w:before="0" w:beforeAutospacing="0" w:line="409" w:lineRule="atLeast"/>
        <w:ind w:left="120" w:right="-150" w:firstLine="0"/>
        <w:jc w:val="center"/>
        <w:rPr>
          <w:rFonts w:ascii="黑体" w:hAnsi="宋体" w:eastAsia="黑体" w:cs="黑体"/>
          <w:i w:val="0"/>
          <w:iCs w:val="0"/>
          <w:caps w:val="0"/>
          <w:color w:val="auto"/>
          <w:spacing w:val="0"/>
          <w:kern w:val="0"/>
          <w:sz w:val="31"/>
          <w:szCs w:val="31"/>
          <w:shd w:val="clear" w:fill="FFFFFF"/>
          <w:lang w:val="en-US" w:eastAsia="zh-CN" w:bidi="ar"/>
        </w:rPr>
      </w:pPr>
    </w:p>
    <w:p>
      <w:pPr>
        <w:keepNext w:val="0"/>
        <w:keepLines w:val="0"/>
        <w:widowControl/>
        <w:suppressLineNumbers w:val="0"/>
        <w:pBdr>
          <w:top w:val="none" w:color="auto" w:sz="0" w:space="0"/>
          <w:left w:val="none" w:color="auto" w:sz="0" w:space="0"/>
          <w:bottom w:val="none" w:color="auto" w:sz="0" w:space="0"/>
          <w:right w:val="none" w:color="auto" w:sz="0" w:space="0"/>
        </w:pBdr>
        <w:shd w:val="clear" w:fill="FFFFFF"/>
        <w:wordWrap w:val="0"/>
        <w:spacing w:before="0" w:beforeAutospacing="0" w:line="409" w:lineRule="atLeast"/>
        <w:ind w:left="120" w:right="-150" w:firstLine="0"/>
        <w:jc w:val="center"/>
        <w:rPr>
          <w:rFonts w:ascii="黑体" w:hAnsi="宋体" w:eastAsia="黑体" w:cs="黑体"/>
          <w:i w:val="0"/>
          <w:iCs w:val="0"/>
          <w:caps w:val="0"/>
          <w:color w:val="auto"/>
          <w:spacing w:val="0"/>
          <w:kern w:val="0"/>
          <w:sz w:val="31"/>
          <w:szCs w:val="31"/>
          <w:shd w:val="clear" w:fill="FFFFFF"/>
          <w:lang w:val="en-US" w:eastAsia="zh-CN" w:bidi="ar"/>
        </w:rPr>
      </w:pPr>
    </w:p>
    <w:p>
      <w:pPr>
        <w:keepNext w:val="0"/>
        <w:keepLines w:val="0"/>
        <w:widowControl/>
        <w:suppressLineNumbers w:val="0"/>
        <w:pBdr>
          <w:top w:val="none" w:color="auto" w:sz="0" w:space="0"/>
          <w:left w:val="none" w:color="auto" w:sz="0" w:space="0"/>
          <w:bottom w:val="none" w:color="auto" w:sz="0" w:space="0"/>
          <w:right w:val="none" w:color="auto" w:sz="0" w:space="0"/>
        </w:pBdr>
        <w:shd w:val="clear" w:fill="FFFFFF"/>
        <w:wordWrap w:val="0"/>
        <w:spacing w:before="0" w:beforeAutospacing="0" w:line="409" w:lineRule="atLeast"/>
        <w:ind w:left="120" w:right="-150" w:firstLine="0"/>
        <w:jc w:val="center"/>
        <w:rPr>
          <w:rFonts w:ascii="黑体" w:hAnsi="宋体" w:eastAsia="黑体" w:cs="黑体"/>
          <w:i w:val="0"/>
          <w:iCs w:val="0"/>
          <w:caps w:val="0"/>
          <w:color w:val="auto"/>
          <w:spacing w:val="0"/>
          <w:kern w:val="0"/>
          <w:sz w:val="31"/>
          <w:szCs w:val="31"/>
          <w:shd w:val="clear" w:fill="FFFFFF"/>
          <w:lang w:val="en-US" w:eastAsia="zh-CN" w:bidi="ar"/>
        </w:rPr>
      </w:pPr>
    </w:p>
    <w:p>
      <w:pPr>
        <w:keepNext w:val="0"/>
        <w:keepLines w:val="0"/>
        <w:widowControl/>
        <w:suppressLineNumbers w:val="0"/>
        <w:pBdr>
          <w:top w:val="none" w:color="auto" w:sz="0" w:space="0"/>
          <w:left w:val="none" w:color="auto" w:sz="0" w:space="0"/>
          <w:bottom w:val="none" w:color="auto" w:sz="0" w:space="0"/>
          <w:right w:val="none" w:color="auto" w:sz="0" w:space="0"/>
        </w:pBdr>
        <w:shd w:val="clear" w:fill="FFFFFF"/>
        <w:wordWrap w:val="0"/>
        <w:spacing w:before="0" w:beforeAutospacing="0" w:line="409" w:lineRule="atLeast"/>
        <w:ind w:left="120" w:right="-150" w:firstLine="0"/>
        <w:jc w:val="center"/>
        <w:rPr>
          <w:rFonts w:ascii="黑体" w:hAnsi="宋体" w:eastAsia="黑体" w:cs="黑体"/>
          <w:i w:val="0"/>
          <w:iCs w:val="0"/>
          <w:caps w:val="0"/>
          <w:color w:val="auto"/>
          <w:spacing w:val="0"/>
          <w:kern w:val="0"/>
          <w:sz w:val="31"/>
          <w:szCs w:val="31"/>
          <w:shd w:val="clear" w:fill="FFFFFF"/>
          <w:lang w:val="en-US" w:eastAsia="zh-CN" w:bidi="ar"/>
        </w:rPr>
      </w:pPr>
    </w:p>
    <w:p>
      <w:pPr>
        <w:keepNext w:val="0"/>
        <w:keepLines w:val="0"/>
        <w:widowControl/>
        <w:suppressLineNumbers w:val="0"/>
        <w:pBdr>
          <w:top w:val="none" w:color="auto" w:sz="0" w:space="0"/>
          <w:left w:val="none" w:color="auto" w:sz="0" w:space="0"/>
          <w:bottom w:val="none" w:color="auto" w:sz="0" w:space="0"/>
          <w:right w:val="none" w:color="auto" w:sz="0" w:space="0"/>
        </w:pBdr>
        <w:shd w:val="clear" w:fill="FFFFFF"/>
        <w:wordWrap w:val="0"/>
        <w:spacing w:before="0" w:beforeAutospacing="0" w:line="409" w:lineRule="atLeast"/>
        <w:ind w:left="120" w:right="-150" w:firstLine="0"/>
        <w:jc w:val="center"/>
        <w:rPr>
          <w:rFonts w:ascii="黑体" w:hAnsi="宋体" w:eastAsia="黑体" w:cs="黑体"/>
          <w:i w:val="0"/>
          <w:iCs w:val="0"/>
          <w:caps w:val="0"/>
          <w:color w:val="auto"/>
          <w:spacing w:val="0"/>
          <w:kern w:val="0"/>
          <w:sz w:val="31"/>
          <w:szCs w:val="31"/>
          <w:shd w:val="clear" w:fill="FFFFFF"/>
          <w:lang w:val="en-US" w:eastAsia="zh-CN" w:bidi="ar"/>
        </w:rPr>
      </w:pPr>
    </w:p>
    <w:p>
      <w:pPr>
        <w:keepNext w:val="0"/>
        <w:keepLines w:val="0"/>
        <w:widowControl/>
        <w:suppressLineNumbers w:val="0"/>
        <w:pBdr>
          <w:top w:val="none" w:color="auto" w:sz="0" w:space="0"/>
          <w:left w:val="none" w:color="auto" w:sz="0" w:space="0"/>
          <w:bottom w:val="none" w:color="auto" w:sz="0" w:space="0"/>
          <w:right w:val="none" w:color="auto" w:sz="0" w:space="0"/>
        </w:pBdr>
        <w:shd w:val="clear" w:fill="FFFFFF"/>
        <w:wordWrap w:val="0"/>
        <w:spacing w:before="0" w:beforeAutospacing="0" w:line="409" w:lineRule="atLeast"/>
        <w:ind w:left="120" w:right="-150" w:firstLine="0"/>
        <w:jc w:val="center"/>
        <w:rPr>
          <w:rFonts w:ascii="黑体" w:hAnsi="宋体" w:eastAsia="黑体" w:cs="黑体"/>
          <w:i w:val="0"/>
          <w:iCs w:val="0"/>
          <w:caps w:val="0"/>
          <w:color w:val="auto"/>
          <w:spacing w:val="0"/>
          <w:kern w:val="0"/>
          <w:sz w:val="31"/>
          <w:szCs w:val="31"/>
          <w:shd w:val="clear" w:fill="FFFFFF"/>
          <w:lang w:val="en-US" w:eastAsia="zh-CN" w:bidi="ar"/>
        </w:rPr>
      </w:pPr>
    </w:p>
    <w:p>
      <w:pPr>
        <w:keepNext w:val="0"/>
        <w:keepLines w:val="0"/>
        <w:widowControl/>
        <w:suppressLineNumbers w:val="0"/>
        <w:pBdr>
          <w:top w:val="none" w:color="auto" w:sz="0" w:space="0"/>
          <w:left w:val="none" w:color="auto" w:sz="0" w:space="0"/>
          <w:bottom w:val="none" w:color="auto" w:sz="0" w:space="0"/>
          <w:right w:val="none" w:color="auto" w:sz="0" w:space="0"/>
        </w:pBdr>
        <w:shd w:val="clear" w:fill="FFFFFF"/>
        <w:wordWrap w:val="0"/>
        <w:spacing w:before="0" w:beforeAutospacing="0" w:line="409" w:lineRule="atLeast"/>
        <w:ind w:left="120" w:right="-150" w:firstLine="0"/>
        <w:jc w:val="center"/>
        <w:rPr>
          <w:rFonts w:ascii="黑体" w:hAnsi="宋体" w:eastAsia="黑体" w:cs="黑体"/>
          <w:i w:val="0"/>
          <w:iCs w:val="0"/>
          <w:caps w:val="0"/>
          <w:color w:val="auto"/>
          <w:spacing w:val="0"/>
          <w:kern w:val="0"/>
          <w:sz w:val="31"/>
          <w:szCs w:val="31"/>
          <w:shd w:val="clear" w:fill="FFFFFF"/>
          <w:lang w:val="en-US" w:eastAsia="zh-CN" w:bidi="ar"/>
        </w:rPr>
      </w:pPr>
    </w:p>
    <w:p>
      <w:pPr>
        <w:keepNext w:val="0"/>
        <w:keepLines w:val="0"/>
        <w:widowControl/>
        <w:suppressLineNumbers w:val="0"/>
        <w:pBdr>
          <w:top w:val="none" w:color="auto" w:sz="0" w:space="0"/>
          <w:left w:val="none" w:color="auto" w:sz="0" w:space="0"/>
          <w:bottom w:val="none" w:color="auto" w:sz="0" w:space="0"/>
          <w:right w:val="none" w:color="auto" w:sz="0" w:space="0"/>
        </w:pBdr>
        <w:shd w:val="clear" w:fill="FFFFFF"/>
        <w:wordWrap w:val="0"/>
        <w:spacing w:before="0" w:beforeAutospacing="0" w:line="409" w:lineRule="atLeast"/>
        <w:ind w:left="120" w:right="-150" w:firstLine="0"/>
        <w:jc w:val="center"/>
        <w:rPr>
          <w:rFonts w:ascii="黑体" w:hAnsi="宋体" w:eastAsia="黑体" w:cs="黑体"/>
          <w:i w:val="0"/>
          <w:iCs w:val="0"/>
          <w:caps w:val="0"/>
          <w:color w:val="auto"/>
          <w:spacing w:val="0"/>
          <w:kern w:val="0"/>
          <w:sz w:val="31"/>
          <w:szCs w:val="31"/>
          <w:shd w:val="clear" w:fill="FFFFFF"/>
          <w:lang w:val="en-US" w:eastAsia="zh-CN" w:bidi="ar"/>
        </w:rPr>
      </w:pPr>
    </w:p>
    <w:p>
      <w:pPr>
        <w:keepNext w:val="0"/>
        <w:keepLines w:val="0"/>
        <w:widowControl/>
        <w:suppressLineNumbers w:val="0"/>
        <w:pBdr>
          <w:top w:val="none" w:color="auto" w:sz="0" w:space="0"/>
          <w:left w:val="none" w:color="auto" w:sz="0" w:space="0"/>
          <w:bottom w:val="none" w:color="auto" w:sz="0" w:space="0"/>
          <w:right w:val="none" w:color="auto" w:sz="0" w:space="0"/>
        </w:pBdr>
        <w:shd w:val="clear" w:fill="FFFFFF"/>
        <w:wordWrap w:val="0"/>
        <w:spacing w:before="0" w:beforeAutospacing="0" w:line="409" w:lineRule="atLeast"/>
        <w:ind w:left="120" w:right="-150" w:firstLine="0"/>
        <w:jc w:val="center"/>
        <w:rPr>
          <w:rFonts w:ascii="黑体" w:hAnsi="宋体" w:eastAsia="黑体" w:cs="黑体"/>
          <w:i w:val="0"/>
          <w:iCs w:val="0"/>
          <w:caps w:val="0"/>
          <w:color w:val="auto"/>
          <w:spacing w:val="0"/>
          <w:kern w:val="0"/>
          <w:sz w:val="31"/>
          <w:szCs w:val="31"/>
          <w:shd w:val="clear" w:fill="FFFFFF"/>
          <w:lang w:val="en-US" w:eastAsia="zh-CN" w:bidi="ar"/>
        </w:rPr>
      </w:pPr>
    </w:p>
    <w:p>
      <w:pPr>
        <w:keepNext w:val="0"/>
        <w:keepLines w:val="0"/>
        <w:widowControl/>
        <w:suppressLineNumbers w:val="0"/>
        <w:pBdr>
          <w:top w:val="none" w:color="auto" w:sz="0" w:space="0"/>
          <w:left w:val="none" w:color="auto" w:sz="0" w:space="0"/>
          <w:bottom w:val="none" w:color="auto" w:sz="0" w:space="0"/>
          <w:right w:val="none" w:color="auto" w:sz="0" w:space="0"/>
        </w:pBdr>
        <w:shd w:val="clear" w:fill="FFFFFF"/>
        <w:wordWrap w:val="0"/>
        <w:spacing w:before="0" w:beforeAutospacing="0" w:line="409" w:lineRule="atLeast"/>
        <w:ind w:right="-150"/>
        <w:jc w:val="both"/>
        <w:rPr>
          <w:rFonts w:ascii="黑体" w:hAnsi="宋体" w:eastAsia="黑体" w:cs="黑体"/>
          <w:i w:val="0"/>
          <w:iCs w:val="0"/>
          <w:caps w:val="0"/>
          <w:color w:val="auto"/>
          <w:spacing w:val="0"/>
          <w:kern w:val="0"/>
          <w:sz w:val="31"/>
          <w:szCs w:val="31"/>
          <w:shd w:val="clear" w:fill="FFFFFF"/>
          <w:lang w:val="en-US" w:eastAsia="zh-CN" w:bidi="ar"/>
        </w:rPr>
      </w:pPr>
    </w:p>
    <w:p>
      <w:pPr>
        <w:keepNext w:val="0"/>
        <w:keepLines w:val="0"/>
        <w:pageBreakBefore w:val="0"/>
        <w:widowControl w:val="0"/>
        <w:kinsoku/>
        <w:wordWrap/>
        <w:overflowPunct/>
        <w:topLinePunct w:val="0"/>
        <w:autoSpaceDE/>
        <w:autoSpaceDN/>
        <w:bidi w:val="0"/>
        <w:adjustRightInd/>
        <w:snapToGrid/>
        <w:spacing w:line="240" w:lineRule="auto"/>
        <w:ind w:left="0" w:right="0" w:firstLine="0" w:firstLineChars="0"/>
        <w:jc w:val="center"/>
        <w:textAlignment w:val="auto"/>
        <w:outlineLvl w:val="0"/>
        <w:rPr>
          <w:rFonts w:hint="eastAsia" w:ascii="黑体" w:hAnsi="黑体" w:eastAsia="黑体" w:cs="Times New Roman"/>
          <w:color w:val="auto"/>
          <w:sz w:val="32"/>
          <w:szCs w:val="32"/>
          <w:highlight w:val="none"/>
        </w:rPr>
      </w:pPr>
      <w:r>
        <w:rPr>
          <w:rFonts w:hint="eastAsia" w:ascii="黑体" w:hAnsi="黑体" w:eastAsia="黑体" w:cs="Times New Roman"/>
          <w:color w:val="auto"/>
          <w:sz w:val="32"/>
          <w:szCs w:val="32"/>
          <w:highlight w:val="none"/>
          <w:lang w:val="en-US" w:eastAsia="zh-CN"/>
        </w:rPr>
        <w:t>第一部分 单位概况</w:t>
      </w:r>
    </w:p>
    <w:p>
      <w:pPr>
        <w:keepNext w:val="0"/>
        <w:keepLines w:val="0"/>
        <w:pageBreakBefore w:val="0"/>
        <w:widowControl/>
        <w:numPr>
          <w:ilvl w:val="0"/>
          <w:numId w:val="2"/>
        </w:numPr>
        <w:suppressLineNumbers w:val="0"/>
        <w:pBdr>
          <w:top w:val="none" w:color="auto" w:sz="0" w:space="0"/>
          <w:left w:val="none" w:color="auto" w:sz="0" w:space="0"/>
          <w:bottom w:val="none" w:color="auto" w:sz="0" w:space="0"/>
          <w:right w:val="none" w:color="auto" w:sz="0" w:space="0"/>
        </w:pBdr>
        <w:shd w:val="clear" w:fill="FFFFFF"/>
        <w:kinsoku/>
        <w:wordWrap w:val="0"/>
        <w:overflowPunct/>
        <w:topLinePunct w:val="0"/>
        <w:autoSpaceDE/>
        <w:autoSpaceDN/>
        <w:bidi w:val="0"/>
        <w:adjustRightInd/>
        <w:snapToGrid/>
        <w:spacing w:before="0" w:beforeAutospacing="0" w:line="560" w:lineRule="exact"/>
        <w:ind w:left="0" w:leftChars="0" w:right="0" w:firstLine="0" w:firstLineChars="0"/>
        <w:jc w:val="left"/>
        <w:textAlignment w:val="auto"/>
        <w:rPr>
          <w:rFonts w:ascii="黑体" w:hAnsi="宋体" w:eastAsia="黑体" w:cs="黑体"/>
          <w:i w:val="0"/>
          <w:iCs w:val="0"/>
          <w:caps w:val="0"/>
          <w:color w:val="auto"/>
          <w:spacing w:val="0"/>
          <w:kern w:val="0"/>
          <w:sz w:val="31"/>
          <w:szCs w:val="31"/>
          <w:shd w:val="clear" w:fill="FFFFFF"/>
          <w:lang w:val="en-US" w:eastAsia="zh-CN" w:bidi="ar"/>
        </w:rPr>
      </w:pPr>
      <w:r>
        <w:rPr>
          <w:rFonts w:ascii="黑体" w:hAnsi="宋体" w:eastAsia="黑体" w:cs="黑体"/>
          <w:i w:val="0"/>
          <w:iCs w:val="0"/>
          <w:caps w:val="0"/>
          <w:color w:val="auto"/>
          <w:spacing w:val="0"/>
          <w:kern w:val="0"/>
          <w:sz w:val="31"/>
          <w:szCs w:val="31"/>
          <w:shd w:val="clear" w:fill="FFFFFF"/>
          <w:lang w:val="en-US" w:eastAsia="zh-CN" w:bidi="ar"/>
        </w:rPr>
        <w:t>主要职能</w:t>
      </w:r>
    </w:p>
    <w:p>
      <w:pPr>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val="0"/>
        <w:overflowPunct/>
        <w:topLinePunct w:val="0"/>
        <w:autoSpaceDE/>
        <w:autoSpaceDN/>
        <w:bidi w:val="0"/>
        <w:adjustRightInd/>
        <w:snapToGrid/>
        <w:spacing w:before="0" w:beforeAutospacing="0" w:line="560" w:lineRule="exact"/>
        <w:ind w:left="0" w:right="0" w:firstLine="640" w:firstLineChars="200"/>
        <w:jc w:val="left"/>
        <w:textAlignment w:val="auto"/>
        <w:rPr>
          <w:rFonts w:hint="eastAsia" w:ascii="仿宋_GB2312" w:hAnsi="仿宋_GB2312" w:eastAsia="仿宋_GB2312" w:cs="仿宋_GB2312"/>
          <w:i w:val="0"/>
          <w:iCs w:val="0"/>
          <w:caps w:val="0"/>
          <w:color w:val="auto"/>
          <w:spacing w:val="0"/>
          <w:kern w:val="0"/>
          <w:sz w:val="32"/>
          <w:szCs w:val="32"/>
          <w:shd w:val="clear" w:fill="FFFFFF"/>
          <w:lang w:val="en-US" w:eastAsia="zh-CN" w:bidi="ar"/>
        </w:rPr>
      </w:pPr>
      <w:r>
        <w:rPr>
          <w:rFonts w:hint="eastAsia" w:ascii="仿宋_GB2312" w:hAnsi="仿宋_GB2312" w:eastAsia="仿宋_GB2312" w:cs="仿宋_GB2312"/>
          <w:i w:val="0"/>
          <w:iCs w:val="0"/>
          <w:caps w:val="0"/>
          <w:color w:val="auto"/>
          <w:spacing w:val="0"/>
          <w:kern w:val="0"/>
          <w:sz w:val="32"/>
          <w:szCs w:val="32"/>
          <w:shd w:val="clear" w:fill="FFFFFF"/>
          <w:lang w:val="en-US" w:eastAsia="zh-CN" w:bidi="ar"/>
        </w:rPr>
        <w:t>（一）加强党的建设。落实基层党建工作责任制，加强党员队伍的思想建设、组织建设、作风建设、制度建设和党风廉政建设；做好党员管理、发展工作，改善党员队伍结构。加强非公有制经济组织和社会组织党建工作，实现党的组织和工作全覆盖；宣传贯彻党的路线方针政策和法律法规，加强党对意识形态和统一战线工作的领导；指导工会、共青团、妇联等群团工作。</w:t>
      </w:r>
    </w:p>
    <w:p>
      <w:pPr>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val="0"/>
        <w:overflowPunct/>
        <w:topLinePunct w:val="0"/>
        <w:autoSpaceDE/>
        <w:autoSpaceDN/>
        <w:bidi w:val="0"/>
        <w:adjustRightInd/>
        <w:snapToGrid/>
        <w:spacing w:before="0" w:beforeAutospacing="0" w:line="560" w:lineRule="exact"/>
        <w:ind w:left="0" w:right="0" w:firstLine="640" w:firstLineChars="200"/>
        <w:jc w:val="left"/>
        <w:textAlignment w:val="auto"/>
        <w:rPr>
          <w:rFonts w:hint="eastAsia" w:ascii="仿宋_GB2312" w:hAnsi="仿宋_GB2312" w:eastAsia="仿宋_GB2312" w:cs="仿宋_GB2312"/>
          <w:i w:val="0"/>
          <w:iCs w:val="0"/>
          <w:caps w:val="0"/>
          <w:color w:val="auto"/>
          <w:spacing w:val="0"/>
          <w:kern w:val="0"/>
          <w:sz w:val="32"/>
          <w:szCs w:val="32"/>
          <w:shd w:val="clear" w:fill="FFFFFF"/>
          <w:lang w:val="en-US" w:eastAsia="zh-CN" w:bidi="ar"/>
        </w:rPr>
      </w:pPr>
      <w:r>
        <w:rPr>
          <w:rFonts w:hint="eastAsia" w:ascii="仿宋_GB2312" w:hAnsi="仿宋_GB2312" w:eastAsia="仿宋_GB2312" w:cs="仿宋_GB2312"/>
          <w:i w:val="0"/>
          <w:iCs w:val="0"/>
          <w:caps w:val="0"/>
          <w:color w:val="auto"/>
          <w:spacing w:val="0"/>
          <w:kern w:val="0"/>
          <w:sz w:val="32"/>
          <w:szCs w:val="32"/>
          <w:shd w:val="clear" w:fill="FFFFFF"/>
          <w:lang w:val="en-US" w:eastAsia="zh-CN" w:bidi="ar"/>
        </w:rPr>
        <w:t>（二）统筹区域发展。制定地方经济社会发展规划和年度计划并组织实施；坚持依法行政，推进民主政治，加强基层政权建设；做好农业、农村、农民和村委会工作，推进乡村振兴；规范经济管理，组织指导经济发展和经济结构调整。</w:t>
      </w:r>
    </w:p>
    <w:p>
      <w:pPr>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val="0"/>
        <w:overflowPunct/>
        <w:topLinePunct w:val="0"/>
        <w:autoSpaceDE/>
        <w:autoSpaceDN/>
        <w:bidi w:val="0"/>
        <w:adjustRightInd/>
        <w:snapToGrid/>
        <w:spacing w:before="0" w:beforeAutospacing="0" w:line="560" w:lineRule="exact"/>
        <w:ind w:left="0" w:right="0" w:firstLine="640" w:firstLineChars="200"/>
        <w:jc w:val="left"/>
        <w:textAlignment w:val="auto"/>
        <w:rPr>
          <w:rFonts w:hint="eastAsia" w:ascii="仿宋_GB2312" w:hAnsi="仿宋_GB2312" w:eastAsia="仿宋_GB2312" w:cs="仿宋_GB2312"/>
          <w:i w:val="0"/>
          <w:iCs w:val="0"/>
          <w:caps w:val="0"/>
          <w:color w:val="auto"/>
          <w:spacing w:val="0"/>
          <w:kern w:val="0"/>
          <w:sz w:val="32"/>
          <w:szCs w:val="32"/>
          <w:shd w:val="clear" w:fill="FFFFFF"/>
          <w:lang w:val="en-US" w:eastAsia="zh-CN" w:bidi="ar"/>
        </w:rPr>
      </w:pPr>
      <w:r>
        <w:rPr>
          <w:rFonts w:hint="eastAsia" w:ascii="仿宋_GB2312" w:hAnsi="仿宋_GB2312" w:eastAsia="仿宋_GB2312" w:cs="仿宋_GB2312"/>
          <w:i w:val="0"/>
          <w:iCs w:val="0"/>
          <w:caps w:val="0"/>
          <w:color w:val="auto"/>
          <w:spacing w:val="0"/>
          <w:kern w:val="0"/>
          <w:sz w:val="32"/>
          <w:szCs w:val="32"/>
          <w:shd w:val="clear" w:fill="FFFFFF"/>
          <w:lang w:val="en-US" w:eastAsia="zh-CN" w:bidi="ar"/>
        </w:rPr>
        <w:t>（三）组织公共服务。加强公共设施建设，开展就业和社会保障等服务，发展科教文卫事业，组织实施与村民生活密切相关的各项公共服务事项，着力解决群众生产生活中的问题；制订公共服务事项目录，加强公共服务体系建设。</w:t>
      </w:r>
    </w:p>
    <w:p>
      <w:pPr>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val="0"/>
        <w:overflowPunct/>
        <w:topLinePunct w:val="0"/>
        <w:autoSpaceDE/>
        <w:autoSpaceDN/>
        <w:bidi w:val="0"/>
        <w:adjustRightInd/>
        <w:snapToGrid/>
        <w:spacing w:before="0" w:beforeAutospacing="0" w:line="560" w:lineRule="exact"/>
        <w:ind w:left="0" w:right="0" w:firstLine="640" w:firstLineChars="200"/>
        <w:jc w:val="left"/>
        <w:textAlignment w:val="auto"/>
        <w:rPr>
          <w:rFonts w:hint="eastAsia" w:ascii="仿宋_GB2312" w:hAnsi="仿宋_GB2312" w:eastAsia="仿宋_GB2312" w:cs="仿宋_GB2312"/>
          <w:i w:val="0"/>
          <w:iCs w:val="0"/>
          <w:caps w:val="0"/>
          <w:color w:val="auto"/>
          <w:spacing w:val="0"/>
          <w:kern w:val="0"/>
          <w:sz w:val="32"/>
          <w:szCs w:val="32"/>
          <w:shd w:val="clear" w:fill="FFFFFF"/>
          <w:lang w:val="en-US" w:eastAsia="zh-CN" w:bidi="ar"/>
        </w:rPr>
      </w:pPr>
      <w:r>
        <w:rPr>
          <w:rFonts w:hint="eastAsia" w:ascii="仿宋_GB2312" w:hAnsi="仿宋_GB2312" w:eastAsia="仿宋_GB2312" w:cs="仿宋_GB2312"/>
          <w:i w:val="0"/>
          <w:iCs w:val="0"/>
          <w:caps w:val="0"/>
          <w:color w:val="auto"/>
          <w:spacing w:val="0"/>
          <w:kern w:val="0"/>
          <w:sz w:val="32"/>
          <w:szCs w:val="32"/>
          <w:shd w:val="clear" w:fill="FFFFFF"/>
          <w:lang w:val="en-US" w:eastAsia="zh-CN" w:bidi="ar"/>
        </w:rPr>
        <w:t>（四）实施公共管理。推进政务、村务公开，抓好卫生健康、人口计划生育工作，实施一票否决制，保障妇女儿童合法权益；加强自然资源管理、生态环境保护和修复工作；负责辖区内统计工作。</w:t>
      </w:r>
    </w:p>
    <w:p>
      <w:pPr>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val="0"/>
        <w:overflowPunct/>
        <w:topLinePunct w:val="0"/>
        <w:autoSpaceDE/>
        <w:autoSpaceDN/>
        <w:bidi w:val="0"/>
        <w:adjustRightInd/>
        <w:snapToGrid/>
        <w:spacing w:before="0" w:beforeAutospacing="0" w:line="560" w:lineRule="exact"/>
        <w:ind w:left="0" w:right="0" w:firstLine="640" w:firstLineChars="200"/>
        <w:jc w:val="left"/>
        <w:textAlignment w:val="auto"/>
        <w:rPr>
          <w:rFonts w:hint="eastAsia" w:ascii="仿宋_GB2312" w:hAnsi="仿宋_GB2312" w:eastAsia="仿宋_GB2312" w:cs="仿宋_GB2312"/>
          <w:i w:val="0"/>
          <w:iCs w:val="0"/>
          <w:caps w:val="0"/>
          <w:color w:val="auto"/>
          <w:spacing w:val="0"/>
          <w:kern w:val="0"/>
          <w:sz w:val="32"/>
          <w:szCs w:val="32"/>
          <w:shd w:val="clear" w:fill="FFFFFF"/>
          <w:lang w:val="en-US" w:eastAsia="zh-CN" w:bidi="ar"/>
        </w:rPr>
      </w:pPr>
      <w:r>
        <w:rPr>
          <w:rFonts w:hint="eastAsia" w:ascii="仿宋_GB2312" w:hAnsi="仿宋_GB2312" w:eastAsia="仿宋_GB2312" w:cs="仿宋_GB2312"/>
          <w:i w:val="0"/>
          <w:iCs w:val="0"/>
          <w:caps w:val="0"/>
          <w:color w:val="auto"/>
          <w:spacing w:val="0"/>
          <w:kern w:val="0"/>
          <w:sz w:val="32"/>
          <w:szCs w:val="32"/>
          <w:shd w:val="clear" w:fill="FFFFFF"/>
          <w:lang w:val="en-US" w:eastAsia="zh-CN" w:bidi="ar"/>
        </w:rPr>
        <w:t>（五）维护公共安全。承担辖区内社会治安综合治理、信访、平安建设、应急管理、安全生产、脱贫攻坚等有关工作；组织抢救救灾，及时上报和处置重大社情等，保护人民群众的生命财产安全；承担民兵预备役、征兵、退役军人服务、拥军优属工作。</w:t>
      </w:r>
    </w:p>
    <w:p>
      <w:pPr>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val="0"/>
        <w:overflowPunct/>
        <w:topLinePunct w:val="0"/>
        <w:autoSpaceDE/>
        <w:autoSpaceDN/>
        <w:bidi w:val="0"/>
        <w:adjustRightInd/>
        <w:snapToGrid/>
        <w:spacing w:before="0" w:beforeAutospacing="0" w:line="560" w:lineRule="exact"/>
        <w:ind w:left="0" w:right="0" w:firstLine="640" w:firstLineChars="200"/>
        <w:jc w:val="left"/>
        <w:textAlignment w:val="auto"/>
        <w:rPr>
          <w:rFonts w:hint="eastAsia" w:ascii="仿宋_GB2312" w:hAnsi="仿宋_GB2312" w:eastAsia="仿宋_GB2312" w:cs="仿宋_GB2312"/>
          <w:i w:val="0"/>
          <w:iCs w:val="0"/>
          <w:caps w:val="0"/>
          <w:color w:val="auto"/>
          <w:spacing w:val="0"/>
          <w:kern w:val="0"/>
          <w:sz w:val="32"/>
          <w:szCs w:val="32"/>
          <w:shd w:val="clear" w:fill="FFFFFF"/>
          <w:lang w:val="en-US" w:eastAsia="zh-CN" w:bidi="ar"/>
        </w:rPr>
      </w:pPr>
      <w:r>
        <w:rPr>
          <w:rFonts w:hint="eastAsia" w:ascii="仿宋_GB2312" w:hAnsi="仿宋_GB2312" w:eastAsia="仿宋_GB2312" w:cs="仿宋_GB2312"/>
          <w:i w:val="0"/>
          <w:iCs w:val="0"/>
          <w:caps w:val="0"/>
          <w:color w:val="auto"/>
          <w:spacing w:val="0"/>
          <w:kern w:val="0"/>
          <w:sz w:val="32"/>
          <w:szCs w:val="32"/>
          <w:shd w:val="clear" w:fill="FFFFFF"/>
          <w:lang w:val="en-US" w:eastAsia="zh-CN" w:bidi="ar"/>
        </w:rPr>
        <w:t>（六）监督执法管理。对辖区内各类行政执法工作进行统筹协调，组织开展群众监督和社会监督。</w:t>
      </w:r>
    </w:p>
    <w:p>
      <w:pPr>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val="0"/>
        <w:overflowPunct/>
        <w:topLinePunct w:val="0"/>
        <w:autoSpaceDE/>
        <w:autoSpaceDN/>
        <w:bidi w:val="0"/>
        <w:adjustRightInd/>
        <w:snapToGrid/>
        <w:spacing w:before="0" w:beforeAutospacing="0" w:line="560" w:lineRule="exact"/>
        <w:ind w:left="0" w:right="0" w:firstLine="640" w:firstLineChars="200"/>
        <w:jc w:val="left"/>
        <w:textAlignment w:val="auto"/>
        <w:rPr>
          <w:rFonts w:hint="eastAsia" w:ascii="仿宋_GB2312" w:hAnsi="仿宋_GB2312" w:eastAsia="仿宋_GB2312" w:cs="仿宋_GB2312"/>
          <w:i w:val="0"/>
          <w:iCs w:val="0"/>
          <w:caps w:val="0"/>
          <w:color w:val="auto"/>
          <w:spacing w:val="0"/>
          <w:kern w:val="0"/>
          <w:sz w:val="32"/>
          <w:szCs w:val="32"/>
          <w:shd w:val="clear" w:fill="FFFFFF"/>
          <w:lang w:val="en-US" w:eastAsia="zh-CN" w:bidi="ar"/>
        </w:rPr>
      </w:pPr>
      <w:r>
        <w:rPr>
          <w:rFonts w:hint="eastAsia" w:ascii="仿宋_GB2312" w:hAnsi="仿宋_GB2312" w:eastAsia="仿宋_GB2312" w:cs="仿宋_GB2312"/>
          <w:i w:val="0"/>
          <w:iCs w:val="0"/>
          <w:caps w:val="0"/>
          <w:color w:val="auto"/>
          <w:spacing w:val="0"/>
          <w:kern w:val="0"/>
          <w:sz w:val="32"/>
          <w:szCs w:val="32"/>
          <w:shd w:val="clear" w:fill="FFFFFF"/>
          <w:lang w:val="en-US" w:eastAsia="zh-CN" w:bidi="ar"/>
        </w:rPr>
        <w:t>（七）动员社会参与。动员辖区内各类单位、社会组织、村民等社会力量参与社会治理，为乡镇发展服务。</w:t>
      </w:r>
    </w:p>
    <w:p>
      <w:pPr>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val="0"/>
        <w:overflowPunct/>
        <w:topLinePunct w:val="0"/>
        <w:autoSpaceDE/>
        <w:autoSpaceDN/>
        <w:bidi w:val="0"/>
        <w:adjustRightInd/>
        <w:snapToGrid/>
        <w:spacing w:before="0" w:beforeAutospacing="0" w:line="560" w:lineRule="exact"/>
        <w:ind w:left="0" w:right="0" w:firstLine="640" w:firstLineChars="200"/>
        <w:jc w:val="left"/>
        <w:textAlignment w:val="auto"/>
        <w:rPr>
          <w:rFonts w:hint="eastAsia" w:ascii="仿宋_GB2312" w:hAnsi="仿宋_GB2312" w:eastAsia="仿宋_GB2312" w:cs="仿宋_GB2312"/>
          <w:i w:val="0"/>
          <w:iCs w:val="0"/>
          <w:caps w:val="0"/>
          <w:color w:val="auto"/>
          <w:spacing w:val="0"/>
          <w:kern w:val="0"/>
          <w:sz w:val="32"/>
          <w:szCs w:val="32"/>
          <w:shd w:val="clear" w:fill="FFFFFF"/>
          <w:lang w:val="en-US" w:eastAsia="zh-CN" w:bidi="ar"/>
        </w:rPr>
      </w:pPr>
      <w:r>
        <w:rPr>
          <w:rFonts w:hint="eastAsia" w:ascii="仿宋_GB2312" w:hAnsi="仿宋_GB2312" w:eastAsia="仿宋_GB2312" w:cs="仿宋_GB2312"/>
          <w:i w:val="0"/>
          <w:iCs w:val="0"/>
          <w:caps w:val="0"/>
          <w:color w:val="auto"/>
          <w:spacing w:val="0"/>
          <w:kern w:val="0"/>
          <w:sz w:val="32"/>
          <w:szCs w:val="32"/>
          <w:shd w:val="clear" w:fill="FFFFFF"/>
          <w:lang w:val="en-US" w:eastAsia="zh-CN" w:bidi="ar"/>
        </w:rPr>
        <w:t>（八）保障村民自治。指导村民委员会建设，健全村民自治平台，组织驻乡单位和村民参与村建设、管理。</w:t>
      </w:r>
    </w:p>
    <w:p>
      <w:pPr>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val="0"/>
        <w:overflowPunct/>
        <w:topLinePunct w:val="0"/>
        <w:autoSpaceDE/>
        <w:autoSpaceDN/>
        <w:bidi w:val="0"/>
        <w:adjustRightInd/>
        <w:snapToGrid/>
        <w:spacing w:before="0" w:beforeAutospacing="0" w:line="560" w:lineRule="exact"/>
        <w:ind w:left="0" w:right="0" w:firstLine="640" w:firstLineChars="200"/>
        <w:jc w:val="left"/>
        <w:textAlignment w:val="auto"/>
        <w:rPr>
          <w:rFonts w:hint="eastAsia" w:ascii="仿宋_GB2312" w:hAnsi="仿宋_GB2312" w:eastAsia="仿宋_GB2312" w:cs="仿宋_GB2312"/>
          <w:i w:val="0"/>
          <w:iCs w:val="0"/>
          <w:caps w:val="0"/>
          <w:color w:val="auto"/>
          <w:spacing w:val="0"/>
          <w:kern w:val="0"/>
          <w:sz w:val="32"/>
          <w:szCs w:val="32"/>
          <w:shd w:val="clear" w:fill="FFFFFF"/>
          <w:lang w:val="en-US" w:eastAsia="zh-CN" w:bidi="ar"/>
        </w:rPr>
      </w:pPr>
      <w:r>
        <w:rPr>
          <w:rFonts w:hint="eastAsia" w:ascii="仿宋_GB2312" w:hAnsi="仿宋_GB2312" w:eastAsia="仿宋_GB2312" w:cs="仿宋_GB2312"/>
          <w:i w:val="0"/>
          <w:iCs w:val="0"/>
          <w:caps w:val="0"/>
          <w:color w:val="auto"/>
          <w:spacing w:val="0"/>
          <w:kern w:val="0"/>
          <w:sz w:val="32"/>
          <w:szCs w:val="32"/>
          <w:shd w:val="clear" w:fill="FFFFFF"/>
          <w:lang w:val="en-US" w:eastAsia="zh-CN" w:bidi="ar"/>
        </w:rPr>
        <w:t>（九）按照管理权限，负责机关和事业单位工作人员的教育、培养、选拔、考核和监督工作；协助管理好派驻单位工作人员。</w:t>
      </w:r>
    </w:p>
    <w:p>
      <w:pPr>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val="0"/>
        <w:overflowPunct/>
        <w:topLinePunct w:val="0"/>
        <w:autoSpaceDE/>
        <w:autoSpaceDN/>
        <w:bidi w:val="0"/>
        <w:adjustRightInd/>
        <w:snapToGrid/>
        <w:spacing w:before="0" w:beforeAutospacing="0" w:line="560" w:lineRule="exact"/>
        <w:ind w:left="0" w:right="0" w:firstLine="640" w:firstLineChars="200"/>
        <w:jc w:val="left"/>
        <w:textAlignment w:val="auto"/>
        <w:rPr>
          <w:rFonts w:hint="eastAsia" w:ascii="仿宋_GB2312" w:hAnsi="仿宋_GB2312" w:eastAsia="仿宋_GB2312" w:cs="仿宋_GB2312"/>
          <w:i w:val="0"/>
          <w:iCs w:val="0"/>
          <w:caps w:val="0"/>
          <w:color w:val="auto"/>
          <w:spacing w:val="0"/>
          <w:kern w:val="0"/>
          <w:sz w:val="32"/>
          <w:szCs w:val="32"/>
          <w:shd w:val="clear" w:fill="FFFFFF"/>
          <w:lang w:val="en-US" w:eastAsia="zh-CN" w:bidi="ar"/>
        </w:rPr>
      </w:pPr>
      <w:r>
        <w:rPr>
          <w:rFonts w:hint="eastAsia" w:ascii="仿宋_GB2312" w:hAnsi="仿宋_GB2312" w:eastAsia="仿宋_GB2312" w:cs="仿宋_GB2312"/>
          <w:i w:val="0"/>
          <w:iCs w:val="0"/>
          <w:caps w:val="0"/>
          <w:color w:val="auto"/>
          <w:spacing w:val="0"/>
          <w:kern w:val="0"/>
          <w:sz w:val="32"/>
          <w:szCs w:val="32"/>
          <w:shd w:val="clear" w:fill="FFFFFF"/>
          <w:lang w:val="en-US" w:eastAsia="zh-CN" w:bidi="ar"/>
        </w:rPr>
        <w:t>（十）依法依规承担下放的经济社会管理权限和行政执法事项。</w:t>
      </w:r>
    </w:p>
    <w:p>
      <w:pPr>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val="0"/>
        <w:overflowPunct/>
        <w:topLinePunct w:val="0"/>
        <w:autoSpaceDE/>
        <w:autoSpaceDN/>
        <w:bidi w:val="0"/>
        <w:adjustRightInd/>
        <w:snapToGrid/>
        <w:spacing w:before="0" w:beforeAutospacing="0" w:line="560" w:lineRule="exact"/>
        <w:ind w:left="0" w:right="0" w:firstLine="640" w:firstLineChars="200"/>
        <w:jc w:val="left"/>
        <w:textAlignment w:val="auto"/>
        <w:rPr>
          <w:rFonts w:hint="eastAsia" w:ascii="仿宋_GB2312" w:hAnsi="仿宋_GB2312" w:eastAsia="仿宋_GB2312" w:cs="仿宋_GB2312"/>
          <w:i w:val="0"/>
          <w:iCs w:val="0"/>
          <w:caps w:val="0"/>
          <w:color w:val="auto"/>
          <w:spacing w:val="0"/>
          <w:kern w:val="0"/>
          <w:sz w:val="32"/>
          <w:szCs w:val="32"/>
          <w:shd w:val="clear" w:fill="FFFFFF"/>
          <w:lang w:val="en-US" w:eastAsia="zh-CN" w:bidi="ar"/>
        </w:rPr>
      </w:pPr>
      <w:r>
        <w:rPr>
          <w:rFonts w:hint="eastAsia" w:ascii="仿宋_GB2312" w:hAnsi="仿宋_GB2312" w:eastAsia="仿宋_GB2312" w:cs="仿宋_GB2312"/>
          <w:i w:val="0"/>
          <w:iCs w:val="0"/>
          <w:caps w:val="0"/>
          <w:color w:val="auto"/>
          <w:spacing w:val="0"/>
          <w:kern w:val="0"/>
          <w:sz w:val="32"/>
          <w:szCs w:val="32"/>
          <w:shd w:val="clear" w:fill="FFFFFF"/>
          <w:lang w:val="en-US" w:eastAsia="zh-CN" w:bidi="ar"/>
        </w:rPr>
        <w:t>（十一）行使《中华人民共和国地方各级人民代表大会和地方各级人民政府组织法》等法律法规赋予的职权。</w:t>
      </w:r>
    </w:p>
    <w:p>
      <w:pPr>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val="0"/>
        <w:overflowPunct/>
        <w:topLinePunct w:val="0"/>
        <w:autoSpaceDE/>
        <w:autoSpaceDN/>
        <w:bidi w:val="0"/>
        <w:adjustRightInd/>
        <w:snapToGrid/>
        <w:spacing w:before="0" w:beforeAutospacing="0" w:line="560" w:lineRule="exact"/>
        <w:ind w:left="0" w:right="0" w:firstLine="640" w:firstLineChars="200"/>
        <w:jc w:val="left"/>
        <w:textAlignment w:val="auto"/>
        <w:rPr>
          <w:rFonts w:ascii="仿宋_GB2312" w:hAnsi="仿宋_GB2312" w:eastAsia="仿宋_GB2312" w:cs="仿宋_GB2312"/>
          <w:i w:val="0"/>
          <w:iCs w:val="0"/>
          <w:caps w:val="0"/>
          <w:color w:val="auto"/>
          <w:spacing w:val="0"/>
          <w:kern w:val="0"/>
          <w:sz w:val="31"/>
          <w:szCs w:val="31"/>
          <w:shd w:val="clear" w:fill="FFFFFF"/>
          <w:lang w:val="en-US" w:eastAsia="zh-CN" w:bidi="ar"/>
        </w:rPr>
      </w:pPr>
      <w:r>
        <w:rPr>
          <w:rFonts w:hint="eastAsia" w:ascii="仿宋_GB2312" w:hAnsi="仿宋_GB2312" w:eastAsia="仿宋_GB2312" w:cs="仿宋_GB2312"/>
          <w:i w:val="0"/>
          <w:iCs w:val="0"/>
          <w:caps w:val="0"/>
          <w:color w:val="auto"/>
          <w:spacing w:val="0"/>
          <w:kern w:val="0"/>
          <w:sz w:val="32"/>
          <w:szCs w:val="32"/>
          <w:shd w:val="clear" w:fill="FFFFFF"/>
          <w:lang w:val="en-US" w:eastAsia="zh-CN" w:bidi="ar"/>
        </w:rPr>
        <w:t>（十二）完成市委、市人民政府交办的其他事项。</w:t>
      </w:r>
    </w:p>
    <w:p>
      <w:pPr>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val="0"/>
        <w:overflowPunct/>
        <w:topLinePunct w:val="0"/>
        <w:autoSpaceDE/>
        <w:autoSpaceDN/>
        <w:bidi w:val="0"/>
        <w:adjustRightInd/>
        <w:snapToGrid/>
        <w:spacing w:before="0" w:beforeAutospacing="0" w:line="409" w:lineRule="atLeast"/>
        <w:ind w:left="0" w:right="0"/>
        <w:jc w:val="left"/>
        <w:textAlignment w:val="auto"/>
        <w:rPr>
          <w:rFonts w:ascii="黑体" w:hAnsi="宋体" w:eastAsia="黑体" w:cs="黑体"/>
          <w:i w:val="0"/>
          <w:iCs w:val="0"/>
          <w:caps w:val="0"/>
          <w:color w:val="auto"/>
          <w:spacing w:val="0"/>
          <w:sz w:val="31"/>
          <w:szCs w:val="31"/>
        </w:rPr>
      </w:pPr>
      <w:r>
        <w:rPr>
          <w:rFonts w:hint="eastAsia" w:ascii="黑体" w:hAnsi="黑体" w:eastAsia="黑体" w:cs="宋体"/>
          <w:bCs/>
          <w:color w:val="auto"/>
          <w:kern w:val="0"/>
          <w:sz w:val="32"/>
          <w:szCs w:val="32"/>
          <w:highlight w:val="none"/>
          <w:lang w:val="en-US" w:eastAsia="zh-CN"/>
        </w:rPr>
        <w:t>二、机构设置及人员情况</w:t>
      </w:r>
      <w:r>
        <w:rPr>
          <w:rFonts w:ascii="黑体" w:hAnsi="宋体" w:eastAsia="黑体" w:cs="黑体"/>
          <w:i w:val="0"/>
          <w:iCs w:val="0"/>
          <w:caps w:val="0"/>
          <w:color w:val="auto"/>
          <w:spacing w:val="0"/>
          <w:kern w:val="0"/>
          <w:sz w:val="31"/>
          <w:szCs w:val="31"/>
          <w:shd w:val="clear" w:fill="FFFFFF"/>
          <w:lang w:val="en-US" w:eastAsia="zh-CN" w:bidi="ar"/>
        </w:rPr>
        <w:t>​​</w:t>
      </w:r>
    </w:p>
    <w:p>
      <w:pPr>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val="0"/>
        <w:overflowPunct/>
        <w:topLinePunct w:val="0"/>
        <w:autoSpaceDE/>
        <w:autoSpaceDN/>
        <w:bidi w:val="0"/>
        <w:adjustRightInd/>
        <w:snapToGrid/>
        <w:spacing w:before="0" w:beforeAutospacing="0" w:line="560" w:lineRule="exact"/>
        <w:ind w:left="0" w:right="0" w:firstLine="640" w:firstLineChars="200"/>
        <w:jc w:val="both"/>
        <w:textAlignment w:val="auto"/>
        <w:rPr>
          <w:rFonts w:hint="eastAsia" w:ascii="方正仿宋_GBK" w:hAnsi="方正仿宋_GBK" w:eastAsia="方正仿宋_GBK" w:cs="方正仿宋_GBK"/>
          <w:b w:val="0"/>
          <w:bCs w:val="0"/>
          <w:i w:val="0"/>
          <w:iCs w:val="0"/>
          <w:caps w:val="0"/>
          <w:color w:val="auto"/>
          <w:spacing w:val="0"/>
          <w:sz w:val="32"/>
          <w:szCs w:val="32"/>
        </w:rPr>
      </w:pPr>
      <w:r>
        <w:rPr>
          <w:rFonts w:hint="eastAsia" w:ascii="方正仿宋_GBK" w:hAnsi="方正仿宋_GBK" w:eastAsia="方正仿宋_GBK" w:cs="方正仿宋_GBK"/>
          <w:b w:val="0"/>
          <w:bCs w:val="0"/>
          <w:i w:val="0"/>
          <w:iCs w:val="0"/>
          <w:caps w:val="0"/>
          <w:color w:val="auto"/>
          <w:spacing w:val="0"/>
          <w:kern w:val="0"/>
          <w:sz w:val="32"/>
          <w:szCs w:val="32"/>
          <w:shd w:val="clear" w:fill="FFFFFF"/>
          <w:lang w:val="en-US" w:eastAsia="zh-CN" w:bidi="ar"/>
        </w:rPr>
        <w:t>库尔勒市铁克其乡人民政府2024年度实有人数103人，其中：在职人员70人，减少3人；离休人员0人，较上年无变化；退休人员33人，增加5人。​</w:t>
      </w:r>
    </w:p>
    <w:p>
      <w:pPr>
        <w:pStyle w:val="7"/>
        <w:keepNext w:val="0"/>
        <w:keepLines w:val="0"/>
        <w:pageBreakBefore w:val="0"/>
        <w:kinsoku/>
        <w:overflowPunct/>
        <w:topLinePunct w:val="0"/>
        <w:autoSpaceDE/>
        <w:autoSpaceDN/>
        <w:bidi w:val="0"/>
        <w:adjustRightInd/>
        <w:snapToGrid/>
        <w:spacing w:line="560" w:lineRule="exact"/>
        <w:ind w:left="0" w:right="0" w:firstLine="640" w:firstLineChars="200"/>
        <w:textAlignment w:val="auto"/>
        <w:rPr>
          <w:rFonts w:hint="eastAsia" w:ascii="方正仿宋_GBK" w:hAnsi="方正仿宋_GBK" w:eastAsia="方正仿宋_GBK" w:cs="方正仿宋_GBK"/>
          <w:b w:val="0"/>
          <w:bCs w:val="0"/>
          <w:i w:val="0"/>
          <w:iCs w:val="0"/>
          <w:caps w:val="0"/>
          <w:color w:val="auto"/>
          <w:spacing w:val="0"/>
          <w:kern w:val="0"/>
          <w:sz w:val="32"/>
          <w:szCs w:val="32"/>
          <w:shd w:val="clear" w:fill="FFFFFF"/>
          <w:lang w:val="en-US" w:eastAsia="zh-CN" w:bidi="ar"/>
        </w:rPr>
      </w:pPr>
      <w:r>
        <w:rPr>
          <w:rFonts w:hint="eastAsia" w:ascii="方正仿宋_GBK" w:hAnsi="方正仿宋_GBK" w:eastAsia="方正仿宋_GBK" w:cs="方正仿宋_GBK"/>
          <w:b w:val="0"/>
          <w:bCs w:val="0"/>
          <w:i w:val="0"/>
          <w:iCs w:val="0"/>
          <w:caps w:val="0"/>
          <w:color w:val="auto"/>
          <w:spacing w:val="0"/>
          <w:kern w:val="0"/>
          <w:sz w:val="32"/>
          <w:szCs w:val="32"/>
          <w:shd w:val="clear" w:fill="FFFFFF"/>
          <w:lang w:val="en-US" w:eastAsia="zh-CN" w:bidi="ar"/>
        </w:rPr>
        <w:t>库尔勒市铁克其乡人民政府无下属预算单位，下设5办，5中心，分别是：党政综合办公室，党建工作办公室，经济发展和财政办公室，社会事务办公室（退役军人服务站），综合执法办公室，农业发展中心，公共文化服务中心，村镇建设发展中心，综治和网格化服务中心，便民服务中心。</w:t>
      </w:r>
    </w:p>
    <w:p>
      <w:pPr>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val="0"/>
        <w:overflowPunct/>
        <w:topLinePunct w:val="0"/>
        <w:autoSpaceDE/>
        <w:autoSpaceDN/>
        <w:bidi w:val="0"/>
        <w:adjustRightInd/>
        <w:snapToGrid/>
        <w:spacing w:before="0" w:beforeAutospacing="0" w:line="409" w:lineRule="atLeast"/>
        <w:ind w:left="0" w:right="0"/>
        <w:jc w:val="both"/>
        <w:textAlignment w:val="auto"/>
        <w:rPr>
          <w:rFonts w:ascii="黑体" w:hAnsi="宋体" w:eastAsia="黑体" w:cs="黑体"/>
          <w:i w:val="0"/>
          <w:iCs w:val="0"/>
          <w:caps w:val="0"/>
          <w:color w:val="auto"/>
          <w:spacing w:val="0"/>
          <w:kern w:val="0"/>
          <w:sz w:val="31"/>
          <w:szCs w:val="31"/>
          <w:shd w:val="clear" w:fill="FFFFFF"/>
          <w:lang w:val="en-US" w:eastAsia="zh-CN" w:bidi="ar"/>
        </w:rPr>
      </w:pPr>
    </w:p>
    <w:p>
      <w:pPr>
        <w:keepNext w:val="0"/>
        <w:keepLines w:val="0"/>
        <w:pageBreakBefore w:val="0"/>
        <w:kinsoku/>
        <w:overflowPunct/>
        <w:topLinePunct w:val="0"/>
        <w:autoSpaceDE/>
        <w:autoSpaceDN/>
        <w:bidi w:val="0"/>
        <w:adjustRightInd/>
        <w:snapToGrid/>
        <w:ind w:left="0" w:right="0"/>
        <w:textAlignment w:val="auto"/>
        <w:rPr>
          <w:rFonts w:ascii="黑体" w:hAnsi="宋体" w:eastAsia="黑体" w:cs="黑体"/>
          <w:i w:val="0"/>
          <w:iCs w:val="0"/>
          <w:caps w:val="0"/>
          <w:color w:val="auto"/>
          <w:spacing w:val="0"/>
          <w:kern w:val="0"/>
          <w:sz w:val="31"/>
          <w:szCs w:val="31"/>
          <w:shd w:val="clear" w:fill="FFFFFF"/>
          <w:lang w:val="en-US" w:eastAsia="zh-CN" w:bidi="ar"/>
        </w:rPr>
      </w:pPr>
      <w:r>
        <w:rPr>
          <w:rFonts w:ascii="黑体" w:hAnsi="宋体" w:eastAsia="黑体" w:cs="黑体"/>
          <w:i w:val="0"/>
          <w:iCs w:val="0"/>
          <w:caps w:val="0"/>
          <w:color w:val="auto"/>
          <w:spacing w:val="0"/>
          <w:kern w:val="0"/>
          <w:sz w:val="31"/>
          <w:szCs w:val="31"/>
          <w:shd w:val="clear" w:fill="FFFFFF"/>
          <w:lang w:val="en-US" w:eastAsia="zh-CN" w:bidi="ar"/>
        </w:rPr>
        <w:br w:type="page"/>
      </w:r>
    </w:p>
    <w:p>
      <w:pPr>
        <w:keepNext w:val="0"/>
        <w:keepLines w:val="0"/>
        <w:pageBreakBefore w:val="0"/>
        <w:widowControl w:val="0"/>
        <w:kinsoku/>
        <w:wordWrap/>
        <w:overflowPunct/>
        <w:topLinePunct w:val="0"/>
        <w:autoSpaceDE/>
        <w:autoSpaceDN/>
        <w:bidi w:val="0"/>
        <w:adjustRightInd/>
        <w:snapToGrid/>
        <w:spacing w:line="240" w:lineRule="auto"/>
        <w:ind w:left="0" w:right="0" w:firstLine="0" w:firstLineChars="0"/>
        <w:jc w:val="center"/>
        <w:textAlignment w:val="auto"/>
        <w:outlineLvl w:val="0"/>
        <w:rPr>
          <w:rFonts w:hint="eastAsia" w:ascii="黑体" w:hAnsi="黑体" w:eastAsia="黑体" w:cs="Times New Roman"/>
          <w:color w:val="auto"/>
          <w:sz w:val="32"/>
          <w:szCs w:val="32"/>
          <w:highlight w:val="none"/>
        </w:rPr>
      </w:pPr>
      <w:r>
        <w:rPr>
          <w:rFonts w:hint="eastAsia" w:ascii="黑体" w:hAnsi="黑体" w:eastAsia="黑体" w:cs="Times New Roman"/>
          <w:color w:val="auto"/>
          <w:sz w:val="32"/>
          <w:szCs w:val="32"/>
          <w:highlight w:val="none"/>
          <w:lang w:val="en-US" w:eastAsia="zh-CN"/>
        </w:rPr>
        <w:t>第二部分 部门决算情况说明</w:t>
      </w:r>
    </w:p>
    <w:p>
      <w:pPr>
        <w:keepNext w:val="0"/>
        <w:keepLines w:val="0"/>
        <w:pageBreakBefore w:val="0"/>
        <w:widowControl w:val="0"/>
        <w:kinsoku/>
        <w:wordWrap/>
        <w:overflowPunct/>
        <w:topLinePunct w:val="0"/>
        <w:autoSpaceDE/>
        <w:autoSpaceDN/>
        <w:bidi w:val="0"/>
        <w:adjustRightInd/>
        <w:snapToGrid/>
        <w:spacing w:line="560" w:lineRule="exact"/>
        <w:ind w:left="0" w:right="0"/>
        <w:jc w:val="both"/>
        <w:textAlignment w:val="auto"/>
        <w:outlineLvl w:val="0"/>
        <w:rPr>
          <w:rFonts w:hint="eastAsia" w:ascii="黑体" w:hAnsi="黑体" w:eastAsia="黑体" w:cs="Times New Roman"/>
          <w:color w:val="auto"/>
          <w:sz w:val="32"/>
          <w:szCs w:val="32"/>
          <w:highlight w:val="none"/>
        </w:rPr>
      </w:pPr>
      <w:r>
        <w:rPr>
          <w:rFonts w:hint="eastAsia" w:ascii="黑体" w:hAnsi="黑体" w:eastAsia="黑体" w:cs="Times New Roman"/>
          <w:color w:val="auto"/>
          <w:sz w:val="32"/>
          <w:szCs w:val="32"/>
          <w:highlight w:val="none"/>
          <w:lang w:val="en-US" w:eastAsia="zh-CN"/>
        </w:rPr>
        <w:t>一、收入支出决算总体情况说明</w:t>
      </w:r>
    </w:p>
    <w:p>
      <w:pPr>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val="0"/>
        <w:overflowPunct/>
        <w:topLinePunct w:val="0"/>
        <w:autoSpaceDE/>
        <w:autoSpaceDN/>
        <w:bidi w:val="0"/>
        <w:adjustRightInd/>
        <w:snapToGrid/>
        <w:spacing w:before="0" w:beforeAutospacing="0" w:line="560" w:lineRule="exact"/>
        <w:ind w:left="0" w:right="0" w:firstLine="620" w:firstLineChars="200"/>
        <w:jc w:val="both"/>
        <w:textAlignment w:val="auto"/>
        <w:rPr>
          <w:rFonts w:ascii="仿宋_GB2312" w:hAnsi="仿宋_GB2312" w:eastAsia="仿宋_GB2312" w:cs="仿宋_GB2312"/>
          <w:i w:val="0"/>
          <w:iCs w:val="0"/>
          <w:caps w:val="0"/>
          <w:color w:val="auto"/>
          <w:spacing w:val="0"/>
          <w:sz w:val="31"/>
          <w:szCs w:val="31"/>
        </w:rPr>
      </w:pPr>
      <w:r>
        <w:rPr>
          <w:rFonts w:ascii="仿宋_GB2312" w:hAnsi="仿宋_GB2312" w:eastAsia="仿宋_GB2312" w:cs="仿宋_GB2312"/>
          <w:i w:val="0"/>
          <w:iCs w:val="0"/>
          <w:caps w:val="0"/>
          <w:color w:val="auto"/>
          <w:spacing w:val="0"/>
          <w:kern w:val="0"/>
          <w:sz w:val="31"/>
          <w:szCs w:val="31"/>
          <w:shd w:val="clear" w:fill="FFFFFF"/>
          <w:lang w:val="en-US" w:eastAsia="zh-CN" w:bidi="ar"/>
        </w:rPr>
        <w:t>2024年度收入总计4,172.19万元，其中：本年收入合计4,172.19​万元，使用非财政拨款结余（含专用结余</w:t>
      </w:r>
      <w:r>
        <w:rPr>
          <w:rFonts w:hint="eastAsia" w:ascii="仿宋_GB2312" w:hAnsi="仿宋_GB2312" w:eastAsia="仿宋_GB2312" w:cs="仿宋_GB2312"/>
          <w:i w:val="0"/>
          <w:iCs w:val="0"/>
          <w:caps w:val="0"/>
          <w:color w:val="auto"/>
          <w:spacing w:val="0"/>
          <w:kern w:val="0"/>
          <w:sz w:val="31"/>
          <w:szCs w:val="31"/>
          <w:shd w:val="clear" w:fill="FFFFFF"/>
          <w:lang w:val="en-US" w:eastAsia="zh-CN" w:bidi="ar"/>
        </w:rPr>
        <w:t>）</w:t>
      </w:r>
      <w:r>
        <w:rPr>
          <w:rFonts w:ascii="仿宋_GB2312" w:hAnsi="仿宋_GB2312" w:eastAsia="仿宋_GB2312" w:cs="仿宋_GB2312"/>
          <w:i w:val="0"/>
          <w:iCs w:val="0"/>
          <w:caps w:val="0"/>
          <w:color w:val="auto"/>
          <w:spacing w:val="0"/>
          <w:kern w:val="0"/>
          <w:sz w:val="31"/>
          <w:szCs w:val="31"/>
          <w:shd w:val="clear" w:fill="FFFFFF"/>
          <w:lang w:val="en-US" w:eastAsia="zh-CN" w:bidi="ar"/>
        </w:rPr>
        <w:t>0万元，年初结转和结余0万元。</w:t>
      </w:r>
    </w:p>
    <w:p>
      <w:pPr>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val="0"/>
        <w:overflowPunct/>
        <w:topLinePunct w:val="0"/>
        <w:autoSpaceDE/>
        <w:autoSpaceDN/>
        <w:bidi w:val="0"/>
        <w:adjustRightInd/>
        <w:snapToGrid/>
        <w:spacing w:before="0" w:beforeAutospacing="0" w:line="560" w:lineRule="exact"/>
        <w:ind w:left="0" w:right="0" w:firstLine="620" w:firstLineChars="200"/>
        <w:jc w:val="both"/>
        <w:textAlignment w:val="auto"/>
        <w:rPr>
          <w:rFonts w:ascii="仿宋_GB2312" w:hAnsi="仿宋_GB2312" w:eastAsia="仿宋_GB2312" w:cs="仿宋_GB2312"/>
          <w:i w:val="0"/>
          <w:iCs w:val="0"/>
          <w:caps w:val="0"/>
          <w:color w:val="auto"/>
          <w:spacing w:val="0"/>
          <w:sz w:val="31"/>
          <w:szCs w:val="31"/>
        </w:rPr>
      </w:pPr>
      <w:r>
        <w:rPr>
          <w:rFonts w:ascii="仿宋_GB2312" w:hAnsi="仿宋_GB2312" w:eastAsia="仿宋_GB2312" w:cs="仿宋_GB2312"/>
          <w:i w:val="0"/>
          <w:iCs w:val="0"/>
          <w:caps w:val="0"/>
          <w:color w:val="auto"/>
          <w:spacing w:val="0"/>
          <w:kern w:val="0"/>
          <w:sz w:val="31"/>
          <w:szCs w:val="31"/>
          <w:shd w:val="clear" w:fill="FFFFFF"/>
          <w:lang w:val="en-US" w:eastAsia="zh-CN" w:bidi="ar"/>
        </w:rPr>
        <w:t>2024年度支出总计4,172.19万元，其中：本年支出合计4,172.19万元，结余分配0万元，年末结转和结余0万元。</w:t>
      </w:r>
    </w:p>
    <w:p>
      <w:pPr>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val="0"/>
        <w:overflowPunct/>
        <w:topLinePunct w:val="0"/>
        <w:autoSpaceDE/>
        <w:autoSpaceDN/>
        <w:bidi w:val="0"/>
        <w:adjustRightInd/>
        <w:snapToGrid/>
        <w:spacing w:before="0" w:beforeAutospacing="0" w:line="560" w:lineRule="exact"/>
        <w:ind w:left="0" w:right="0" w:firstLine="620" w:firstLineChars="200"/>
        <w:jc w:val="both"/>
        <w:textAlignment w:val="auto"/>
        <w:rPr>
          <w:rFonts w:ascii="仿宋_GB2312" w:hAnsi="仿宋_GB2312" w:eastAsia="仿宋_GB2312" w:cs="仿宋_GB2312"/>
          <w:i w:val="0"/>
          <w:iCs w:val="0"/>
          <w:caps w:val="0"/>
          <w:color w:val="auto"/>
          <w:spacing w:val="0"/>
          <w:kern w:val="0"/>
          <w:sz w:val="31"/>
          <w:szCs w:val="31"/>
          <w:shd w:val="clear" w:fill="FFFFFF"/>
          <w:lang w:val="en-US" w:eastAsia="zh-CN" w:bidi="ar"/>
        </w:rPr>
      </w:pPr>
      <w:r>
        <w:rPr>
          <w:rFonts w:ascii="仿宋_GB2312" w:hAnsi="仿宋_GB2312" w:eastAsia="仿宋_GB2312" w:cs="仿宋_GB2312"/>
          <w:i w:val="0"/>
          <w:iCs w:val="0"/>
          <w:caps w:val="0"/>
          <w:color w:val="auto"/>
          <w:spacing w:val="0"/>
          <w:kern w:val="0"/>
          <w:sz w:val="31"/>
          <w:szCs w:val="31"/>
          <w:shd w:val="clear" w:fill="FFFFFF"/>
          <w:lang w:val="en-US" w:eastAsia="zh-CN" w:bidi="ar"/>
        </w:rPr>
        <w:t>收入支出总体与上年相比，减少1,462.04万元，下降25.95%，主要原因是：</w:t>
      </w:r>
      <w:r>
        <w:rPr>
          <w:rFonts w:hint="eastAsia" w:ascii="仿宋_GB2312" w:hAnsi="仿宋_GB2312" w:eastAsia="仿宋_GB2312" w:cs="仿宋_GB2312"/>
          <w:i w:val="0"/>
          <w:iCs w:val="0"/>
          <w:caps w:val="0"/>
          <w:color w:val="auto"/>
          <w:spacing w:val="0"/>
          <w:kern w:val="0"/>
          <w:sz w:val="31"/>
          <w:szCs w:val="31"/>
          <w:shd w:val="clear" w:fill="FFFFFF"/>
          <w:lang w:val="en-US" w:eastAsia="zh-CN" w:bidi="ar"/>
        </w:rPr>
        <w:t>2024年本乡棉花目标价格改革补贴资金减少。</w:t>
      </w:r>
    </w:p>
    <w:p>
      <w:pPr>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val="0"/>
        <w:overflowPunct/>
        <w:topLinePunct w:val="0"/>
        <w:autoSpaceDE/>
        <w:autoSpaceDN/>
        <w:bidi w:val="0"/>
        <w:adjustRightInd/>
        <w:snapToGrid/>
        <w:spacing w:before="0" w:beforeAutospacing="0" w:line="560" w:lineRule="exact"/>
        <w:ind w:left="0" w:right="0"/>
        <w:jc w:val="left"/>
        <w:textAlignment w:val="auto"/>
        <w:rPr>
          <w:rFonts w:ascii="黑体" w:hAnsi="宋体" w:eastAsia="黑体" w:cs="黑体"/>
          <w:i w:val="0"/>
          <w:iCs w:val="0"/>
          <w:caps w:val="0"/>
          <w:color w:val="auto"/>
          <w:spacing w:val="0"/>
          <w:sz w:val="31"/>
          <w:szCs w:val="31"/>
        </w:rPr>
      </w:pPr>
      <w:r>
        <w:rPr>
          <w:rFonts w:ascii="黑体" w:hAnsi="宋体" w:eastAsia="黑体" w:cs="黑体"/>
          <w:i w:val="0"/>
          <w:iCs w:val="0"/>
          <w:caps w:val="0"/>
          <w:color w:val="auto"/>
          <w:spacing w:val="0"/>
          <w:kern w:val="0"/>
          <w:sz w:val="31"/>
          <w:szCs w:val="31"/>
          <w:shd w:val="clear" w:fill="FFFFFF"/>
          <w:lang w:val="en-US" w:eastAsia="zh-CN" w:bidi="ar"/>
        </w:rPr>
        <w:t>二、收入决算情况说明</w:t>
      </w:r>
    </w:p>
    <w:p>
      <w:pPr>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val="0"/>
        <w:overflowPunct/>
        <w:topLinePunct w:val="0"/>
        <w:autoSpaceDE/>
        <w:autoSpaceDN/>
        <w:bidi w:val="0"/>
        <w:adjustRightInd/>
        <w:snapToGrid/>
        <w:spacing w:before="0" w:beforeAutospacing="0" w:line="560" w:lineRule="exact"/>
        <w:ind w:left="0" w:right="0" w:firstLine="620" w:firstLineChars="200"/>
        <w:jc w:val="both"/>
        <w:textAlignment w:val="auto"/>
        <w:rPr>
          <w:rFonts w:ascii="仿宋_GB2312" w:hAnsi="仿宋_GB2312" w:eastAsia="仿宋_GB2312" w:cs="仿宋_GB2312"/>
          <w:i w:val="0"/>
          <w:iCs w:val="0"/>
          <w:caps w:val="0"/>
          <w:color w:val="auto"/>
          <w:spacing w:val="0"/>
          <w:sz w:val="31"/>
          <w:szCs w:val="31"/>
        </w:rPr>
      </w:pPr>
      <w:r>
        <w:rPr>
          <w:rFonts w:ascii="仿宋_GB2312" w:hAnsi="仿宋_GB2312" w:eastAsia="仿宋_GB2312" w:cs="仿宋_GB2312"/>
          <w:i w:val="0"/>
          <w:iCs w:val="0"/>
          <w:caps w:val="0"/>
          <w:color w:val="auto"/>
          <w:spacing w:val="0"/>
          <w:kern w:val="0"/>
          <w:sz w:val="31"/>
          <w:szCs w:val="31"/>
          <w:shd w:val="clear" w:fill="FFFFFF"/>
          <w:lang w:val="en-US" w:eastAsia="zh-CN" w:bidi="ar"/>
        </w:rPr>
        <w:t>本年收入4,172.19万元，其中：财政拨款收入4,172.19万元,占100%；上级补助收入0万元,占0%；事业收入0万元，占0%；经营收入0万元,占0%；附属单位上缴收入0万元，占0%；其他收入0万元，占0%。</w:t>
      </w:r>
    </w:p>
    <w:p>
      <w:pPr>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val="0"/>
        <w:overflowPunct/>
        <w:topLinePunct w:val="0"/>
        <w:autoSpaceDE/>
        <w:autoSpaceDN/>
        <w:bidi w:val="0"/>
        <w:adjustRightInd/>
        <w:snapToGrid/>
        <w:spacing w:before="0" w:beforeAutospacing="0" w:line="560" w:lineRule="exact"/>
        <w:ind w:left="0" w:right="0"/>
        <w:jc w:val="left"/>
        <w:textAlignment w:val="auto"/>
        <w:rPr>
          <w:rFonts w:ascii="黑体" w:hAnsi="宋体" w:eastAsia="黑体" w:cs="黑体"/>
          <w:i w:val="0"/>
          <w:iCs w:val="0"/>
          <w:caps w:val="0"/>
          <w:color w:val="auto"/>
          <w:spacing w:val="0"/>
          <w:sz w:val="31"/>
          <w:szCs w:val="31"/>
        </w:rPr>
      </w:pPr>
      <w:r>
        <w:rPr>
          <w:rFonts w:ascii="黑体" w:hAnsi="宋体" w:eastAsia="黑体" w:cs="黑体"/>
          <w:i w:val="0"/>
          <w:iCs w:val="0"/>
          <w:caps w:val="0"/>
          <w:color w:val="auto"/>
          <w:spacing w:val="0"/>
          <w:kern w:val="0"/>
          <w:sz w:val="31"/>
          <w:szCs w:val="31"/>
          <w:shd w:val="clear" w:fill="FFFFFF"/>
          <w:lang w:val="en-US" w:eastAsia="zh-CN" w:bidi="ar"/>
        </w:rPr>
        <w:t>三、支出决算情况说明</w:t>
      </w:r>
    </w:p>
    <w:p>
      <w:pPr>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val="0"/>
        <w:overflowPunct/>
        <w:topLinePunct w:val="0"/>
        <w:autoSpaceDE/>
        <w:autoSpaceDN/>
        <w:bidi w:val="0"/>
        <w:adjustRightInd/>
        <w:snapToGrid/>
        <w:spacing w:before="0" w:beforeAutospacing="0" w:line="560" w:lineRule="exact"/>
        <w:ind w:left="0" w:right="0" w:firstLine="620" w:firstLineChars="200"/>
        <w:jc w:val="both"/>
        <w:textAlignment w:val="auto"/>
        <w:rPr>
          <w:rFonts w:ascii="仿宋_GB2312" w:hAnsi="仿宋_GB2312" w:eastAsia="仿宋_GB2312" w:cs="仿宋_GB2312"/>
          <w:i w:val="0"/>
          <w:iCs w:val="0"/>
          <w:caps w:val="0"/>
          <w:color w:val="auto"/>
          <w:spacing w:val="0"/>
          <w:sz w:val="31"/>
          <w:szCs w:val="31"/>
        </w:rPr>
      </w:pPr>
      <w:r>
        <w:rPr>
          <w:rFonts w:ascii="仿宋_GB2312" w:hAnsi="仿宋_GB2312" w:eastAsia="仿宋_GB2312" w:cs="仿宋_GB2312"/>
          <w:i w:val="0"/>
          <w:iCs w:val="0"/>
          <w:caps w:val="0"/>
          <w:color w:val="auto"/>
          <w:spacing w:val="0"/>
          <w:kern w:val="0"/>
          <w:sz w:val="31"/>
          <w:szCs w:val="31"/>
          <w:shd w:val="clear" w:fill="FFFFFF"/>
          <w:lang w:val="en-US" w:eastAsia="zh-CN" w:bidi="ar"/>
        </w:rPr>
        <w:t>本年支出4,172.19万元，其中：基本支出2,656.36万元，占63.67%；项目支出1,515.82万元，占36.33%；上缴上级支出0万元，占0%；经营支出0万元，占0%；对附属单位补助支出0万元，占0%。</w:t>
      </w:r>
    </w:p>
    <w:p>
      <w:pPr>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val="0"/>
        <w:overflowPunct/>
        <w:topLinePunct w:val="0"/>
        <w:autoSpaceDE/>
        <w:autoSpaceDN/>
        <w:bidi w:val="0"/>
        <w:adjustRightInd/>
        <w:snapToGrid/>
        <w:spacing w:before="0" w:beforeAutospacing="0" w:line="560" w:lineRule="exact"/>
        <w:ind w:left="0" w:right="0"/>
        <w:jc w:val="left"/>
        <w:textAlignment w:val="auto"/>
        <w:rPr>
          <w:rFonts w:ascii="黑体" w:hAnsi="宋体" w:eastAsia="黑体" w:cs="黑体"/>
          <w:i w:val="0"/>
          <w:iCs w:val="0"/>
          <w:caps w:val="0"/>
          <w:color w:val="auto"/>
          <w:spacing w:val="0"/>
          <w:sz w:val="31"/>
          <w:szCs w:val="31"/>
        </w:rPr>
      </w:pPr>
      <w:r>
        <w:rPr>
          <w:rFonts w:ascii="黑体" w:hAnsi="宋体" w:eastAsia="黑体" w:cs="黑体"/>
          <w:i w:val="0"/>
          <w:iCs w:val="0"/>
          <w:caps w:val="0"/>
          <w:color w:val="auto"/>
          <w:spacing w:val="0"/>
          <w:kern w:val="0"/>
          <w:sz w:val="31"/>
          <w:szCs w:val="31"/>
          <w:shd w:val="clear" w:fill="FFFFFF"/>
          <w:lang w:val="en-US" w:eastAsia="zh-CN" w:bidi="ar"/>
        </w:rPr>
        <w:t>四、财政拨款收入支出决算总体情况说明</w:t>
      </w:r>
    </w:p>
    <w:p>
      <w:pPr>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val="0"/>
        <w:overflowPunct/>
        <w:topLinePunct w:val="0"/>
        <w:autoSpaceDE/>
        <w:autoSpaceDN/>
        <w:bidi w:val="0"/>
        <w:adjustRightInd/>
        <w:snapToGrid/>
        <w:spacing w:before="0" w:beforeAutospacing="0" w:line="560" w:lineRule="exact"/>
        <w:ind w:left="0" w:right="0" w:firstLine="620" w:firstLineChars="200"/>
        <w:jc w:val="both"/>
        <w:textAlignment w:val="auto"/>
        <w:rPr>
          <w:rFonts w:ascii="仿宋_GB2312" w:hAnsi="仿宋_GB2312" w:eastAsia="仿宋_GB2312" w:cs="仿宋_GB2312"/>
          <w:i w:val="0"/>
          <w:iCs w:val="0"/>
          <w:caps w:val="0"/>
          <w:color w:val="auto"/>
          <w:spacing w:val="0"/>
          <w:sz w:val="31"/>
          <w:szCs w:val="31"/>
        </w:rPr>
      </w:pPr>
      <w:r>
        <w:rPr>
          <w:rFonts w:ascii="仿宋_GB2312" w:hAnsi="仿宋_GB2312" w:eastAsia="仿宋_GB2312" w:cs="仿宋_GB2312"/>
          <w:i w:val="0"/>
          <w:iCs w:val="0"/>
          <w:caps w:val="0"/>
          <w:color w:val="auto"/>
          <w:spacing w:val="0"/>
          <w:kern w:val="0"/>
          <w:sz w:val="31"/>
          <w:szCs w:val="31"/>
          <w:shd w:val="clear" w:fill="FFFFFF"/>
          <w:lang w:val="en-US" w:eastAsia="zh-CN" w:bidi="ar"/>
        </w:rPr>
        <w:t>2024年度财政拨款收入总计4,172.19万元，其中：年初财政拨款结转和结余0万元，本年财政拨款收入4,172.19万元。财政拨款支出总计4,172.19万元，其中：年末财政拨款结转和结余0万元，本年财政拨款支出4,172.19万元。</w:t>
      </w:r>
    </w:p>
    <w:p>
      <w:pPr>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val="0"/>
        <w:overflowPunct/>
        <w:topLinePunct w:val="0"/>
        <w:autoSpaceDE/>
        <w:autoSpaceDN/>
        <w:bidi w:val="0"/>
        <w:adjustRightInd/>
        <w:snapToGrid/>
        <w:spacing w:before="0" w:beforeAutospacing="0" w:line="560" w:lineRule="exact"/>
        <w:ind w:left="0" w:right="0" w:firstLine="620" w:firstLineChars="200"/>
        <w:jc w:val="both"/>
        <w:textAlignment w:val="auto"/>
        <w:rPr>
          <w:rFonts w:ascii="仿宋_GB2312" w:hAnsi="仿宋_GB2312" w:eastAsia="仿宋_GB2312" w:cs="仿宋_GB2312"/>
          <w:i w:val="0"/>
          <w:iCs w:val="0"/>
          <w:caps w:val="0"/>
          <w:color w:val="auto"/>
          <w:spacing w:val="0"/>
          <w:sz w:val="31"/>
          <w:szCs w:val="31"/>
        </w:rPr>
      </w:pPr>
      <w:r>
        <w:rPr>
          <w:rFonts w:ascii="仿宋_GB2312" w:hAnsi="仿宋_GB2312" w:eastAsia="仿宋_GB2312" w:cs="仿宋_GB2312"/>
          <w:i w:val="0"/>
          <w:iCs w:val="0"/>
          <w:caps w:val="0"/>
          <w:color w:val="auto"/>
          <w:spacing w:val="0"/>
          <w:kern w:val="0"/>
          <w:sz w:val="31"/>
          <w:szCs w:val="31"/>
          <w:shd w:val="clear" w:fill="FFFFFF"/>
          <w:lang w:val="en-US" w:eastAsia="zh-CN" w:bidi="ar"/>
        </w:rPr>
        <w:t>财政拨款收入支出总体与上年相比，减少1,462.04万元，下降25.95%</w:t>
      </w:r>
      <w:r>
        <w:rPr>
          <w:rFonts w:hint="eastAsia" w:ascii="仿宋_GB2312" w:hAnsi="仿宋_GB2312" w:eastAsia="仿宋_GB2312" w:cs="仿宋_GB2312"/>
          <w:i w:val="0"/>
          <w:iCs w:val="0"/>
          <w:caps w:val="0"/>
          <w:color w:val="auto"/>
          <w:spacing w:val="0"/>
          <w:kern w:val="0"/>
          <w:sz w:val="31"/>
          <w:szCs w:val="31"/>
          <w:shd w:val="clear" w:fill="FFFFFF"/>
          <w:lang w:val="en-US" w:eastAsia="zh-CN" w:bidi="ar"/>
        </w:rPr>
        <w:t xml:space="preserve"> </w:t>
      </w:r>
      <w:r>
        <w:rPr>
          <w:rFonts w:ascii="仿宋_GB2312" w:hAnsi="仿宋_GB2312" w:eastAsia="仿宋_GB2312" w:cs="仿宋_GB2312"/>
          <w:i w:val="0"/>
          <w:iCs w:val="0"/>
          <w:caps w:val="0"/>
          <w:color w:val="auto"/>
          <w:spacing w:val="0"/>
          <w:kern w:val="0"/>
          <w:sz w:val="31"/>
          <w:szCs w:val="31"/>
          <w:shd w:val="clear" w:fill="FFFFFF"/>
          <w:lang w:val="en-US" w:eastAsia="zh-CN" w:bidi="ar"/>
        </w:rPr>
        <w:t>，主要原因是：</w:t>
      </w:r>
      <w:r>
        <w:rPr>
          <w:rFonts w:hint="eastAsia" w:ascii="仿宋_GB2312" w:eastAsia="仿宋_GB2312" w:hAnsiTheme="minorHAnsi" w:cstheme="minorBidi"/>
          <w:b w:val="0"/>
          <w:color w:val="auto"/>
          <w:sz w:val="32"/>
          <w:szCs w:val="32"/>
          <w:lang w:val="en-US" w:eastAsia="zh-CN"/>
        </w:rPr>
        <w:t>2024年本</w:t>
      </w:r>
      <w:r>
        <w:rPr>
          <w:rFonts w:hint="eastAsia" w:ascii="仿宋_GB2312" w:eastAsia="仿宋_GB2312" w:cstheme="minorBidi"/>
          <w:b w:val="0"/>
          <w:color w:val="auto"/>
          <w:sz w:val="32"/>
          <w:szCs w:val="32"/>
          <w:lang w:val="en-US" w:eastAsia="zh-CN"/>
        </w:rPr>
        <w:t>乡</w:t>
      </w:r>
      <w:r>
        <w:rPr>
          <w:rFonts w:hint="eastAsia" w:ascii="仿宋_GB2312" w:eastAsia="仿宋_GB2312" w:hAnsiTheme="minorHAnsi" w:cstheme="minorBidi"/>
          <w:b w:val="0"/>
          <w:color w:val="auto"/>
          <w:sz w:val="32"/>
          <w:szCs w:val="32"/>
          <w:lang w:val="en-US" w:eastAsia="zh-CN"/>
        </w:rPr>
        <w:t>减少棉花目标价格改革补贴资金</w:t>
      </w:r>
      <w:r>
        <w:rPr>
          <w:rFonts w:hint="eastAsia" w:ascii="仿宋_GB2312" w:eastAsia="仿宋_GB2312" w:cstheme="minorBidi"/>
          <w:b w:val="0"/>
          <w:color w:val="auto"/>
          <w:sz w:val="32"/>
          <w:szCs w:val="32"/>
          <w:lang w:val="en-US" w:eastAsia="zh-CN"/>
        </w:rPr>
        <w:t>，</w:t>
      </w:r>
      <w:r>
        <w:rPr>
          <w:rFonts w:ascii="仿宋_GB2312" w:hAnsi="仿宋_GB2312" w:eastAsia="仿宋_GB2312" w:cs="仿宋_GB2312"/>
          <w:i w:val="0"/>
          <w:iCs w:val="0"/>
          <w:caps w:val="0"/>
          <w:color w:val="auto"/>
          <w:spacing w:val="0"/>
          <w:kern w:val="0"/>
          <w:sz w:val="31"/>
          <w:szCs w:val="31"/>
          <w:shd w:val="clear" w:fill="FFFFFF"/>
          <w:lang w:val="en-US" w:eastAsia="zh-CN" w:bidi="ar"/>
        </w:rPr>
        <w:t>与年初预算相比，年初预算数3,149.35万元，决算数4,172.19万元，预决算差异率32.48%</w:t>
      </w:r>
      <w:r>
        <w:rPr>
          <w:rFonts w:hint="eastAsia" w:ascii="仿宋_GB2312" w:hAnsi="仿宋_GB2312" w:eastAsia="仿宋_GB2312" w:cs="仿宋_GB2312"/>
          <w:i w:val="0"/>
          <w:iCs w:val="0"/>
          <w:caps w:val="0"/>
          <w:color w:val="auto"/>
          <w:spacing w:val="0"/>
          <w:kern w:val="0"/>
          <w:sz w:val="31"/>
          <w:szCs w:val="31"/>
          <w:shd w:val="clear" w:fill="FFFFFF"/>
          <w:lang w:val="en-US" w:eastAsia="zh-CN" w:bidi="ar"/>
        </w:rPr>
        <w:t xml:space="preserve"> </w:t>
      </w:r>
      <w:r>
        <w:rPr>
          <w:rFonts w:ascii="仿宋_GB2312" w:hAnsi="仿宋_GB2312" w:eastAsia="仿宋_GB2312" w:cs="仿宋_GB2312"/>
          <w:i w:val="0"/>
          <w:iCs w:val="0"/>
          <w:caps w:val="0"/>
          <w:color w:val="auto"/>
          <w:spacing w:val="0"/>
          <w:kern w:val="0"/>
          <w:sz w:val="31"/>
          <w:szCs w:val="31"/>
          <w:shd w:val="clear" w:fill="FFFFFF"/>
          <w:lang w:val="en-US" w:eastAsia="zh-CN" w:bidi="ar"/>
        </w:rPr>
        <w:t>，主要原因是：</w:t>
      </w:r>
      <w:r>
        <w:rPr>
          <w:rFonts w:hint="eastAsia" w:ascii="仿宋_GB2312" w:hAnsi="仿宋_GB2312" w:eastAsia="仿宋_GB2312" w:cs="仿宋_GB2312"/>
          <w:i w:val="0"/>
          <w:iCs w:val="0"/>
          <w:caps w:val="0"/>
          <w:color w:val="auto"/>
          <w:spacing w:val="0"/>
          <w:kern w:val="0"/>
          <w:sz w:val="31"/>
          <w:szCs w:val="31"/>
          <w:shd w:val="clear" w:fill="FFFFFF"/>
          <w:lang w:val="en-US" w:eastAsia="zh-CN" w:bidi="ar"/>
        </w:rPr>
        <w:t>乡村振兴项目资金增加、其巴财农〔2023〕47号关于提前下达2024年中央财政衔接推进乡村振兴补助资金（铁乡冷链物流建设项目）</w:t>
      </w:r>
      <w:r>
        <w:rPr>
          <w:rFonts w:ascii="仿宋_GB2312" w:hAnsi="仿宋_GB2312" w:eastAsia="仿宋_GB2312" w:cs="仿宋_GB2312"/>
          <w:i w:val="0"/>
          <w:iCs w:val="0"/>
          <w:caps w:val="0"/>
          <w:color w:val="auto"/>
          <w:spacing w:val="0"/>
          <w:kern w:val="0"/>
          <w:sz w:val="31"/>
          <w:szCs w:val="31"/>
          <w:shd w:val="clear" w:fill="FFFFFF"/>
          <w:lang w:val="en-US" w:eastAsia="zh-CN" w:bidi="ar"/>
        </w:rPr>
        <w:t>。</w:t>
      </w:r>
    </w:p>
    <w:p>
      <w:pPr>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val="0"/>
        <w:overflowPunct/>
        <w:topLinePunct w:val="0"/>
        <w:autoSpaceDE/>
        <w:autoSpaceDN/>
        <w:bidi w:val="0"/>
        <w:adjustRightInd/>
        <w:snapToGrid/>
        <w:spacing w:before="0" w:beforeAutospacing="0" w:line="560" w:lineRule="exact"/>
        <w:ind w:left="0" w:right="0"/>
        <w:jc w:val="left"/>
        <w:textAlignment w:val="auto"/>
        <w:rPr>
          <w:rFonts w:ascii="黑体" w:hAnsi="宋体" w:eastAsia="黑体" w:cs="黑体"/>
          <w:i w:val="0"/>
          <w:iCs w:val="0"/>
          <w:caps w:val="0"/>
          <w:color w:val="auto"/>
          <w:spacing w:val="0"/>
          <w:sz w:val="31"/>
          <w:szCs w:val="31"/>
        </w:rPr>
      </w:pPr>
      <w:r>
        <w:rPr>
          <w:rFonts w:ascii="黑体" w:hAnsi="宋体" w:eastAsia="黑体" w:cs="黑体"/>
          <w:i w:val="0"/>
          <w:iCs w:val="0"/>
          <w:caps w:val="0"/>
          <w:color w:val="auto"/>
          <w:spacing w:val="0"/>
          <w:kern w:val="0"/>
          <w:sz w:val="31"/>
          <w:szCs w:val="31"/>
          <w:shd w:val="clear" w:fill="FFFFFF"/>
          <w:lang w:val="en-US" w:eastAsia="zh-CN" w:bidi="ar"/>
        </w:rPr>
        <w:t>五、一般公共预算财政拨款支出决算情况说明</w:t>
      </w:r>
    </w:p>
    <w:p>
      <w:pPr>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val="0"/>
        <w:overflowPunct/>
        <w:topLinePunct w:val="0"/>
        <w:autoSpaceDE/>
        <w:autoSpaceDN/>
        <w:bidi w:val="0"/>
        <w:adjustRightInd/>
        <w:snapToGrid/>
        <w:spacing w:before="0" w:beforeAutospacing="0" w:line="560" w:lineRule="exact"/>
        <w:ind w:left="0" w:right="0"/>
        <w:jc w:val="left"/>
        <w:textAlignment w:val="auto"/>
        <w:rPr>
          <w:rFonts w:ascii="仿宋_GB2312" w:hAnsi="仿宋_GB2312" w:eastAsia="仿宋_GB2312" w:cs="仿宋_GB2312"/>
          <w:i w:val="0"/>
          <w:iCs w:val="0"/>
          <w:caps w:val="0"/>
          <w:color w:val="auto"/>
          <w:spacing w:val="0"/>
          <w:sz w:val="31"/>
          <w:szCs w:val="31"/>
        </w:rPr>
      </w:pPr>
      <w:r>
        <w:rPr>
          <w:rFonts w:ascii="仿宋_GB2312" w:hAnsi="仿宋_GB2312" w:eastAsia="仿宋_GB2312" w:cs="仿宋_GB2312"/>
          <w:b/>
          <w:bCs/>
          <w:i w:val="0"/>
          <w:iCs w:val="0"/>
          <w:caps w:val="0"/>
          <w:color w:val="auto"/>
          <w:spacing w:val="0"/>
          <w:kern w:val="0"/>
          <w:sz w:val="31"/>
          <w:szCs w:val="31"/>
          <w:shd w:val="clear" w:fill="FFFFFF"/>
          <w:lang w:val="en-US" w:eastAsia="zh-CN" w:bidi="ar"/>
        </w:rPr>
        <w:t>（一）一般公共预算财政拨款支出决算总体情况</w:t>
      </w:r>
    </w:p>
    <w:p>
      <w:pPr>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val="0"/>
        <w:overflowPunct/>
        <w:topLinePunct w:val="0"/>
        <w:autoSpaceDE/>
        <w:autoSpaceDN/>
        <w:bidi w:val="0"/>
        <w:adjustRightInd/>
        <w:snapToGrid/>
        <w:spacing w:before="0" w:beforeAutospacing="0" w:line="560" w:lineRule="exact"/>
        <w:ind w:left="0" w:right="0" w:firstLine="620" w:firstLineChars="200"/>
        <w:jc w:val="both"/>
        <w:textAlignment w:val="auto"/>
        <w:rPr>
          <w:rFonts w:ascii="仿宋_GB2312" w:hAnsi="仿宋_GB2312" w:eastAsia="仿宋_GB2312" w:cs="仿宋_GB2312"/>
          <w:i w:val="0"/>
          <w:iCs w:val="0"/>
          <w:caps w:val="0"/>
          <w:color w:val="auto"/>
          <w:spacing w:val="0"/>
          <w:sz w:val="31"/>
          <w:szCs w:val="31"/>
        </w:rPr>
      </w:pPr>
      <w:r>
        <w:rPr>
          <w:rFonts w:ascii="仿宋_GB2312" w:hAnsi="仿宋_GB2312" w:eastAsia="仿宋_GB2312" w:cs="仿宋_GB2312"/>
          <w:i w:val="0"/>
          <w:iCs w:val="0"/>
          <w:caps w:val="0"/>
          <w:color w:val="auto"/>
          <w:spacing w:val="0"/>
          <w:kern w:val="0"/>
          <w:sz w:val="31"/>
          <w:szCs w:val="31"/>
          <w:shd w:val="clear" w:fill="FFFFFF"/>
          <w:lang w:val="en-US" w:eastAsia="zh-CN" w:bidi="ar"/>
        </w:rPr>
        <w:t>2024年度一般公共预算财政拨款支出3,823.1万元，占本年支出合计的91.63%。与上年相比，减少1,801.13万元，下降32.02%，主要原因是：</w:t>
      </w:r>
      <w:r>
        <w:rPr>
          <w:rFonts w:hint="eastAsia" w:ascii="仿宋_GB2312" w:eastAsia="仿宋_GB2312" w:hAnsiTheme="minorHAnsi" w:cstheme="minorBidi"/>
          <w:b w:val="0"/>
          <w:color w:val="auto"/>
          <w:sz w:val="32"/>
          <w:szCs w:val="32"/>
          <w:lang w:val="en-US" w:eastAsia="zh-CN"/>
        </w:rPr>
        <w:t>2024年本</w:t>
      </w:r>
      <w:r>
        <w:rPr>
          <w:rFonts w:hint="eastAsia" w:ascii="仿宋_GB2312" w:eastAsia="仿宋_GB2312" w:cstheme="minorBidi"/>
          <w:b w:val="0"/>
          <w:color w:val="auto"/>
          <w:sz w:val="32"/>
          <w:szCs w:val="32"/>
          <w:lang w:val="en-US" w:eastAsia="zh-CN"/>
        </w:rPr>
        <w:t>乡</w:t>
      </w:r>
      <w:r>
        <w:rPr>
          <w:rFonts w:hint="eastAsia" w:ascii="仿宋_GB2312" w:eastAsia="仿宋_GB2312" w:hAnsiTheme="minorHAnsi" w:cstheme="minorBidi"/>
          <w:b w:val="0"/>
          <w:color w:val="auto"/>
          <w:sz w:val="32"/>
          <w:szCs w:val="32"/>
          <w:lang w:val="en-US" w:eastAsia="zh-CN"/>
        </w:rPr>
        <w:t>减少棉花目标价格改革补贴资金</w:t>
      </w:r>
      <w:r>
        <w:rPr>
          <w:rFonts w:hint="eastAsia" w:ascii="仿宋_GB2312" w:eastAsia="仿宋_GB2312" w:cstheme="minorBidi"/>
          <w:b w:val="0"/>
          <w:color w:val="auto"/>
          <w:sz w:val="32"/>
          <w:szCs w:val="32"/>
          <w:lang w:val="en-US" w:eastAsia="zh-CN"/>
        </w:rPr>
        <w:t>，</w:t>
      </w:r>
      <w:r>
        <w:rPr>
          <w:rFonts w:ascii="仿宋_GB2312" w:hAnsi="仿宋_GB2312" w:eastAsia="仿宋_GB2312" w:cs="仿宋_GB2312"/>
          <w:i w:val="0"/>
          <w:iCs w:val="0"/>
          <w:caps w:val="0"/>
          <w:color w:val="auto"/>
          <w:spacing w:val="0"/>
          <w:kern w:val="0"/>
          <w:sz w:val="31"/>
          <w:szCs w:val="31"/>
          <w:shd w:val="clear" w:fill="FFFFFF"/>
          <w:lang w:val="en-US" w:eastAsia="zh-CN" w:bidi="ar"/>
        </w:rPr>
        <w:t>与年初预算相比，年初预算数3,149.34万元，决算数3,823.1万元，预决算差异率21.39%，主要原因是：</w:t>
      </w:r>
      <w:r>
        <w:rPr>
          <w:rFonts w:hint="eastAsia" w:ascii="仿宋_GB2312" w:hAnsi="仿宋_GB2312" w:eastAsia="仿宋_GB2312" w:cs="仿宋_GB2312"/>
          <w:i w:val="0"/>
          <w:iCs w:val="0"/>
          <w:caps w:val="0"/>
          <w:color w:val="auto"/>
          <w:spacing w:val="0"/>
          <w:kern w:val="0"/>
          <w:sz w:val="31"/>
          <w:szCs w:val="31"/>
          <w:shd w:val="clear" w:fill="FFFFFF"/>
          <w:lang w:val="en-US" w:eastAsia="zh-CN" w:bidi="ar"/>
        </w:rPr>
        <w:t>乡村振兴项目资金增加、其巴财农〔2023〕47号关于提前下达2024年中央财政衔接推进乡村振兴补助资金（铁乡冷链物流建设项目）</w:t>
      </w:r>
      <w:r>
        <w:rPr>
          <w:rFonts w:ascii="仿宋_GB2312" w:hAnsi="仿宋_GB2312" w:eastAsia="仿宋_GB2312" w:cs="仿宋_GB2312"/>
          <w:i w:val="0"/>
          <w:iCs w:val="0"/>
          <w:caps w:val="0"/>
          <w:color w:val="auto"/>
          <w:spacing w:val="0"/>
          <w:kern w:val="0"/>
          <w:sz w:val="31"/>
          <w:szCs w:val="31"/>
          <w:shd w:val="clear" w:fill="FFFFFF"/>
          <w:lang w:val="en-US" w:eastAsia="zh-CN" w:bidi="ar"/>
        </w:rPr>
        <w:t>。</w:t>
      </w:r>
    </w:p>
    <w:p>
      <w:pPr>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val="0"/>
        <w:overflowPunct/>
        <w:topLinePunct w:val="0"/>
        <w:autoSpaceDE/>
        <w:autoSpaceDN/>
        <w:bidi w:val="0"/>
        <w:adjustRightInd/>
        <w:snapToGrid/>
        <w:spacing w:before="0" w:beforeAutospacing="0" w:line="560" w:lineRule="exact"/>
        <w:ind w:left="0" w:right="0"/>
        <w:jc w:val="left"/>
        <w:textAlignment w:val="auto"/>
        <w:rPr>
          <w:rFonts w:ascii="仿宋_GB2312" w:hAnsi="仿宋_GB2312" w:eastAsia="仿宋_GB2312" w:cs="仿宋_GB2312"/>
          <w:i w:val="0"/>
          <w:iCs w:val="0"/>
          <w:caps w:val="0"/>
          <w:color w:val="auto"/>
          <w:spacing w:val="0"/>
          <w:sz w:val="31"/>
          <w:szCs w:val="31"/>
        </w:rPr>
      </w:pPr>
      <w:r>
        <w:rPr>
          <w:rFonts w:ascii="仿宋_GB2312" w:hAnsi="仿宋_GB2312" w:eastAsia="仿宋_GB2312" w:cs="仿宋_GB2312"/>
          <w:b/>
          <w:bCs/>
          <w:i w:val="0"/>
          <w:iCs w:val="0"/>
          <w:caps w:val="0"/>
          <w:color w:val="auto"/>
          <w:spacing w:val="0"/>
          <w:kern w:val="0"/>
          <w:sz w:val="31"/>
          <w:szCs w:val="31"/>
          <w:shd w:val="clear" w:fill="FFFFFF"/>
          <w:lang w:val="en-US" w:eastAsia="zh-CN" w:bidi="ar"/>
        </w:rPr>
        <w:t>（二）一般公共预算财政拨款支出决算结构情况</w:t>
      </w:r>
    </w:p>
    <w:p>
      <w:pPr>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val="0"/>
        <w:overflowPunct/>
        <w:topLinePunct w:val="0"/>
        <w:autoSpaceDE/>
        <w:autoSpaceDN/>
        <w:bidi w:val="0"/>
        <w:adjustRightInd/>
        <w:snapToGrid/>
        <w:spacing w:before="0" w:beforeAutospacing="0" w:line="560" w:lineRule="exact"/>
        <w:ind w:left="0" w:right="0" w:firstLine="620" w:firstLineChars="200"/>
        <w:jc w:val="both"/>
        <w:textAlignment w:val="auto"/>
        <w:rPr>
          <w:rFonts w:ascii="仿宋_GB2312" w:hAnsi="仿宋_GB2312" w:eastAsia="仿宋_GB2312" w:cs="仿宋_GB2312"/>
          <w:i w:val="0"/>
          <w:iCs w:val="0"/>
          <w:caps w:val="0"/>
          <w:color w:val="auto"/>
          <w:spacing w:val="0"/>
          <w:sz w:val="31"/>
          <w:szCs w:val="31"/>
        </w:rPr>
      </w:pPr>
      <w:r>
        <w:rPr>
          <w:rFonts w:ascii="仿宋_GB2312" w:hAnsi="仿宋_GB2312" w:eastAsia="仿宋_GB2312" w:cs="仿宋_GB2312"/>
          <w:i w:val="0"/>
          <w:iCs w:val="0"/>
          <w:caps w:val="0"/>
          <w:color w:val="auto"/>
          <w:spacing w:val="0"/>
          <w:kern w:val="0"/>
          <w:sz w:val="31"/>
          <w:szCs w:val="31"/>
          <w:shd w:val="clear" w:fill="FFFFFF"/>
          <w:lang w:val="en-US" w:eastAsia="zh-CN" w:bidi="ar"/>
        </w:rPr>
        <w:t>一般公共服务支出（类）2,158.59万元，占56.46%。​</w:t>
      </w:r>
      <w:r>
        <w:rPr>
          <w:rFonts w:hint="eastAsia" w:ascii="仿宋_GB2312" w:hAnsi="仿宋_GB2312" w:eastAsia="仿宋_GB2312" w:cs="仿宋_GB2312"/>
          <w:i w:val="0"/>
          <w:iCs w:val="0"/>
          <w:caps w:val="0"/>
          <w:color w:val="auto"/>
          <w:spacing w:val="0"/>
          <w:kern w:val="0"/>
          <w:sz w:val="31"/>
          <w:szCs w:val="31"/>
          <w:shd w:val="clear" w:fill="FFFFFF"/>
          <w:lang w:val="en-US" w:eastAsia="zh-CN" w:bidi="ar"/>
        </w:rPr>
        <w:t xml:space="preserve">  </w:t>
      </w:r>
      <w:r>
        <w:rPr>
          <w:rFonts w:ascii="仿宋_GB2312" w:hAnsi="仿宋_GB2312" w:eastAsia="仿宋_GB2312" w:cs="仿宋_GB2312"/>
          <w:i w:val="0"/>
          <w:iCs w:val="0"/>
          <w:caps w:val="0"/>
          <w:color w:val="auto"/>
          <w:spacing w:val="0"/>
          <w:kern w:val="0"/>
          <w:sz w:val="31"/>
          <w:szCs w:val="31"/>
          <w:shd w:val="clear" w:fill="FFFFFF"/>
          <w:lang w:val="en-US" w:eastAsia="zh-CN" w:bidi="ar"/>
        </w:rPr>
        <w:t>​</w:t>
      </w:r>
      <w:r>
        <w:rPr>
          <w:rFonts w:hint="eastAsia" w:ascii="仿宋_GB2312" w:hAnsi="仿宋_GB2312" w:eastAsia="仿宋_GB2312" w:cs="仿宋_GB2312"/>
          <w:i w:val="0"/>
          <w:iCs w:val="0"/>
          <w:caps w:val="0"/>
          <w:color w:val="auto"/>
          <w:spacing w:val="0"/>
          <w:kern w:val="0"/>
          <w:sz w:val="31"/>
          <w:szCs w:val="31"/>
          <w:shd w:val="clear" w:fill="FFFFFF"/>
          <w:lang w:val="en-US" w:eastAsia="zh-CN" w:bidi="ar"/>
        </w:rPr>
        <w:t xml:space="preserve"> </w:t>
      </w:r>
      <w:r>
        <w:rPr>
          <w:rFonts w:ascii="仿宋_GB2312" w:hAnsi="仿宋_GB2312" w:eastAsia="仿宋_GB2312" w:cs="仿宋_GB2312"/>
          <w:i w:val="0"/>
          <w:iCs w:val="0"/>
          <w:caps w:val="0"/>
          <w:color w:val="auto"/>
          <w:spacing w:val="0"/>
          <w:kern w:val="0"/>
          <w:sz w:val="31"/>
          <w:szCs w:val="31"/>
          <w:shd w:val="clear" w:fill="FFFFFF"/>
          <w:lang w:val="en-US" w:eastAsia="zh-CN" w:bidi="ar"/>
        </w:rPr>
        <w:t>教育支出（类）1.79万元，占0.05%。​</w:t>
      </w:r>
    </w:p>
    <w:p>
      <w:pPr>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val="0"/>
        <w:overflowPunct/>
        <w:topLinePunct w:val="0"/>
        <w:autoSpaceDE/>
        <w:autoSpaceDN/>
        <w:bidi w:val="0"/>
        <w:adjustRightInd/>
        <w:snapToGrid/>
        <w:spacing w:before="0" w:beforeAutospacing="0" w:line="560" w:lineRule="exact"/>
        <w:ind w:left="0" w:right="0" w:firstLine="620" w:firstLineChars="200"/>
        <w:jc w:val="both"/>
        <w:textAlignment w:val="auto"/>
        <w:rPr>
          <w:rFonts w:hint="eastAsia" w:ascii="仿宋_GB2312" w:hAnsi="仿宋_GB2312" w:eastAsia="仿宋_GB2312" w:cs="仿宋_GB2312"/>
          <w:i w:val="0"/>
          <w:iCs w:val="0"/>
          <w:caps w:val="0"/>
          <w:color w:val="auto"/>
          <w:spacing w:val="0"/>
          <w:kern w:val="0"/>
          <w:sz w:val="31"/>
          <w:szCs w:val="31"/>
          <w:shd w:val="clear" w:fill="FFFFFF"/>
          <w:lang w:val="en-US" w:eastAsia="zh-CN" w:bidi="ar"/>
        </w:rPr>
      </w:pPr>
      <w:r>
        <w:rPr>
          <w:rFonts w:ascii="仿宋_GB2312" w:hAnsi="仿宋_GB2312" w:eastAsia="仿宋_GB2312" w:cs="仿宋_GB2312"/>
          <w:i w:val="0"/>
          <w:iCs w:val="0"/>
          <w:caps w:val="0"/>
          <w:color w:val="auto"/>
          <w:spacing w:val="0"/>
          <w:kern w:val="0"/>
          <w:sz w:val="31"/>
          <w:szCs w:val="31"/>
          <w:shd w:val="clear" w:fill="FFFFFF"/>
          <w:lang w:val="en-US" w:eastAsia="zh-CN" w:bidi="ar"/>
        </w:rPr>
        <w:t>文化旅游体育与传媒支出（类）18.07万元，占0.47%。​</w:t>
      </w:r>
    </w:p>
    <w:p>
      <w:pPr>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val="0"/>
        <w:overflowPunct/>
        <w:topLinePunct w:val="0"/>
        <w:autoSpaceDE/>
        <w:autoSpaceDN/>
        <w:bidi w:val="0"/>
        <w:adjustRightInd/>
        <w:snapToGrid/>
        <w:spacing w:before="0" w:beforeAutospacing="0" w:line="560" w:lineRule="exact"/>
        <w:ind w:left="0" w:right="0" w:firstLine="930" w:firstLineChars="300"/>
        <w:jc w:val="both"/>
        <w:textAlignment w:val="auto"/>
        <w:rPr>
          <w:rFonts w:ascii="仿宋_GB2312" w:hAnsi="仿宋_GB2312" w:eastAsia="仿宋_GB2312" w:cs="仿宋_GB2312"/>
          <w:i w:val="0"/>
          <w:iCs w:val="0"/>
          <w:caps w:val="0"/>
          <w:color w:val="auto"/>
          <w:spacing w:val="0"/>
          <w:sz w:val="31"/>
          <w:szCs w:val="31"/>
        </w:rPr>
      </w:pPr>
      <w:r>
        <w:rPr>
          <w:rFonts w:ascii="仿宋_GB2312" w:hAnsi="仿宋_GB2312" w:eastAsia="仿宋_GB2312" w:cs="仿宋_GB2312"/>
          <w:i w:val="0"/>
          <w:iCs w:val="0"/>
          <w:caps w:val="0"/>
          <w:color w:val="auto"/>
          <w:spacing w:val="0"/>
          <w:kern w:val="0"/>
          <w:sz w:val="31"/>
          <w:szCs w:val="31"/>
          <w:shd w:val="clear" w:fill="FFFFFF"/>
          <w:lang w:val="en-US" w:eastAsia="zh-CN" w:bidi="ar"/>
        </w:rPr>
        <w:t>社会保障和就业支出（类）242.66万元，占6.35%。​</w:t>
      </w:r>
    </w:p>
    <w:p>
      <w:pPr>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val="0"/>
        <w:overflowPunct/>
        <w:topLinePunct w:val="0"/>
        <w:autoSpaceDE/>
        <w:autoSpaceDN/>
        <w:bidi w:val="0"/>
        <w:adjustRightInd/>
        <w:snapToGrid/>
        <w:spacing w:before="0" w:beforeAutospacing="0" w:line="560" w:lineRule="exact"/>
        <w:ind w:left="0" w:right="0" w:firstLine="620" w:firstLineChars="200"/>
        <w:jc w:val="both"/>
        <w:textAlignment w:val="auto"/>
        <w:rPr>
          <w:rFonts w:ascii="仿宋_GB2312" w:hAnsi="仿宋_GB2312" w:eastAsia="仿宋_GB2312" w:cs="仿宋_GB2312"/>
          <w:i w:val="0"/>
          <w:iCs w:val="0"/>
          <w:caps w:val="0"/>
          <w:color w:val="auto"/>
          <w:spacing w:val="0"/>
          <w:sz w:val="31"/>
          <w:szCs w:val="31"/>
        </w:rPr>
      </w:pPr>
      <w:r>
        <w:rPr>
          <w:rFonts w:ascii="仿宋_GB2312" w:hAnsi="仿宋_GB2312" w:eastAsia="仿宋_GB2312" w:cs="仿宋_GB2312"/>
          <w:i w:val="0"/>
          <w:iCs w:val="0"/>
          <w:caps w:val="0"/>
          <w:color w:val="auto"/>
          <w:spacing w:val="0"/>
          <w:kern w:val="0"/>
          <w:sz w:val="31"/>
          <w:szCs w:val="31"/>
          <w:shd w:val="clear" w:fill="FFFFFF"/>
          <w:lang w:val="en-US" w:eastAsia="zh-CN" w:bidi="ar"/>
        </w:rPr>
        <w:t>​卫生健康支出（类）74.13万元，占1.94%。​</w:t>
      </w:r>
    </w:p>
    <w:p>
      <w:pPr>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val="0"/>
        <w:overflowPunct/>
        <w:topLinePunct w:val="0"/>
        <w:autoSpaceDE/>
        <w:autoSpaceDN/>
        <w:bidi w:val="0"/>
        <w:adjustRightInd/>
        <w:snapToGrid/>
        <w:spacing w:before="0" w:beforeAutospacing="0" w:line="560" w:lineRule="exact"/>
        <w:ind w:left="0" w:right="0" w:firstLine="620" w:firstLineChars="200"/>
        <w:jc w:val="both"/>
        <w:textAlignment w:val="auto"/>
        <w:rPr>
          <w:rFonts w:ascii="仿宋_GB2312" w:hAnsi="仿宋_GB2312" w:eastAsia="仿宋_GB2312" w:cs="仿宋_GB2312"/>
          <w:i w:val="0"/>
          <w:iCs w:val="0"/>
          <w:caps w:val="0"/>
          <w:color w:val="auto"/>
          <w:spacing w:val="0"/>
          <w:sz w:val="31"/>
          <w:szCs w:val="31"/>
        </w:rPr>
      </w:pPr>
      <w:r>
        <w:rPr>
          <w:rFonts w:ascii="仿宋_GB2312" w:hAnsi="仿宋_GB2312" w:eastAsia="仿宋_GB2312" w:cs="仿宋_GB2312"/>
          <w:i w:val="0"/>
          <w:iCs w:val="0"/>
          <w:caps w:val="0"/>
          <w:color w:val="auto"/>
          <w:spacing w:val="0"/>
          <w:kern w:val="0"/>
          <w:sz w:val="31"/>
          <w:szCs w:val="31"/>
          <w:shd w:val="clear" w:fill="FFFFFF"/>
          <w:lang w:val="en-US" w:eastAsia="zh-CN" w:bidi="ar"/>
        </w:rPr>
        <w:t>​农林水支出（类）1,183.04万元，占30.94%。​</w:t>
      </w:r>
    </w:p>
    <w:p>
      <w:pPr>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val="0"/>
        <w:overflowPunct/>
        <w:topLinePunct w:val="0"/>
        <w:autoSpaceDE/>
        <w:autoSpaceDN/>
        <w:bidi w:val="0"/>
        <w:adjustRightInd/>
        <w:snapToGrid/>
        <w:spacing w:before="0" w:beforeAutospacing="0" w:line="560" w:lineRule="exact"/>
        <w:ind w:left="0" w:right="0" w:firstLine="620" w:firstLineChars="200"/>
        <w:jc w:val="both"/>
        <w:textAlignment w:val="auto"/>
        <w:rPr>
          <w:rFonts w:ascii="仿宋_GB2312" w:hAnsi="仿宋_GB2312" w:eastAsia="仿宋_GB2312" w:cs="仿宋_GB2312"/>
          <w:i w:val="0"/>
          <w:iCs w:val="0"/>
          <w:caps w:val="0"/>
          <w:color w:val="auto"/>
          <w:spacing w:val="0"/>
          <w:sz w:val="31"/>
          <w:szCs w:val="31"/>
        </w:rPr>
      </w:pPr>
      <w:r>
        <w:rPr>
          <w:rFonts w:ascii="仿宋_GB2312" w:hAnsi="仿宋_GB2312" w:eastAsia="仿宋_GB2312" w:cs="仿宋_GB2312"/>
          <w:i w:val="0"/>
          <w:iCs w:val="0"/>
          <w:caps w:val="0"/>
          <w:color w:val="auto"/>
          <w:spacing w:val="0"/>
          <w:kern w:val="0"/>
          <w:sz w:val="31"/>
          <w:szCs w:val="31"/>
          <w:shd w:val="clear" w:fill="FFFFFF"/>
          <w:lang w:val="en-US" w:eastAsia="zh-CN" w:bidi="ar"/>
        </w:rPr>
        <w:t>​住房保障支出（类）111.96万元，占2.93%。​</w:t>
      </w:r>
    </w:p>
    <w:p>
      <w:pPr>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val="0"/>
        <w:overflowPunct/>
        <w:topLinePunct w:val="0"/>
        <w:autoSpaceDE/>
        <w:autoSpaceDN/>
        <w:bidi w:val="0"/>
        <w:adjustRightInd/>
        <w:snapToGrid/>
        <w:spacing w:before="0" w:beforeAutospacing="0" w:line="560" w:lineRule="exact"/>
        <w:ind w:left="0" w:right="0" w:firstLine="620" w:firstLineChars="200"/>
        <w:jc w:val="both"/>
        <w:textAlignment w:val="auto"/>
        <w:rPr>
          <w:rFonts w:ascii="仿宋_GB2312" w:hAnsi="仿宋_GB2312" w:eastAsia="仿宋_GB2312" w:cs="仿宋_GB2312"/>
          <w:i w:val="0"/>
          <w:iCs w:val="0"/>
          <w:caps w:val="0"/>
          <w:color w:val="auto"/>
          <w:spacing w:val="0"/>
          <w:sz w:val="31"/>
          <w:szCs w:val="31"/>
        </w:rPr>
      </w:pPr>
      <w:r>
        <w:rPr>
          <w:rFonts w:ascii="仿宋_GB2312" w:hAnsi="仿宋_GB2312" w:eastAsia="仿宋_GB2312" w:cs="仿宋_GB2312"/>
          <w:i w:val="0"/>
          <w:iCs w:val="0"/>
          <w:caps w:val="0"/>
          <w:color w:val="auto"/>
          <w:spacing w:val="0"/>
          <w:kern w:val="0"/>
          <w:sz w:val="31"/>
          <w:szCs w:val="31"/>
          <w:shd w:val="clear" w:fill="FFFFFF"/>
          <w:lang w:val="en-US" w:eastAsia="zh-CN" w:bidi="ar"/>
        </w:rPr>
        <w:t>​其他支出（类）32.86万元，占0.86%。​</w:t>
      </w:r>
    </w:p>
    <w:p>
      <w:pPr>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val="0"/>
        <w:overflowPunct/>
        <w:topLinePunct w:val="0"/>
        <w:autoSpaceDE/>
        <w:autoSpaceDN/>
        <w:bidi w:val="0"/>
        <w:adjustRightInd/>
        <w:snapToGrid/>
        <w:spacing w:before="0" w:beforeAutospacing="0" w:line="560" w:lineRule="exact"/>
        <w:ind w:left="0" w:right="0"/>
        <w:jc w:val="left"/>
        <w:textAlignment w:val="auto"/>
        <w:rPr>
          <w:rFonts w:ascii="仿宋_GB2312" w:hAnsi="仿宋_GB2312" w:eastAsia="仿宋_GB2312" w:cs="仿宋_GB2312"/>
          <w:i w:val="0"/>
          <w:iCs w:val="0"/>
          <w:caps w:val="0"/>
          <w:color w:val="auto"/>
          <w:spacing w:val="0"/>
          <w:sz w:val="31"/>
          <w:szCs w:val="31"/>
        </w:rPr>
      </w:pPr>
      <w:r>
        <w:rPr>
          <w:rFonts w:ascii="仿宋_GB2312" w:hAnsi="仿宋_GB2312" w:eastAsia="仿宋_GB2312" w:cs="仿宋_GB2312"/>
          <w:b/>
          <w:bCs/>
          <w:i w:val="0"/>
          <w:iCs w:val="0"/>
          <w:caps w:val="0"/>
          <w:color w:val="auto"/>
          <w:spacing w:val="0"/>
          <w:kern w:val="0"/>
          <w:sz w:val="31"/>
          <w:szCs w:val="31"/>
          <w:shd w:val="clear" w:fill="FFFFFF"/>
          <w:lang w:val="en-US" w:eastAsia="zh-CN" w:bidi="ar"/>
        </w:rPr>
        <w:t>（三）一般公共预算财政拨款支出决算具体情况</w:t>
      </w:r>
    </w:p>
    <w:p>
      <w:pPr>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overflowPunct/>
        <w:topLinePunct w:val="0"/>
        <w:autoSpaceDE/>
        <w:autoSpaceDN/>
        <w:bidi w:val="0"/>
        <w:adjustRightInd/>
        <w:snapToGrid/>
        <w:spacing w:before="0" w:beforeAutospacing="0" w:line="560" w:lineRule="exact"/>
        <w:ind w:left="0" w:right="0" w:firstLine="620" w:firstLineChars="200"/>
        <w:jc w:val="left"/>
        <w:textAlignment w:val="auto"/>
        <w:rPr>
          <w:rFonts w:ascii="仿宋_GB2312" w:hAnsi="仿宋_GB2312" w:eastAsia="仿宋_GB2312" w:cs="仿宋_GB2312"/>
          <w:i w:val="0"/>
          <w:iCs w:val="0"/>
          <w:caps w:val="0"/>
          <w:color w:val="auto"/>
          <w:spacing w:val="0"/>
          <w:kern w:val="0"/>
          <w:sz w:val="31"/>
          <w:szCs w:val="31"/>
          <w:shd w:val="clear" w:fill="FFFFFF"/>
          <w:lang w:val="en-US" w:eastAsia="zh-CN" w:bidi="ar"/>
        </w:rPr>
      </w:pPr>
      <w:r>
        <w:rPr>
          <w:rFonts w:ascii="仿宋_GB2312" w:hAnsi="仿宋_GB2312" w:eastAsia="仿宋_GB2312" w:cs="仿宋_GB2312"/>
          <w:i w:val="0"/>
          <w:iCs w:val="0"/>
          <w:caps w:val="0"/>
          <w:color w:val="auto"/>
          <w:spacing w:val="0"/>
          <w:kern w:val="0"/>
          <w:sz w:val="31"/>
          <w:szCs w:val="31"/>
          <w:shd w:val="clear" w:fill="FFFFFF"/>
          <w:lang w:val="en-US" w:eastAsia="zh-CN" w:bidi="ar"/>
        </w:rPr>
        <w:t>1、一般公共服务支出（类）人大事务（款）代表工作（项）：支出决算数为3.8万元，与上年决算相比增加3.3万元，增长660%，主要原因是：</w:t>
      </w:r>
      <w:r>
        <w:rPr>
          <w:rFonts w:hint="eastAsia" w:ascii="仿宋_GB2312" w:hAnsi="仿宋_GB2312" w:eastAsia="仿宋_GB2312" w:cs="仿宋_GB2312"/>
          <w:i w:val="0"/>
          <w:iCs w:val="0"/>
          <w:caps w:val="0"/>
          <w:color w:val="auto"/>
          <w:spacing w:val="0"/>
          <w:kern w:val="0"/>
          <w:sz w:val="31"/>
          <w:szCs w:val="31"/>
          <w:shd w:val="clear" w:fill="FFFFFF"/>
          <w:lang w:val="en-US" w:eastAsia="zh-CN" w:bidi="ar"/>
        </w:rPr>
        <w:t>2024年拨付人大代表工作经费、人大代表履职补贴经费。</w:t>
      </w:r>
    </w:p>
    <w:p>
      <w:pPr>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overflowPunct/>
        <w:topLinePunct w:val="0"/>
        <w:autoSpaceDE/>
        <w:autoSpaceDN/>
        <w:bidi w:val="0"/>
        <w:adjustRightInd/>
        <w:snapToGrid/>
        <w:spacing w:before="0" w:beforeAutospacing="0" w:line="560" w:lineRule="exact"/>
        <w:ind w:left="0" w:right="0" w:firstLine="620" w:firstLineChars="200"/>
        <w:jc w:val="left"/>
        <w:textAlignment w:val="auto"/>
        <w:rPr>
          <w:rFonts w:hint="default" w:ascii="仿宋_GB2312" w:hAnsi="仿宋_GB2312" w:eastAsia="仿宋_GB2312" w:cs="仿宋_GB2312"/>
          <w:i w:val="0"/>
          <w:iCs w:val="0"/>
          <w:caps w:val="0"/>
          <w:color w:val="auto"/>
          <w:spacing w:val="0"/>
          <w:sz w:val="31"/>
          <w:szCs w:val="31"/>
          <w:lang w:val="en-US"/>
        </w:rPr>
      </w:pPr>
      <w:r>
        <w:rPr>
          <w:rFonts w:ascii="仿宋_GB2312" w:hAnsi="仿宋_GB2312" w:eastAsia="仿宋_GB2312" w:cs="仿宋_GB2312"/>
          <w:i w:val="0"/>
          <w:iCs w:val="0"/>
          <w:caps w:val="0"/>
          <w:color w:val="auto"/>
          <w:spacing w:val="0"/>
          <w:kern w:val="0"/>
          <w:sz w:val="31"/>
          <w:szCs w:val="31"/>
          <w:shd w:val="clear" w:fill="FFFFFF"/>
          <w:lang w:val="en-US" w:eastAsia="zh-CN" w:bidi="ar"/>
        </w:rPr>
        <w:t>2、一般公共服务支出（类）政府办公厅（室）及相关机构事务（款）行政运行（项）：支出决算数为1,799.3万元，与上年决算相比减少29.08万元，下降1.59%，主要原因是：</w:t>
      </w:r>
      <w:r>
        <w:rPr>
          <w:rFonts w:hint="eastAsia" w:ascii="仿宋_GB2312" w:hAnsi="仿宋_GB2312" w:eastAsia="仿宋_GB2312" w:cs="仿宋_GB2312"/>
          <w:i w:val="0"/>
          <w:iCs w:val="0"/>
          <w:caps w:val="0"/>
          <w:color w:val="auto"/>
          <w:spacing w:val="0"/>
          <w:kern w:val="0"/>
          <w:sz w:val="31"/>
          <w:szCs w:val="31"/>
          <w:shd w:val="clear" w:fill="FFFFFF"/>
          <w:lang w:val="en-US" w:eastAsia="zh-CN" w:bidi="ar"/>
        </w:rPr>
        <w:t>2024年退休人员增加同时人员经费减少、勤俭节约压缩公用经费开支。</w:t>
      </w:r>
    </w:p>
    <w:p>
      <w:pPr>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overflowPunct/>
        <w:topLinePunct w:val="0"/>
        <w:autoSpaceDE/>
        <w:autoSpaceDN/>
        <w:bidi w:val="0"/>
        <w:adjustRightInd/>
        <w:snapToGrid/>
        <w:spacing w:before="0" w:beforeAutospacing="0" w:line="560" w:lineRule="exact"/>
        <w:ind w:left="0" w:right="0" w:firstLine="620" w:firstLineChars="200"/>
        <w:jc w:val="left"/>
        <w:textAlignment w:val="auto"/>
        <w:rPr>
          <w:rFonts w:hint="eastAsia" w:ascii="仿宋_GB2312" w:hAnsi="仿宋_GB2312" w:eastAsia="仿宋_GB2312" w:cs="仿宋_GB2312"/>
          <w:i w:val="0"/>
          <w:iCs w:val="0"/>
          <w:caps w:val="0"/>
          <w:color w:val="auto"/>
          <w:spacing w:val="0"/>
          <w:kern w:val="0"/>
          <w:sz w:val="31"/>
          <w:szCs w:val="31"/>
          <w:shd w:val="clear" w:fill="FFFFFF"/>
          <w:lang w:val="en-US" w:eastAsia="zh-CN" w:bidi="ar"/>
        </w:rPr>
      </w:pPr>
      <w:r>
        <w:rPr>
          <w:rFonts w:ascii="仿宋_GB2312" w:hAnsi="仿宋_GB2312" w:eastAsia="仿宋_GB2312" w:cs="仿宋_GB2312"/>
          <w:i w:val="0"/>
          <w:iCs w:val="0"/>
          <w:caps w:val="0"/>
          <w:color w:val="auto"/>
          <w:spacing w:val="0"/>
          <w:kern w:val="0"/>
          <w:sz w:val="31"/>
          <w:szCs w:val="31"/>
          <w:shd w:val="clear" w:fill="FFFFFF"/>
          <w:lang w:val="en-US" w:eastAsia="zh-CN" w:bidi="ar"/>
        </w:rPr>
        <w:t>3、一般公共服务支出（类）政府办公厅（室）及相关机构事务（款）其他政府办公厅（室）及相关机构事务支出（项）：支出决算数为120.26万元，与上年决算相比减少25.4万元，下降17.44%，主要原因是：</w:t>
      </w:r>
      <w:r>
        <w:rPr>
          <w:rFonts w:hint="eastAsia" w:ascii="仿宋_GB2312" w:hAnsi="仿宋_GB2312" w:eastAsia="仿宋_GB2312" w:cs="仿宋_GB2312"/>
          <w:i w:val="0"/>
          <w:iCs w:val="0"/>
          <w:caps w:val="0"/>
          <w:color w:val="auto"/>
          <w:spacing w:val="0"/>
          <w:kern w:val="0"/>
          <w:sz w:val="31"/>
          <w:szCs w:val="31"/>
          <w:shd w:val="clear" w:fill="FFFFFF"/>
          <w:lang w:val="en-US" w:eastAsia="zh-CN" w:bidi="ar"/>
        </w:rPr>
        <w:t>2024年增加为民办实事经费。</w:t>
      </w:r>
    </w:p>
    <w:p>
      <w:pPr>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overflowPunct/>
        <w:topLinePunct w:val="0"/>
        <w:autoSpaceDE/>
        <w:autoSpaceDN/>
        <w:bidi w:val="0"/>
        <w:adjustRightInd/>
        <w:snapToGrid/>
        <w:spacing w:before="0" w:beforeAutospacing="0" w:line="560" w:lineRule="exact"/>
        <w:ind w:left="0" w:right="0" w:firstLine="620" w:firstLineChars="200"/>
        <w:jc w:val="left"/>
        <w:textAlignment w:val="auto"/>
        <w:rPr>
          <w:rFonts w:hint="default" w:ascii="仿宋_GB2312" w:hAnsi="仿宋_GB2312" w:eastAsia="仿宋_GB2312" w:cs="仿宋_GB2312"/>
          <w:i w:val="0"/>
          <w:iCs w:val="0"/>
          <w:caps w:val="0"/>
          <w:color w:val="auto"/>
          <w:spacing w:val="0"/>
          <w:sz w:val="31"/>
          <w:szCs w:val="31"/>
          <w:lang w:val="en-US"/>
        </w:rPr>
      </w:pPr>
      <w:r>
        <w:rPr>
          <w:rFonts w:ascii="仿宋_GB2312" w:hAnsi="仿宋_GB2312" w:eastAsia="仿宋_GB2312" w:cs="仿宋_GB2312"/>
          <w:i w:val="0"/>
          <w:iCs w:val="0"/>
          <w:caps w:val="0"/>
          <w:color w:val="auto"/>
          <w:spacing w:val="0"/>
          <w:kern w:val="0"/>
          <w:sz w:val="31"/>
          <w:szCs w:val="31"/>
          <w:shd w:val="clear" w:fill="FFFFFF"/>
          <w:lang w:val="en-US" w:eastAsia="zh-CN" w:bidi="ar"/>
        </w:rPr>
        <w:t>4、一般公共服务支出（类）纪检监察事务（款）其他纪检监察事务支出（项）：支出决算数为2万元，与上年决算相比增加0.5万元，增长33.33%，主要原因是：</w:t>
      </w:r>
      <w:r>
        <w:rPr>
          <w:rFonts w:hint="eastAsia" w:ascii="仿宋_GB2312" w:hAnsi="仿宋_GB2312" w:eastAsia="仿宋_GB2312" w:cs="仿宋_GB2312"/>
          <w:i w:val="0"/>
          <w:iCs w:val="0"/>
          <w:caps w:val="0"/>
          <w:color w:val="auto"/>
          <w:spacing w:val="0"/>
          <w:kern w:val="0"/>
          <w:sz w:val="31"/>
          <w:szCs w:val="31"/>
          <w:shd w:val="clear" w:fill="FFFFFF"/>
          <w:lang w:val="en-US" w:eastAsia="zh-CN" w:bidi="ar"/>
        </w:rPr>
        <w:t>2024年拨付</w:t>
      </w:r>
      <w:r>
        <w:rPr>
          <w:rFonts w:ascii="仿宋_GB2312" w:hAnsi="仿宋_GB2312" w:eastAsia="仿宋_GB2312" w:cs="仿宋_GB2312"/>
          <w:i w:val="0"/>
          <w:iCs w:val="0"/>
          <w:caps w:val="0"/>
          <w:color w:val="auto"/>
          <w:spacing w:val="0"/>
          <w:kern w:val="0"/>
          <w:sz w:val="31"/>
          <w:szCs w:val="31"/>
          <w:shd w:val="clear" w:fill="FFFFFF"/>
          <w:lang w:val="en-US" w:eastAsia="zh-CN" w:bidi="ar"/>
        </w:rPr>
        <w:t>纪检监察事务</w:t>
      </w:r>
      <w:r>
        <w:rPr>
          <w:rFonts w:hint="eastAsia" w:ascii="仿宋_GB2312" w:hAnsi="仿宋_GB2312" w:eastAsia="仿宋_GB2312" w:cs="仿宋_GB2312"/>
          <w:i w:val="0"/>
          <w:iCs w:val="0"/>
          <w:caps w:val="0"/>
          <w:color w:val="auto"/>
          <w:spacing w:val="0"/>
          <w:kern w:val="0"/>
          <w:sz w:val="31"/>
          <w:szCs w:val="31"/>
          <w:shd w:val="clear" w:fill="FFFFFF"/>
          <w:lang w:val="en-US" w:eastAsia="zh-CN" w:bidi="ar"/>
        </w:rPr>
        <w:t>办案经费。</w:t>
      </w:r>
    </w:p>
    <w:p>
      <w:pPr>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overflowPunct/>
        <w:topLinePunct w:val="0"/>
        <w:autoSpaceDE/>
        <w:autoSpaceDN/>
        <w:bidi w:val="0"/>
        <w:adjustRightInd/>
        <w:snapToGrid/>
        <w:spacing w:before="0" w:beforeAutospacing="0" w:line="560" w:lineRule="exact"/>
        <w:ind w:left="0" w:right="0" w:firstLine="620" w:firstLineChars="200"/>
        <w:jc w:val="left"/>
        <w:textAlignment w:val="auto"/>
        <w:rPr>
          <w:rFonts w:ascii="仿宋_GB2312" w:hAnsi="仿宋_GB2312" w:eastAsia="仿宋_GB2312" w:cs="仿宋_GB2312"/>
          <w:i w:val="0"/>
          <w:iCs w:val="0"/>
          <w:caps w:val="0"/>
          <w:color w:val="auto"/>
          <w:spacing w:val="0"/>
          <w:kern w:val="0"/>
          <w:sz w:val="31"/>
          <w:szCs w:val="31"/>
          <w:shd w:val="clear" w:fill="FFFFFF"/>
          <w:lang w:val="en-US" w:eastAsia="zh-CN" w:bidi="ar"/>
        </w:rPr>
      </w:pPr>
      <w:r>
        <w:rPr>
          <w:rFonts w:ascii="仿宋_GB2312" w:hAnsi="仿宋_GB2312" w:eastAsia="仿宋_GB2312" w:cs="仿宋_GB2312"/>
          <w:i w:val="0"/>
          <w:iCs w:val="0"/>
          <w:caps w:val="0"/>
          <w:color w:val="auto"/>
          <w:spacing w:val="0"/>
          <w:kern w:val="0"/>
          <w:sz w:val="31"/>
          <w:szCs w:val="31"/>
          <w:shd w:val="clear" w:fill="FFFFFF"/>
          <w:lang w:val="en-US" w:eastAsia="zh-CN" w:bidi="ar"/>
        </w:rPr>
        <w:t>5、一般公共服务支出（类）组织事务（款）其他组织事务支出（项）：支出决算数为233.24万元，与上年决算相比增加16.34万元，增长7.53%，主要原因是：</w:t>
      </w:r>
      <w:r>
        <w:rPr>
          <w:rFonts w:hint="eastAsia" w:ascii="仿宋_GB2312" w:hAnsi="仿宋_GB2312" w:eastAsia="仿宋_GB2312" w:cs="仿宋_GB2312"/>
          <w:i w:val="0"/>
          <w:iCs w:val="0"/>
          <w:caps w:val="0"/>
          <w:color w:val="auto"/>
          <w:spacing w:val="0"/>
          <w:kern w:val="0"/>
          <w:sz w:val="31"/>
          <w:szCs w:val="31"/>
          <w:shd w:val="clear" w:fill="FFFFFF"/>
          <w:lang w:val="en-US" w:eastAsia="zh-CN" w:bidi="ar"/>
        </w:rPr>
        <w:t>2024年增加基层组织建设项目，基层组织政权项目资金。</w:t>
      </w:r>
    </w:p>
    <w:p>
      <w:pPr>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overflowPunct/>
        <w:topLinePunct w:val="0"/>
        <w:autoSpaceDE/>
        <w:autoSpaceDN/>
        <w:bidi w:val="0"/>
        <w:adjustRightInd/>
        <w:snapToGrid/>
        <w:spacing w:before="0" w:beforeAutospacing="0" w:line="560" w:lineRule="exact"/>
        <w:ind w:left="0" w:right="0" w:firstLine="620" w:firstLineChars="200"/>
        <w:jc w:val="left"/>
        <w:textAlignment w:val="auto"/>
        <w:rPr>
          <w:rFonts w:hint="eastAsia" w:ascii="仿宋_GB2312" w:hAnsi="仿宋_GB2312" w:eastAsia="仿宋_GB2312" w:cs="仿宋_GB2312"/>
          <w:i w:val="0"/>
          <w:iCs w:val="0"/>
          <w:caps w:val="0"/>
          <w:color w:val="auto"/>
          <w:spacing w:val="0"/>
          <w:kern w:val="0"/>
          <w:sz w:val="31"/>
          <w:szCs w:val="31"/>
          <w:shd w:val="clear" w:fill="FFFFFF"/>
          <w:lang w:val="en-US" w:eastAsia="zh-CN" w:bidi="ar"/>
        </w:rPr>
      </w:pPr>
      <w:r>
        <w:rPr>
          <w:rFonts w:ascii="仿宋_GB2312" w:hAnsi="仿宋_GB2312" w:eastAsia="仿宋_GB2312" w:cs="仿宋_GB2312"/>
          <w:i w:val="0"/>
          <w:iCs w:val="0"/>
          <w:caps w:val="0"/>
          <w:color w:val="auto"/>
          <w:spacing w:val="0"/>
          <w:kern w:val="0"/>
          <w:sz w:val="31"/>
          <w:szCs w:val="31"/>
          <w:shd w:val="clear" w:fill="FFFFFF"/>
          <w:lang w:val="en-US" w:eastAsia="zh-CN" w:bidi="ar"/>
        </w:rPr>
        <w:t>6、教育支出（类）进修及培训（款）培训支出（项）：支出决算数为1.79万元，与上年决算相比减少3.34万元，下降65.11%，主要原因是</w:t>
      </w:r>
      <w:r>
        <w:rPr>
          <w:rFonts w:hint="eastAsia" w:ascii="仿宋_GB2312" w:hAnsi="仿宋_GB2312" w:eastAsia="仿宋_GB2312" w:cs="仿宋_GB2312"/>
          <w:i w:val="0"/>
          <w:iCs w:val="0"/>
          <w:caps w:val="0"/>
          <w:color w:val="auto"/>
          <w:spacing w:val="0"/>
          <w:kern w:val="0"/>
          <w:sz w:val="31"/>
          <w:szCs w:val="31"/>
          <w:shd w:val="clear" w:fill="FFFFFF"/>
          <w:lang w:val="en-US" w:eastAsia="zh-CN" w:bidi="ar"/>
        </w:rPr>
        <w:t>：2024年参加培训人员次数少同时经费减少。</w:t>
      </w:r>
    </w:p>
    <w:p>
      <w:pPr>
        <w:keepNext w:val="0"/>
        <w:keepLines w:val="0"/>
        <w:pageBreakBefore w:val="0"/>
        <w:widowControl/>
        <w:kinsoku/>
        <w:overflowPunct/>
        <w:topLinePunct w:val="0"/>
        <w:autoSpaceDE/>
        <w:autoSpaceDN/>
        <w:bidi w:val="0"/>
        <w:adjustRightInd/>
        <w:snapToGrid/>
        <w:spacing w:line="560" w:lineRule="exact"/>
        <w:ind w:left="0" w:right="0" w:firstLine="620" w:firstLineChars="200"/>
        <w:textAlignment w:val="auto"/>
        <w:rPr>
          <w:rFonts w:ascii="仿宋_GB2312" w:hAnsi="仿宋_GB2312" w:eastAsia="仿宋_GB2312" w:cs="仿宋_GB2312"/>
          <w:i w:val="0"/>
          <w:iCs w:val="0"/>
          <w:caps w:val="0"/>
          <w:color w:val="auto"/>
          <w:spacing w:val="0"/>
          <w:sz w:val="31"/>
          <w:szCs w:val="31"/>
        </w:rPr>
      </w:pPr>
      <w:r>
        <w:rPr>
          <w:rFonts w:ascii="仿宋_GB2312" w:hAnsi="仿宋_GB2312" w:eastAsia="仿宋_GB2312" w:cs="仿宋_GB2312"/>
          <w:i w:val="0"/>
          <w:iCs w:val="0"/>
          <w:caps w:val="0"/>
          <w:color w:val="auto"/>
          <w:spacing w:val="0"/>
          <w:kern w:val="0"/>
          <w:sz w:val="31"/>
          <w:szCs w:val="31"/>
          <w:shd w:val="clear" w:fill="FFFFFF"/>
          <w:lang w:val="en-US" w:eastAsia="zh-CN" w:bidi="ar"/>
        </w:rPr>
        <w:t>7、文化旅游体育与传媒支出（类）文化和旅游（款）其他文化和旅游支出（项）：支出决算数为5.34万元，与上年决算相比增加3.87万元，增长263.27%，主要原因是：</w:t>
      </w:r>
      <w:r>
        <w:rPr>
          <w:rFonts w:hint="eastAsia" w:ascii="仿宋_GB2312" w:hAnsi="仿宋_GB2312" w:eastAsia="仿宋_GB2312" w:cs="仿宋_GB2312"/>
          <w:i w:val="0"/>
          <w:iCs w:val="0"/>
          <w:caps w:val="0"/>
          <w:color w:val="auto"/>
          <w:spacing w:val="0"/>
          <w:kern w:val="0"/>
          <w:sz w:val="31"/>
          <w:szCs w:val="31"/>
          <w:shd w:val="clear" w:fill="FFFFFF"/>
          <w:lang w:val="en-US" w:eastAsia="zh-CN" w:bidi="ar"/>
        </w:rPr>
        <w:t>为提升民生生活幸福感，保障基层文化活动及服务群众职能，增加各项文化经费。</w:t>
      </w:r>
    </w:p>
    <w:p>
      <w:pPr>
        <w:keepNext w:val="0"/>
        <w:keepLines w:val="0"/>
        <w:pageBreakBefore w:val="0"/>
        <w:widowControl/>
        <w:kinsoku/>
        <w:overflowPunct/>
        <w:topLinePunct w:val="0"/>
        <w:autoSpaceDE/>
        <w:autoSpaceDN/>
        <w:bidi w:val="0"/>
        <w:adjustRightInd/>
        <w:snapToGrid/>
        <w:spacing w:line="560" w:lineRule="exact"/>
        <w:ind w:left="0" w:right="0" w:firstLine="620" w:firstLineChars="200"/>
        <w:textAlignment w:val="auto"/>
        <w:rPr>
          <w:rFonts w:ascii="仿宋_GB2312" w:hAnsi="仿宋_GB2312" w:eastAsia="仿宋_GB2312" w:cs="仿宋_GB2312"/>
          <w:i w:val="0"/>
          <w:iCs w:val="0"/>
          <w:caps w:val="0"/>
          <w:color w:val="auto"/>
          <w:spacing w:val="0"/>
          <w:sz w:val="31"/>
          <w:szCs w:val="31"/>
        </w:rPr>
      </w:pPr>
      <w:r>
        <w:rPr>
          <w:rFonts w:ascii="仿宋_GB2312" w:hAnsi="仿宋_GB2312" w:eastAsia="仿宋_GB2312" w:cs="仿宋_GB2312"/>
          <w:i w:val="0"/>
          <w:iCs w:val="0"/>
          <w:caps w:val="0"/>
          <w:color w:val="auto"/>
          <w:spacing w:val="0"/>
          <w:kern w:val="0"/>
          <w:sz w:val="31"/>
          <w:szCs w:val="31"/>
          <w:shd w:val="clear" w:fill="FFFFFF"/>
          <w:lang w:val="en-US" w:eastAsia="zh-CN" w:bidi="ar"/>
        </w:rPr>
        <w:t>8、文化旅游体育与传媒支出（类）其他文化旅游体育与传媒支出（款）其他文化旅游体育与传媒支出（项）：支出决算数为12.73万元，与上年决算相比增加12.73万元，增长100%，主要原因是：</w:t>
      </w:r>
      <w:r>
        <w:rPr>
          <w:rFonts w:hint="eastAsia" w:ascii="仿宋_GB2312" w:hAnsi="仿宋_GB2312" w:eastAsia="仿宋_GB2312" w:cs="仿宋_GB2312"/>
          <w:i w:val="0"/>
          <w:iCs w:val="0"/>
          <w:caps w:val="0"/>
          <w:color w:val="auto"/>
          <w:spacing w:val="0"/>
          <w:kern w:val="0"/>
          <w:sz w:val="31"/>
          <w:szCs w:val="31"/>
          <w:shd w:val="clear" w:fill="FFFFFF"/>
          <w:lang w:val="en-US" w:eastAsia="zh-CN" w:bidi="ar"/>
        </w:rPr>
        <w:t>为提升民生生活幸福感，保障基层文化活动及服务群众职能，增加各项文化经费。</w:t>
      </w:r>
    </w:p>
    <w:p>
      <w:pPr>
        <w:keepNext w:val="0"/>
        <w:keepLines w:val="0"/>
        <w:pageBreakBefore w:val="0"/>
        <w:widowControl/>
        <w:kinsoku/>
        <w:overflowPunct/>
        <w:topLinePunct w:val="0"/>
        <w:autoSpaceDE/>
        <w:autoSpaceDN/>
        <w:bidi w:val="0"/>
        <w:adjustRightInd/>
        <w:snapToGrid/>
        <w:spacing w:line="560" w:lineRule="exact"/>
        <w:ind w:left="0" w:right="0" w:firstLine="620" w:firstLineChars="200"/>
        <w:textAlignment w:val="auto"/>
        <w:rPr>
          <w:rFonts w:ascii="仿宋_GB2312" w:hAnsi="仿宋_GB2312" w:eastAsia="仿宋_GB2312" w:cs="仿宋_GB2312"/>
          <w:i w:val="0"/>
          <w:iCs w:val="0"/>
          <w:caps w:val="0"/>
          <w:color w:val="auto"/>
          <w:spacing w:val="0"/>
          <w:kern w:val="0"/>
          <w:sz w:val="31"/>
          <w:szCs w:val="31"/>
          <w:shd w:val="clear" w:fill="FFFFFF"/>
          <w:lang w:val="en-US" w:eastAsia="zh-CN" w:bidi="ar"/>
        </w:rPr>
      </w:pPr>
      <w:r>
        <w:rPr>
          <w:rFonts w:ascii="仿宋_GB2312" w:hAnsi="仿宋_GB2312" w:eastAsia="仿宋_GB2312" w:cs="仿宋_GB2312"/>
          <w:i w:val="0"/>
          <w:iCs w:val="0"/>
          <w:caps w:val="0"/>
          <w:color w:val="auto"/>
          <w:spacing w:val="0"/>
          <w:kern w:val="0"/>
          <w:sz w:val="31"/>
          <w:szCs w:val="31"/>
          <w:shd w:val="clear" w:fill="FFFFFF"/>
          <w:lang w:val="en-US" w:eastAsia="zh-CN" w:bidi="ar"/>
        </w:rPr>
        <w:t>9、社会保障和就业支出（类）行政事业单位养老支出（款）行政单位离退休（项）：支出决算数为45.7万元，与上年决算相比增加29.21万元，增长177.14%，主要原因是：</w:t>
      </w:r>
      <w:r>
        <w:rPr>
          <w:rFonts w:hint="eastAsia" w:ascii="仿宋_GB2312" w:hAnsi="仿宋_GB2312" w:eastAsia="仿宋_GB2312" w:cs="仿宋_GB2312"/>
          <w:i w:val="0"/>
          <w:iCs w:val="0"/>
          <w:caps w:val="0"/>
          <w:color w:val="auto"/>
          <w:spacing w:val="0"/>
          <w:kern w:val="0"/>
          <w:sz w:val="31"/>
          <w:szCs w:val="31"/>
          <w:shd w:val="clear" w:fill="FFFFFF"/>
          <w:lang w:val="en-US" w:eastAsia="zh-CN" w:bidi="ar"/>
        </w:rPr>
        <w:t>2024年退休人员9名，随着退休人员增加相关经费增加。</w:t>
      </w:r>
    </w:p>
    <w:p>
      <w:pPr>
        <w:keepNext w:val="0"/>
        <w:keepLines w:val="0"/>
        <w:pageBreakBefore w:val="0"/>
        <w:widowControl/>
        <w:kinsoku/>
        <w:overflowPunct/>
        <w:topLinePunct w:val="0"/>
        <w:autoSpaceDE/>
        <w:autoSpaceDN/>
        <w:bidi w:val="0"/>
        <w:adjustRightInd/>
        <w:snapToGrid/>
        <w:spacing w:line="560" w:lineRule="exact"/>
        <w:ind w:left="0" w:right="0" w:firstLine="620" w:firstLineChars="200"/>
        <w:textAlignment w:val="auto"/>
        <w:rPr>
          <w:rFonts w:ascii="仿宋_GB2312" w:hAnsi="仿宋_GB2312" w:eastAsia="仿宋_GB2312" w:cs="仿宋_GB2312"/>
          <w:i w:val="0"/>
          <w:iCs w:val="0"/>
          <w:caps w:val="0"/>
          <w:color w:val="auto"/>
          <w:spacing w:val="0"/>
          <w:sz w:val="31"/>
          <w:szCs w:val="31"/>
        </w:rPr>
      </w:pPr>
      <w:r>
        <w:rPr>
          <w:rFonts w:ascii="仿宋_GB2312" w:hAnsi="仿宋_GB2312" w:eastAsia="仿宋_GB2312" w:cs="仿宋_GB2312"/>
          <w:i w:val="0"/>
          <w:iCs w:val="0"/>
          <w:caps w:val="0"/>
          <w:color w:val="auto"/>
          <w:spacing w:val="0"/>
          <w:kern w:val="0"/>
          <w:sz w:val="31"/>
          <w:szCs w:val="31"/>
          <w:shd w:val="clear" w:fill="FFFFFF"/>
          <w:lang w:val="en-US" w:eastAsia="zh-CN" w:bidi="ar"/>
        </w:rPr>
        <w:t>10、社会保障和就业支出（类）行政事业单位养老支出（款）机关事业单位基本养老保险缴费支出（项）：支出决算数为142.26万元，与上年决算相比增加7.1万元，增长5.25%，主要原因是：</w:t>
      </w:r>
      <w:r>
        <w:rPr>
          <w:rFonts w:hint="eastAsia" w:ascii="仿宋_GB2312" w:hAnsi="仿宋_GB2312" w:eastAsia="仿宋_GB2312" w:cs="仿宋_GB2312"/>
          <w:i w:val="0"/>
          <w:iCs w:val="0"/>
          <w:caps w:val="0"/>
          <w:color w:val="auto"/>
          <w:spacing w:val="0"/>
          <w:kern w:val="0"/>
          <w:sz w:val="31"/>
          <w:szCs w:val="31"/>
          <w:shd w:val="clear" w:fill="FFFFFF"/>
          <w:lang w:val="en-US" w:eastAsia="zh-CN" w:bidi="ar"/>
        </w:rPr>
        <w:t>2024年退休人员9名，随着退休人员增加相关经费增加。</w:t>
      </w:r>
    </w:p>
    <w:p>
      <w:pPr>
        <w:keepNext w:val="0"/>
        <w:keepLines w:val="0"/>
        <w:pageBreakBefore w:val="0"/>
        <w:widowControl/>
        <w:kinsoku/>
        <w:overflowPunct/>
        <w:topLinePunct w:val="0"/>
        <w:autoSpaceDE/>
        <w:autoSpaceDN/>
        <w:bidi w:val="0"/>
        <w:adjustRightInd/>
        <w:snapToGrid/>
        <w:spacing w:line="560" w:lineRule="exact"/>
        <w:ind w:left="0" w:right="0" w:firstLine="620" w:firstLineChars="200"/>
        <w:textAlignment w:val="auto"/>
        <w:rPr>
          <w:rFonts w:ascii="仿宋_GB2312" w:hAnsi="仿宋_GB2312" w:eastAsia="仿宋_GB2312" w:cs="仿宋_GB2312"/>
          <w:i w:val="0"/>
          <w:iCs w:val="0"/>
          <w:caps w:val="0"/>
          <w:color w:val="auto"/>
          <w:spacing w:val="0"/>
          <w:sz w:val="31"/>
          <w:szCs w:val="31"/>
        </w:rPr>
      </w:pPr>
      <w:r>
        <w:rPr>
          <w:rFonts w:ascii="仿宋_GB2312" w:hAnsi="仿宋_GB2312" w:eastAsia="仿宋_GB2312" w:cs="仿宋_GB2312"/>
          <w:i w:val="0"/>
          <w:iCs w:val="0"/>
          <w:caps w:val="0"/>
          <w:color w:val="auto"/>
          <w:spacing w:val="0"/>
          <w:kern w:val="0"/>
          <w:sz w:val="31"/>
          <w:szCs w:val="31"/>
          <w:shd w:val="clear" w:fill="FFFFFF"/>
          <w:lang w:val="en-US" w:eastAsia="zh-CN" w:bidi="ar"/>
        </w:rPr>
        <w:t>11、社会保障和就业支出（类）行政事业单位养老支出（款）机关事业单位职业年金缴费支出（项）：支出决算数为51.7万元，与上年决算相比增加38.49万元，增长291.37%，主要原因是：</w:t>
      </w:r>
      <w:r>
        <w:rPr>
          <w:rFonts w:hint="eastAsia" w:ascii="仿宋_GB2312" w:hAnsi="仿宋_GB2312" w:eastAsia="仿宋_GB2312" w:cs="仿宋_GB2312"/>
          <w:i w:val="0"/>
          <w:iCs w:val="0"/>
          <w:caps w:val="0"/>
          <w:color w:val="auto"/>
          <w:spacing w:val="0"/>
          <w:kern w:val="0"/>
          <w:sz w:val="31"/>
          <w:szCs w:val="31"/>
          <w:shd w:val="clear" w:fill="FFFFFF"/>
          <w:lang w:val="en-US" w:eastAsia="zh-CN" w:bidi="ar"/>
        </w:rPr>
        <w:t>2024年退休人员9名，随着退休人员增加相关经费增加。</w:t>
      </w:r>
    </w:p>
    <w:p>
      <w:pPr>
        <w:keepNext w:val="0"/>
        <w:keepLines w:val="0"/>
        <w:pageBreakBefore w:val="0"/>
        <w:widowControl/>
        <w:kinsoku/>
        <w:overflowPunct/>
        <w:topLinePunct w:val="0"/>
        <w:autoSpaceDE/>
        <w:autoSpaceDN/>
        <w:bidi w:val="0"/>
        <w:adjustRightInd/>
        <w:snapToGrid/>
        <w:spacing w:line="560" w:lineRule="exact"/>
        <w:ind w:left="0" w:right="0" w:firstLine="620" w:firstLineChars="200"/>
        <w:textAlignment w:val="auto"/>
        <w:rPr>
          <w:rFonts w:ascii="仿宋_GB2312" w:hAnsi="仿宋_GB2312" w:eastAsia="仿宋_GB2312" w:cs="仿宋_GB2312"/>
          <w:i w:val="0"/>
          <w:iCs w:val="0"/>
          <w:caps w:val="0"/>
          <w:color w:val="auto"/>
          <w:spacing w:val="0"/>
          <w:kern w:val="0"/>
          <w:sz w:val="31"/>
          <w:szCs w:val="31"/>
          <w:shd w:val="clear" w:fill="FFFFFF"/>
          <w:lang w:val="en-US" w:eastAsia="zh-CN" w:bidi="ar"/>
        </w:rPr>
      </w:pPr>
      <w:r>
        <w:rPr>
          <w:rFonts w:ascii="仿宋_GB2312" w:hAnsi="仿宋_GB2312" w:eastAsia="仿宋_GB2312" w:cs="仿宋_GB2312"/>
          <w:i w:val="0"/>
          <w:iCs w:val="0"/>
          <w:caps w:val="0"/>
          <w:color w:val="auto"/>
          <w:spacing w:val="0"/>
          <w:kern w:val="0"/>
          <w:sz w:val="31"/>
          <w:szCs w:val="31"/>
          <w:shd w:val="clear" w:fill="FFFFFF"/>
          <w:lang w:val="en-US" w:eastAsia="zh-CN" w:bidi="ar"/>
        </w:rPr>
        <w:t>12、社会保障和就业支出（类）就业补助（款）公益性岗位补贴（项）：支出决算数为0万元，与上年决算相比减少55.12万元，下降100%，主要原因是：</w:t>
      </w:r>
      <w:r>
        <w:rPr>
          <w:rFonts w:hint="eastAsia" w:ascii="仿宋_GB2312" w:hAnsi="仿宋_GB2312" w:eastAsia="仿宋_GB2312" w:cs="仿宋_GB2312"/>
          <w:i w:val="0"/>
          <w:iCs w:val="0"/>
          <w:caps w:val="0"/>
          <w:color w:val="auto"/>
          <w:spacing w:val="0"/>
          <w:kern w:val="0"/>
          <w:sz w:val="31"/>
          <w:szCs w:val="31"/>
          <w:shd w:val="clear" w:fill="FFFFFF"/>
          <w:lang w:val="en-US" w:eastAsia="zh-CN" w:bidi="ar"/>
        </w:rPr>
        <w:t>本单位按照上级文件要求、调整公益性岗位人员，相应的人员补助经费也减少。</w:t>
      </w:r>
    </w:p>
    <w:p>
      <w:pPr>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overflowPunct/>
        <w:topLinePunct w:val="0"/>
        <w:autoSpaceDE/>
        <w:autoSpaceDN/>
        <w:bidi w:val="0"/>
        <w:adjustRightInd/>
        <w:snapToGrid/>
        <w:spacing w:before="0" w:beforeAutospacing="0" w:line="560" w:lineRule="exact"/>
        <w:ind w:left="0" w:right="0" w:firstLine="620" w:firstLineChars="200"/>
        <w:jc w:val="left"/>
        <w:textAlignment w:val="auto"/>
        <w:rPr>
          <w:rFonts w:hint="eastAsia" w:ascii="仿宋_GB2312" w:hAnsi="仿宋_GB2312" w:eastAsia="仿宋_GB2312" w:cs="仿宋_GB2312"/>
          <w:i w:val="0"/>
          <w:iCs w:val="0"/>
          <w:caps w:val="0"/>
          <w:color w:val="auto"/>
          <w:spacing w:val="0"/>
          <w:kern w:val="0"/>
          <w:sz w:val="31"/>
          <w:szCs w:val="31"/>
          <w:shd w:val="clear" w:fill="FFFFFF"/>
          <w:lang w:val="en-US" w:eastAsia="zh-CN" w:bidi="ar"/>
        </w:rPr>
      </w:pPr>
      <w:r>
        <w:rPr>
          <w:rFonts w:ascii="仿宋_GB2312" w:hAnsi="仿宋_GB2312" w:eastAsia="仿宋_GB2312" w:cs="仿宋_GB2312"/>
          <w:i w:val="0"/>
          <w:iCs w:val="0"/>
          <w:caps w:val="0"/>
          <w:color w:val="auto"/>
          <w:spacing w:val="0"/>
          <w:kern w:val="0"/>
          <w:sz w:val="31"/>
          <w:szCs w:val="31"/>
          <w:shd w:val="clear" w:fill="FFFFFF"/>
          <w:lang w:val="en-US" w:eastAsia="zh-CN" w:bidi="ar"/>
        </w:rPr>
        <w:t>13、社会保障和就业支出（类）其他生活救助（款）其他农村生活救助（项）：支出决算数为3万元，与上年决算相比增加3万元，增长100%，主要原因是：</w:t>
      </w:r>
      <w:r>
        <w:rPr>
          <w:rFonts w:hint="eastAsia" w:ascii="仿宋_GB2312" w:hAnsi="仿宋_GB2312" w:eastAsia="仿宋_GB2312" w:cs="仿宋_GB2312"/>
          <w:i w:val="0"/>
          <w:iCs w:val="0"/>
          <w:caps w:val="0"/>
          <w:color w:val="auto"/>
          <w:spacing w:val="0"/>
          <w:kern w:val="0"/>
          <w:sz w:val="31"/>
          <w:szCs w:val="31"/>
          <w:shd w:val="clear" w:fill="FFFFFF"/>
          <w:lang w:val="en-US" w:eastAsia="zh-CN" w:bidi="ar"/>
        </w:rPr>
        <w:t>2024年拨付</w:t>
      </w:r>
      <w:r>
        <w:rPr>
          <w:rFonts w:hint="default" w:ascii="仿宋_GB2312" w:hAnsi="仿宋_GB2312" w:eastAsia="仿宋_GB2312" w:cs="仿宋_GB2312"/>
          <w:i w:val="0"/>
          <w:iCs w:val="0"/>
          <w:caps w:val="0"/>
          <w:color w:val="auto"/>
          <w:spacing w:val="0"/>
          <w:kern w:val="0"/>
          <w:sz w:val="31"/>
          <w:szCs w:val="31"/>
          <w:shd w:val="clear" w:fill="FFFFFF"/>
          <w:lang w:val="en-US" w:eastAsia="zh-CN" w:bidi="ar"/>
        </w:rPr>
        <w:t>城乡困难家庭冬季采暖救助</w:t>
      </w:r>
      <w:r>
        <w:rPr>
          <w:rFonts w:hint="eastAsia" w:ascii="仿宋_GB2312" w:hAnsi="仿宋_GB2312" w:eastAsia="仿宋_GB2312" w:cs="仿宋_GB2312"/>
          <w:i w:val="0"/>
          <w:iCs w:val="0"/>
          <w:caps w:val="0"/>
          <w:color w:val="auto"/>
          <w:spacing w:val="0"/>
          <w:kern w:val="0"/>
          <w:sz w:val="31"/>
          <w:szCs w:val="31"/>
          <w:shd w:val="clear" w:fill="FFFFFF"/>
          <w:lang w:val="en-US" w:eastAsia="zh-CN" w:bidi="ar"/>
        </w:rPr>
        <w:t>资金。</w:t>
      </w:r>
    </w:p>
    <w:p>
      <w:pPr>
        <w:keepNext w:val="0"/>
        <w:keepLines w:val="0"/>
        <w:pageBreakBefore w:val="0"/>
        <w:widowControl/>
        <w:kinsoku/>
        <w:overflowPunct/>
        <w:topLinePunct w:val="0"/>
        <w:autoSpaceDE/>
        <w:autoSpaceDN/>
        <w:bidi w:val="0"/>
        <w:adjustRightInd/>
        <w:snapToGrid/>
        <w:spacing w:line="560" w:lineRule="exact"/>
        <w:ind w:left="0" w:right="0" w:firstLine="620" w:firstLineChars="200"/>
        <w:textAlignment w:val="auto"/>
        <w:rPr>
          <w:rFonts w:ascii="仿宋_GB2312" w:hAnsi="仿宋_GB2312" w:eastAsia="仿宋_GB2312" w:cs="仿宋_GB2312"/>
          <w:i w:val="0"/>
          <w:iCs w:val="0"/>
          <w:caps w:val="0"/>
          <w:color w:val="auto"/>
          <w:spacing w:val="0"/>
          <w:sz w:val="31"/>
          <w:szCs w:val="31"/>
        </w:rPr>
      </w:pPr>
      <w:r>
        <w:rPr>
          <w:rFonts w:ascii="仿宋_GB2312" w:hAnsi="仿宋_GB2312" w:eastAsia="仿宋_GB2312" w:cs="仿宋_GB2312"/>
          <w:i w:val="0"/>
          <w:iCs w:val="0"/>
          <w:caps w:val="0"/>
          <w:color w:val="auto"/>
          <w:spacing w:val="0"/>
          <w:kern w:val="0"/>
          <w:sz w:val="31"/>
          <w:szCs w:val="31"/>
          <w:shd w:val="clear" w:fill="FFFFFF"/>
          <w:lang w:val="en-US" w:eastAsia="zh-CN" w:bidi="ar"/>
        </w:rPr>
        <w:t>14、卫生健康支出（类）行政事业单位医疗（款）行政单位医疗（项）：支出决算数为64.13万元，与上年决算相比减少4.17万元，下降6.11%，主要原因是：</w:t>
      </w:r>
      <w:r>
        <w:rPr>
          <w:rFonts w:hint="eastAsia" w:ascii="仿宋_GB2312" w:hAnsi="仿宋_GB2312" w:eastAsia="仿宋_GB2312" w:cs="仿宋_GB2312"/>
          <w:i w:val="0"/>
          <w:iCs w:val="0"/>
          <w:caps w:val="0"/>
          <w:color w:val="auto"/>
          <w:spacing w:val="0"/>
          <w:kern w:val="0"/>
          <w:sz w:val="31"/>
          <w:szCs w:val="31"/>
          <w:shd w:val="clear" w:fill="FFFFFF"/>
          <w:lang w:val="en-US" w:eastAsia="zh-CN" w:bidi="ar"/>
        </w:rPr>
        <w:t>单位2024年年底退休人员增加，按照医疗政策医疗缴费基数调整，导致行政事业单位医疗减少。</w:t>
      </w:r>
    </w:p>
    <w:p>
      <w:pPr>
        <w:keepNext w:val="0"/>
        <w:keepLines w:val="0"/>
        <w:pageBreakBefore w:val="0"/>
        <w:widowControl/>
        <w:kinsoku/>
        <w:overflowPunct/>
        <w:topLinePunct w:val="0"/>
        <w:autoSpaceDE/>
        <w:autoSpaceDN/>
        <w:bidi w:val="0"/>
        <w:adjustRightInd/>
        <w:snapToGrid/>
        <w:spacing w:line="560" w:lineRule="exact"/>
        <w:ind w:left="0" w:right="0" w:firstLine="620" w:firstLineChars="200"/>
        <w:textAlignment w:val="auto"/>
        <w:rPr>
          <w:rFonts w:ascii="仿宋_GB2312" w:hAnsi="仿宋_GB2312" w:eastAsia="仿宋_GB2312" w:cs="仿宋_GB2312"/>
          <w:i w:val="0"/>
          <w:iCs w:val="0"/>
          <w:caps w:val="0"/>
          <w:color w:val="auto"/>
          <w:spacing w:val="0"/>
          <w:sz w:val="31"/>
          <w:szCs w:val="31"/>
        </w:rPr>
      </w:pPr>
      <w:r>
        <w:rPr>
          <w:rFonts w:ascii="仿宋_GB2312" w:hAnsi="仿宋_GB2312" w:eastAsia="仿宋_GB2312" w:cs="仿宋_GB2312"/>
          <w:i w:val="0"/>
          <w:iCs w:val="0"/>
          <w:caps w:val="0"/>
          <w:color w:val="auto"/>
          <w:spacing w:val="0"/>
          <w:kern w:val="0"/>
          <w:sz w:val="31"/>
          <w:szCs w:val="31"/>
          <w:shd w:val="clear" w:fill="FFFFFF"/>
          <w:lang w:val="en-US" w:eastAsia="zh-CN" w:bidi="ar"/>
        </w:rPr>
        <w:t>15、卫生健康支出（类）行政事业单位医疗（款）公务员医疗补助（项）：支出决算数为10万元，与上年决算相比增加0.25万元，增长2.56%，主要原因是：</w:t>
      </w:r>
      <w:r>
        <w:rPr>
          <w:rFonts w:hint="eastAsia" w:ascii="仿宋_GB2312" w:hAnsi="仿宋_GB2312" w:eastAsia="仿宋_GB2312" w:cs="仿宋_GB2312"/>
          <w:i w:val="0"/>
          <w:iCs w:val="0"/>
          <w:caps w:val="0"/>
          <w:color w:val="auto"/>
          <w:spacing w:val="0"/>
          <w:kern w:val="0"/>
          <w:sz w:val="31"/>
          <w:szCs w:val="31"/>
          <w:shd w:val="clear" w:fill="FFFFFF"/>
          <w:lang w:val="en-US" w:eastAsia="zh-CN" w:bidi="ar"/>
        </w:rPr>
        <w:t>2024年因公务人员变动，按照医疗政策医疗缴费基数调整，导致行政事业单位公务员医疗补助增加。</w:t>
      </w:r>
    </w:p>
    <w:p>
      <w:pPr>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val="0"/>
        <w:overflowPunct/>
        <w:topLinePunct w:val="0"/>
        <w:autoSpaceDE/>
        <w:autoSpaceDN/>
        <w:bidi w:val="0"/>
        <w:adjustRightInd/>
        <w:snapToGrid/>
        <w:spacing w:before="0" w:beforeAutospacing="0" w:line="560" w:lineRule="exact"/>
        <w:ind w:left="0" w:right="0" w:firstLine="620" w:firstLineChars="200"/>
        <w:jc w:val="both"/>
        <w:textAlignment w:val="auto"/>
        <w:rPr>
          <w:rFonts w:ascii="仿宋_GB2312" w:hAnsi="仿宋_GB2312" w:eastAsia="仿宋_GB2312" w:cs="仿宋_GB2312"/>
          <w:i w:val="0"/>
          <w:iCs w:val="0"/>
          <w:caps w:val="0"/>
          <w:color w:val="auto"/>
          <w:spacing w:val="0"/>
          <w:sz w:val="31"/>
          <w:szCs w:val="31"/>
        </w:rPr>
      </w:pPr>
      <w:r>
        <w:rPr>
          <w:rFonts w:ascii="仿宋_GB2312" w:hAnsi="仿宋_GB2312" w:eastAsia="仿宋_GB2312" w:cs="仿宋_GB2312"/>
          <w:i w:val="0"/>
          <w:iCs w:val="0"/>
          <w:caps w:val="0"/>
          <w:color w:val="auto"/>
          <w:spacing w:val="0"/>
          <w:kern w:val="0"/>
          <w:sz w:val="31"/>
          <w:szCs w:val="31"/>
          <w:shd w:val="clear" w:fill="FFFFFF"/>
          <w:lang w:val="en-US" w:eastAsia="zh-CN" w:bidi="ar"/>
        </w:rPr>
        <w:t>16、农林水支出（类）巩固脱贫攻坚成果衔接乡村振兴（款）生产发展（项）：支出决算数为1,074.86万元，与上年决算相比增加929.86万元，增长641.28%，主要原因是：</w:t>
      </w:r>
      <w:r>
        <w:rPr>
          <w:rFonts w:hint="eastAsia" w:ascii="仿宋_GB2312" w:hAnsi="仿宋_GB2312" w:eastAsia="仿宋_GB2312" w:cs="仿宋_GB2312"/>
          <w:i w:val="0"/>
          <w:iCs w:val="0"/>
          <w:caps w:val="0"/>
          <w:color w:val="auto"/>
          <w:spacing w:val="0"/>
          <w:kern w:val="0"/>
          <w:sz w:val="31"/>
          <w:szCs w:val="31"/>
          <w:shd w:val="clear" w:fill="FFFFFF"/>
          <w:lang w:val="en-US" w:eastAsia="zh-CN" w:bidi="ar"/>
        </w:rPr>
        <w:t>乡村振兴项目资金增加、其巴财农〔2023〕47号关于提前下达2024年中央财政衔接推进乡村振兴补助资金（铁乡冷链物流建设项目）</w:t>
      </w:r>
      <w:r>
        <w:rPr>
          <w:rFonts w:ascii="仿宋_GB2312" w:hAnsi="仿宋_GB2312" w:eastAsia="仿宋_GB2312" w:cs="仿宋_GB2312"/>
          <w:i w:val="0"/>
          <w:iCs w:val="0"/>
          <w:caps w:val="0"/>
          <w:color w:val="auto"/>
          <w:spacing w:val="0"/>
          <w:kern w:val="0"/>
          <w:sz w:val="31"/>
          <w:szCs w:val="31"/>
          <w:shd w:val="clear" w:fill="FFFFFF"/>
          <w:lang w:val="en-US" w:eastAsia="zh-CN" w:bidi="ar"/>
        </w:rPr>
        <w:t>。</w:t>
      </w:r>
    </w:p>
    <w:p>
      <w:pPr>
        <w:keepNext w:val="0"/>
        <w:keepLines w:val="0"/>
        <w:pageBreakBefore w:val="0"/>
        <w:widowControl/>
        <w:kinsoku/>
        <w:overflowPunct/>
        <w:topLinePunct w:val="0"/>
        <w:autoSpaceDE/>
        <w:autoSpaceDN/>
        <w:bidi w:val="0"/>
        <w:adjustRightInd/>
        <w:snapToGrid/>
        <w:spacing w:line="560" w:lineRule="exact"/>
        <w:ind w:left="0" w:right="0" w:firstLine="620" w:firstLineChars="200"/>
        <w:textAlignment w:val="auto"/>
        <w:rPr>
          <w:rFonts w:ascii="仿宋_GB2312" w:hAnsi="仿宋_GB2312" w:eastAsia="仿宋_GB2312" w:cs="仿宋_GB2312"/>
          <w:i w:val="0"/>
          <w:iCs w:val="0"/>
          <w:caps w:val="0"/>
          <w:color w:val="auto"/>
          <w:spacing w:val="0"/>
          <w:sz w:val="31"/>
          <w:szCs w:val="31"/>
        </w:rPr>
      </w:pPr>
      <w:r>
        <w:rPr>
          <w:rFonts w:ascii="仿宋_GB2312" w:hAnsi="仿宋_GB2312" w:eastAsia="仿宋_GB2312" w:cs="仿宋_GB2312"/>
          <w:i w:val="0"/>
          <w:iCs w:val="0"/>
          <w:caps w:val="0"/>
          <w:color w:val="auto"/>
          <w:spacing w:val="0"/>
          <w:kern w:val="0"/>
          <w:sz w:val="31"/>
          <w:szCs w:val="31"/>
          <w:shd w:val="clear" w:fill="FFFFFF"/>
          <w:lang w:val="en-US" w:eastAsia="zh-CN" w:bidi="ar"/>
        </w:rPr>
        <w:t>17、农林水支出（类）巩固脱贫攻坚成果衔接乡村振兴（款）其他巩固脱贫攻坚成果衔接乡村振兴支出（项）：支出决算数为20.82万元，与上年决算相比减少4.08万元，下降16.39%，主要原因是：</w:t>
      </w:r>
      <w:r>
        <w:rPr>
          <w:rFonts w:hint="eastAsia" w:ascii="仿宋_GB2312" w:hAnsi="仿宋_GB2312" w:eastAsia="仿宋_GB2312" w:cs="仿宋_GB2312"/>
          <w:i w:val="0"/>
          <w:iCs w:val="0"/>
          <w:caps w:val="0"/>
          <w:color w:val="auto"/>
          <w:spacing w:val="0"/>
          <w:kern w:val="0"/>
          <w:sz w:val="31"/>
          <w:szCs w:val="31"/>
          <w:shd w:val="clear" w:fill="FFFFFF"/>
          <w:lang w:val="en-US" w:eastAsia="zh-CN" w:bidi="ar"/>
        </w:rPr>
        <w:t>本单位按照上级文件要求、调整乡村振兴专干、相应的人员补助经费也减少。</w:t>
      </w:r>
    </w:p>
    <w:p>
      <w:pPr>
        <w:keepNext w:val="0"/>
        <w:keepLines w:val="0"/>
        <w:pageBreakBefore w:val="0"/>
        <w:widowControl/>
        <w:numPr>
          <w:ilvl w:val="0"/>
          <w:numId w:val="0"/>
        </w:numPr>
        <w:kinsoku/>
        <w:overflowPunct/>
        <w:topLinePunct w:val="0"/>
        <w:autoSpaceDE/>
        <w:autoSpaceDN/>
        <w:bidi w:val="0"/>
        <w:adjustRightInd/>
        <w:snapToGrid/>
        <w:spacing w:before="0" w:beforeAutospacing="0" w:after="0" w:afterAutospacing="0" w:line="560" w:lineRule="exact"/>
        <w:ind w:left="0" w:right="0" w:firstLine="620" w:firstLineChars="200"/>
        <w:textAlignment w:val="auto"/>
        <w:rPr>
          <w:rFonts w:ascii="仿宋_GB2312" w:hAnsi="仿宋_GB2312" w:eastAsia="仿宋_GB2312" w:cs="仿宋_GB2312"/>
          <w:i w:val="0"/>
          <w:iCs w:val="0"/>
          <w:caps w:val="0"/>
          <w:color w:val="auto"/>
          <w:spacing w:val="0"/>
          <w:kern w:val="0"/>
          <w:sz w:val="31"/>
          <w:szCs w:val="31"/>
          <w:shd w:val="clear" w:fill="FFFFFF"/>
          <w:lang w:val="en-US" w:eastAsia="zh-CN" w:bidi="ar"/>
        </w:rPr>
      </w:pPr>
      <w:r>
        <w:rPr>
          <w:rFonts w:ascii="仿宋_GB2312" w:hAnsi="仿宋_GB2312" w:eastAsia="仿宋_GB2312" w:cs="仿宋_GB2312"/>
          <w:i w:val="0"/>
          <w:iCs w:val="0"/>
          <w:caps w:val="0"/>
          <w:color w:val="auto"/>
          <w:spacing w:val="0"/>
          <w:kern w:val="0"/>
          <w:sz w:val="31"/>
          <w:szCs w:val="31"/>
          <w:shd w:val="clear" w:fill="FFFFFF"/>
          <w:lang w:val="en-US" w:eastAsia="zh-CN" w:bidi="ar"/>
        </w:rPr>
        <w:t>18、农林水支出（类）农村综合改革（款）对村民委员会和村党支部的补助（项）：支出决算数为87.37万元，与上年决算相比减少163.11万元，下降65.12%，主要原因是：</w:t>
      </w:r>
      <w:r>
        <w:rPr>
          <w:rFonts w:hint="eastAsia" w:ascii="仿宋_GB2312" w:hAnsi="仿宋_GB2312" w:eastAsia="仿宋_GB2312" w:cs="仿宋_GB2312"/>
          <w:i w:val="0"/>
          <w:iCs w:val="0"/>
          <w:caps w:val="0"/>
          <w:color w:val="auto"/>
          <w:spacing w:val="0"/>
          <w:kern w:val="0"/>
          <w:sz w:val="31"/>
          <w:szCs w:val="31"/>
          <w:shd w:val="clear" w:fill="FFFFFF"/>
          <w:lang w:val="en-US" w:eastAsia="zh-CN" w:bidi="ar"/>
        </w:rPr>
        <w:t>2024年村两委人员工资及非村两委报酬一卡通系统进行发放，厉行节俭、压缩村级运转经费、相应经费减少。</w:t>
      </w:r>
    </w:p>
    <w:p>
      <w:pPr>
        <w:keepNext w:val="0"/>
        <w:keepLines w:val="0"/>
        <w:pageBreakBefore w:val="0"/>
        <w:widowControl/>
        <w:kinsoku/>
        <w:overflowPunct/>
        <w:topLinePunct w:val="0"/>
        <w:autoSpaceDE/>
        <w:autoSpaceDN/>
        <w:bidi w:val="0"/>
        <w:adjustRightInd/>
        <w:snapToGrid/>
        <w:spacing w:line="560" w:lineRule="exact"/>
        <w:ind w:left="0" w:right="0" w:firstLine="620" w:firstLineChars="200"/>
        <w:textAlignment w:val="auto"/>
        <w:rPr>
          <w:rFonts w:ascii="仿宋_GB2312" w:hAnsi="仿宋_GB2312" w:eastAsia="仿宋_GB2312" w:cs="仿宋_GB2312"/>
          <w:i w:val="0"/>
          <w:iCs w:val="0"/>
          <w:caps w:val="0"/>
          <w:color w:val="auto"/>
          <w:spacing w:val="0"/>
          <w:sz w:val="31"/>
          <w:szCs w:val="31"/>
        </w:rPr>
      </w:pPr>
      <w:r>
        <w:rPr>
          <w:rFonts w:ascii="仿宋_GB2312" w:hAnsi="仿宋_GB2312" w:eastAsia="仿宋_GB2312" w:cs="仿宋_GB2312"/>
          <w:i w:val="0"/>
          <w:iCs w:val="0"/>
          <w:caps w:val="0"/>
          <w:color w:val="auto"/>
          <w:spacing w:val="0"/>
          <w:kern w:val="0"/>
          <w:sz w:val="31"/>
          <w:szCs w:val="31"/>
          <w:shd w:val="clear" w:fill="FFFFFF"/>
          <w:lang w:val="en-US" w:eastAsia="zh-CN" w:bidi="ar"/>
        </w:rPr>
        <w:t>19、农林水支出（类）目标价格补贴（款）棉花目标价格补贴（项）：支出决算数为0万元，与上年决算相比减少2,268.41万元，下降100%，主要原因是：</w:t>
      </w:r>
      <w:r>
        <w:rPr>
          <w:rFonts w:hint="eastAsia" w:ascii="仿宋_GB2312" w:hAnsi="仿宋_GB2312" w:eastAsia="仿宋_GB2312" w:cs="仿宋_GB2312"/>
          <w:i w:val="0"/>
          <w:iCs w:val="0"/>
          <w:caps w:val="0"/>
          <w:color w:val="auto"/>
          <w:spacing w:val="0"/>
          <w:kern w:val="0"/>
          <w:sz w:val="31"/>
          <w:szCs w:val="31"/>
          <w:shd w:val="clear" w:fill="FFFFFF"/>
          <w:lang w:val="en-US" w:eastAsia="zh-CN" w:bidi="ar"/>
        </w:rPr>
        <w:t>2024年</w:t>
      </w:r>
      <w:r>
        <w:rPr>
          <w:rFonts w:ascii="仿宋_GB2312" w:hAnsi="仿宋_GB2312" w:eastAsia="仿宋_GB2312" w:cs="仿宋_GB2312"/>
          <w:i w:val="0"/>
          <w:iCs w:val="0"/>
          <w:caps w:val="0"/>
          <w:color w:val="auto"/>
          <w:spacing w:val="0"/>
          <w:kern w:val="0"/>
          <w:sz w:val="31"/>
          <w:szCs w:val="31"/>
          <w:shd w:val="clear" w:fill="FFFFFF"/>
          <w:lang w:val="en-US" w:eastAsia="zh-CN" w:bidi="ar"/>
        </w:rPr>
        <w:t>棉花目标价格补贴</w:t>
      </w:r>
      <w:r>
        <w:rPr>
          <w:rFonts w:hint="eastAsia" w:ascii="仿宋_GB2312" w:hAnsi="仿宋_GB2312" w:eastAsia="仿宋_GB2312" w:cs="仿宋_GB2312"/>
          <w:i w:val="0"/>
          <w:iCs w:val="0"/>
          <w:caps w:val="0"/>
          <w:color w:val="auto"/>
          <w:spacing w:val="0"/>
          <w:kern w:val="0"/>
          <w:sz w:val="31"/>
          <w:szCs w:val="31"/>
          <w:shd w:val="clear" w:fill="FFFFFF"/>
          <w:lang w:val="en-US" w:eastAsia="zh-CN" w:bidi="ar"/>
        </w:rPr>
        <w:t>未通过财政大平台发放而</w:t>
      </w:r>
      <w:r>
        <w:rPr>
          <w:rFonts w:hint="eastAsia" w:ascii="仿宋_GB2312" w:eastAsia="仿宋_GB2312" w:cstheme="minorBidi"/>
          <w:b w:val="0"/>
          <w:color w:val="auto"/>
          <w:sz w:val="32"/>
          <w:szCs w:val="32"/>
          <w:lang w:val="en-US" w:eastAsia="zh-CN"/>
        </w:rPr>
        <w:t>通过</w:t>
      </w:r>
      <w:r>
        <w:rPr>
          <w:rFonts w:hint="eastAsia" w:ascii="仿宋_GB2312" w:hAnsi="仿宋_GB2312" w:eastAsia="仿宋_GB2312" w:cs="仿宋_GB2312"/>
          <w:i w:val="0"/>
          <w:iCs w:val="0"/>
          <w:caps w:val="0"/>
          <w:color w:val="auto"/>
          <w:spacing w:val="0"/>
          <w:kern w:val="0"/>
          <w:sz w:val="31"/>
          <w:szCs w:val="31"/>
          <w:shd w:val="clear" w:fill="FFFFFF"/>
          <w:lang w:val="en-US" w:eastAsia="zh-CN" w:bidi="ar"/>
        </w:rPr>
        <w:t>一卡通系统进行发放、相应经费减少。</w:t>
      </w:r>
    </w:p>
    <w:p>
      <w:pPr>
        <w:keepNext w:val="0"/>
        <w:keepLines w:val="0"/>
        <w:pageBreakBefore w:val="0"/>
        <w:widowControl w:val="0"/>
        <w:kinsoku/>
        <w:wordWrap/>
        <w:overflowPunct/>
        <w:topLinePunct w:val="0"/>
        <w:autoSpaceDE/>
        <w:autoSpaceDN/>
        <w:bidi w:val="0"/>
        <w:adjustRightInd/>
        <w:snapToGrid/>
        <w:spacing w:line="560" w:lineRule="exact"/>
        <w:ind w:left="0" w:right="0" w:firstLine="620" w:firstLineChars="200"/>
        <w:textAlignment w:val="auto"/>
        <w:rPr>
          <w:rFonts w:ascii="仿宋_GB2312" w:hAnsi="仿宋_GB2312" w:eastAsia="仿宋_GB2312" w:cs="仿宋_GB2312"/>
          <w:i w:val="0"/>
          <w:iCs w:val="0"/>
          <w:caps w:val="0"/>
          <w:color w:val="auto"/>
          <w:spacing w:val="0"/>
          <w:sz w:val="31"/>
          <w:szCs w:val="31"/>
        </w:rPr>
      </w:pPr>
      <w:r>
        <w:rPr>
          <w:rFonts w:ascii="仿宋_GB2312" w:hAnsi="仿宋_GB2312" w:eastAsia="仿宋_GB2312" w:cs="仿宋_GB2312"/>
          <w:i w:val="0"/>
          <w:iCs w:val="0"/>
          <w:caps w:val="0"/>
          <w:color w:val="auto"/>
          <w:spacing w:val="0"/>
          <w:kern w:val="0"/>
          <w:sz w:val="31"/>
          <w:szCs w:val="31"/>
          <w:shd w:val="clear" w:fill="FFFFFF"/>
          <w:lang w:val="en-US" w:eastAsia="zh-CN" w:bidi="ar"/>
        </w:rPr>
        <w:t>20、住房保障支出（类）住房改革支出（款）住房公积金（项）：支出决算数为111.96万元，与上年决算相比增加24.27万元，增长27.68%，主要原因是：</w:t>
      </w:r>
      <w:r>
        <w:rPr>
          <w:rFonts w:hint="eastAsia" w:ascii="仿宋_GB2312" w:hAnsi="仿宋_GB2312" w:eastAsia="仿宋_GB2312" w:cs="仿宋_GB2312"/>
          <w:i w:val="0"/>
          <w:iCs w:val="0"/>
          <w:caps w:val="0"/>
          <w:color w:val="auto"/>
          <w:spacing w:val="0"/>
          <w:kern w:val="0"/>
          <w:sz w:val="31"/>
          <w:szCs w:val="31"/>
          <w:shd w:val="clear" w:fill="FFFFFF"/>
          <w:lang w:val="en-US" w:eastAsia="zh-CN" w:bidi="ar"/>
        </w:rPr>
        <w:t>在职人员住房公积金基数调整原因比上年决算增加</w:t>
      </w:r>
      <w:r>
        <w:rPr>
          <w:rFonts w:hint="eastAsia" w:ascii="仿宋_GB2312" w:hAnsi="仿宋_GB2312" w:eastAsia="仿宋_GB2312" w:cs="仿宋_GB2312"/>
          <w:i w:val="0"/>
          <w:iCs w:val="0"/>
          <w:caps w:val="0"/>
          <w:color w:val="auto"/>
          <w:spacing w:val="0"/>
          <w:kern w:val="0"/>
          <w:sz w:val="31"/>
          <w:szCs w:val="31"/>
          <w:shd w:val="clear" w:fill="FFFFFF"/>
          <w:lang w:val="zh-CN" w:eastAsia="zh-CN" w:bidi="ar"/>
        </w:rPr>
        <w:t>。</w:t>
      </w:r>
    </w:p>
    <w:p>
      <w:pPr>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overflowPunct/>
        <w:topLinePunct w:val="0"/>
        <w:autoSpaceDE/>
        <w:autoSpaceDN/>
        <w:bidi w:val="0"/>
        <w:adjustRightInd/>
        <w:snapToGrid/>
        <w:spacing w:before="0" w:beforeAutospacing="0" w:line="560" w:lineRule="exact"/>
        <w:ind w:left="0" w:right="0" w:firstLine="620" w:firstLineChars="200"/>
        <w:jc w:val="left"/>
        <w:textAlignment w:val="auto"/>
        <w:rPr>
          <w:rFonts w:ascii="仿宋_GB2312" w:hAnsi="仿宋_GB2312" w:eastAsia="仿宋_GB2312" w:cs="仿宋_GB2312"/>
          <w:i w:val="0"/>
          <w:iCs w:val="0"/>
          <w:caps w:val="0"/>
          <w:color w:val="auto"/>
          <w:spacing w:val="0"/>
          <w:kern w:val="0"/>
          <w:sz w:val="31"/>
          <w:szCs w:val="31"/>
          <w:shd w:val="clear" w:fill="FFFFFF"/>
          <w:lang w:val="en-US" w:eastAsia="zh-CN" w:bidi="ar"/>
        </w:rPr>
      </w:pPr>
      <w:r>
        <w:rPr>
          <w:rFonts w:ascii="仿宋_GB2312" w:hAnsi="仿宋_GB2312" w:eastAsia="仿宋_GB2312" w:cs="仿宋_GB2312"/>
          <w:i w:val="0"/>
          <w:iCs w:val="0"/>
          <w:caps w:val="0"/>
          <w:color w:val="auto"/>
          <w:spacing w:val="0"/>
          <w:kern w:val="0"/>
          <w:sz w:val="31"/>
          <w:szCs w:val="31"/>
          <w:shd w:val="clear" w:fill="FFFFFF"/>
          <w:lang w:val="en-US" w:eastAsia="zh-CN" w:bidi="ar"/>
        </w:rPr>
        <w:t>21、其他支出（类）其他支出（款）其他支出（项）：支出决算数为32.86万元，与上年决算相比减少317.34万元，下降90.62%，主要原因是：</w:t>
      </w:r>
      <w:r>
        <w:rPr>
          <w:rFonts w:hint="eastAsia" w:ascii="仿宋_GB2312" w:hAnsi="仿宋_GB2312" w:eastAsia="仿宋_GB2312" w:cs="仿宋_GB2312"/>
          <w:i w:val="0"/>
          <w:iCs w:val="0"/>
          <w:caps w:val="0"/>
          <w:color w:val="auto"/>
          <w:spacing w:val="0"/>
          <w:kern w:val="0"/>
          <w:sz w:val="31"/>
          <w:szCs w:val="31"/>
          <w:shd w:val="clear" w:fill="FFFFFF"/>
          <w:lang w:val="en-US" w:eastAsia="zh-CN" w:bidi="ar"/>
        </w:rPr>
        <w:t>2024年项目减少，因此相应其他支出减少。</w:t>
      </w:r>
    </w:p>
    <w:p>
      <w:pPr>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val="0"/>
        <w:overflowPunct/>
        <w:topLinePunct w:val="0"/>
        <w:autoSpaceDE/>
        <w:autoSpaceDN/>
        <w:bidi w:val="0"/>
        <w:adjustRightInd/>
        <w:snapToGrid/>
        <w:spacing w:before="0" w:beforeAutospacing="0" w:line="560" w:lineRule="exact"/>
        <w:ind w:left="0" w:right="0"/>
        <w:jc w:val="left"/>
        <w:textAlignment w:val="auto"/>
        <w:rPr>
          <w:rFonts w:ascii="黑体" w:hAnsi="宋体" w:eastAsia="黑体" w:cs="黑体"/>
          <w:i w:val="0"/>
          <w:iCs w:val="0"/>
          <w:caps w:val="0"/>
          <w:color w:val="auto"/>
          <w:spacing w:val="0"/>
          <w:sz w:val="31"/>
          <w:szCs w:val="31"/>
        </w:rPr>
      </w:pPr>
      <w:r>
        <w:rPr>
          <w:rFonts w:ascii="黑体" w:hAnsi="宋体" w:eastAsia="黑体" w:cs="黑体"/>
          <w:i w:val="0"/>
          <w:iCs w:val="0"/>
          <w:caps w:val="0"/>
          <w:color w:val="auto"/>
          <w:spacing w:val="0"/>
          <w:kern w:val="0"/>
          <w:sz w:val="31"/>
          <w:szCs w:val="31"/>
          <w:shd w:val="clear" w:fill="FFFFFF"/>
          <w:lang w:val="en-US" w:eastAsia="zh-CN" w:bidi="ar"/>
        </w:rPr>
        <w:t>六、一般公共预算财政拨款基本支出决算情况说明</w:t>
      </w:r>
    </w:p>
    <w:p>
      <w:pPr>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val="0"/>
        <w:overflowPunct/>
        <w:topLinePunct w:val="0"/>
        <w:autoSpaceDE/>
        <w:autoSpaceDN/>
        <w:bidi w:val="0"/>
        <w:adjustRightInd/>
        <w:snapToGrid/>
        <w:spacing w:before="0" w:beforeAutospacing="0" w:line="560" w:lineRule="exact"/>
        <w:ind w:left="0" w:right="0" w:firstLine="620" w:firstLineChars="200"/>
        <w:jc w:val="both"/>
        <w:textAlignment w:val="auto"/>
        <w:rPr>
          <w:rFonts w:ascii="仿宋_GB2312" w:hAnsi="仿宋_GB2312" w:eastAsia="仿宋_GB2312" w:cs="仿宋_GB2312"/>
          <w:i w:val="0"/>
          <w:iCs w:val="0"/>
          <w:caps w:val="0"/>
          <w:color w:val="auto"/>
          <w:spacing w:val="0"/>
          <w:sz w:val="31"/>
          <w:szCs w:val="31"/>
        </w:rPr>
      </w:pPr>
      <w:r>
        <w:rPr>
          <w:rFonts w:ascii="仿宋_GB2312" w:hAnsi="仿宋_GB2312" w:eastAsia="仿宋_GB2312" w:cs="仿宋_GB2312"/>
          <w:i w:val="0"/>
          <w:iCs w:val="0"/>
          <w:caps w:val="0"/>
          <w:color w:val="auto"/>
          <w:spacing w:val="0"/>
          <w:kern w:val="0"/>
          <w:sz w:val="31"/>
          <w:szCs w:val="31"/>
          <w:shd w:val="clear" w:fill="FFFFFF"/>
          <w:lang w:val="en-US" w:eastAsia="zh-CN" w:bidi="ar"/>
        </w:rPr>
        <w:t>2024年度一般公共预算财政拨款基本支出2,656.36万元，其中：人员经费1,689.5万元，包括：基本工资、津贴补贴、奖金、机关事业单位基本养老保险缴费、职业年金缴费、职工基本医疗保险缴费、公务员医疗补助缴费、其他社会保障缴费、住房公积金、医疗费、其他工资福利支出、退休费、抚恤金、生活补助和救济费。</w:t>
      </w:r>
    </w:p>
    <w:p>
      <w:pPr>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val="0"/>
        <w:overflowPunct/>
        <w:topLinePunct w:val="0"/>
        <w:autoSpaceDE/>
        <w:autoSpaceDN/>
        <w:bidi w:val="0"/>
        <w:adjustRightInd/>
        <w:snapToGrid/>
        <w:spacing w:before="0" w:beforeAutospacing="0" w:line="560" w:lineRule="exact"/>
        <w:ind w:left="0" w:right="0" w:firstLine="620" w:firstLineChars="200"/>
        <w:jc w:val="both"/>
        <w:textAlignment w:val="auto"/>
        <w:rPr>
          <w:rFonts w:ascii="仿宋_GB2312" w:hAnsi="仿宋_GB2312" w:eastAsia="仿宋_GB2312" w:cs="仿宋_GB2312"/>
          <w:i w:val="0"/>
          <w:iCs w:val="0"/>
          <w:caps w:val="0"/>
          <w:color w:val="auto"/>
          <w:spacing w:val="0"/>
          <w:sz w:val="31"/>
          <w:szCs w:val="31"/>
        </w:rPr>
      </w:pPr>
      <w:r>
        <w:rPr>
          <w:rFonts w:ascii="仿宋_GB2312" w:hAnsi="仿宋_GB2312" w:eastAsia="仿宋_GB2312" w:cs="仿宋_GB2312"/>
          <w:i w:val="0"/>
          <w:iCs w:val="0"/>
          <w:caps w:val="0"/>
          <w:color w:val="auto"/>
          <w:spacing w:val="0"/>
          <w:kern w:val="0"/>
          <w:sz w:val="31"/>
          <w:szCs w:val="31"/>
          <w:shd w:val="clear" w:fill="FFFFFF"/>
          <w:lang w:val="en-US" w:eastAsia="zh-CN" w:bidi="ar"/>
        </w:rPr>
        <w:t>公用经费966.86万元，包括：办公费、印刷费、水费、电费、邮电费、取暖费、维修（护）费、租赁费、培训费、劳务费、工会经费、福利费、公务用车运行维护费、其他商品和服务支出和办公设备购置。</w:t>
      </w:r>
    </w:p>
    <w:p>
      <w:pPr>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val="0"/>
        <w:overflowPunct/>
        <w:topLinePunct w:val="0"/>
        <w:autoSpaceDE/>
        <w:autoSpaceDN/>
        <w:bidi w:val="0"/>
        <w:adjustRightInd/>
        <w:snapToGrid/>
        <w:spacing w:before="0" w:beforeAutospacing="0" w:line="560" w:lineRule="exact"/>
        <w:ind w:left="0" w:right="0"/>
        <w:jc w:val="left"/>
        <w:textAlignment w:val="auto"/>
        <w:rPr>
          <w:rFonts w:ascii="黑体" w:hAnsi="宋体" w:eastAsia="黑体" w:cs="黑体"/>
          <w:i w:val="0"/>
          <w:iCs w:val="0"/>
          <w:caps w:val="0"/>
          <w:color w:val="auto"/>
          <w:spacing w:val="0"/>
          <w:sz w:val="31"/>
          <w:szCs w:val="31"/>
        </w:rPr>
      </w:pPr>
      <w:r>
        <w:rPr>
          <w:rFonts w:ascii="黑体" w:hAnsi="宋体" w:eastAsia="黑体" w:cs="黑体"/>
          <w:i w:val="0"/>
          <w:iCs w:val="0"/>
          <w:caps w:val="0"/>
          <w:color w:val="auto"/>
          <w:spacing w:val="0"/>
          <w:kern w:val="0"/>
          <w:sz w:val="31"/>
          <w:szCs w:val="31"/>
          <w:shd w:val="clear" w:fill="FFFFFF"/>
          <w:lang w:val="en-US" w:eastAsia="zh-CN" w:bidi="ar"/>
        </w:rPr>
        <w:t>七、政府性基金预算财政拨款收入支出决算情况说明​如不公开此处内容请勾选此按钮​</w:t>
      </w:r>
    </w:p>
    <w:p>
      <w:pPr>
        <w:keepNext w:val="0"/>
        <w:keepLines w:val="0"/>
        <w:pageBreakBefore w:val="0"/>
        <w:widowControl w:val="0"/>
        <w:suppressLineNumbers w:val="0"/>
        <w:pBdr>
          <w:top w:val="none" w:color="auto" w:sz="0" w:space="0"/>
          <w:left w:val="none" w:color="auto" w:sz="0" w:space="0"/>
          <w:bottom w:val="none" w:color="auto" w:sz="0" w:space="0"/>
          <w:right w:val="none" w:color="auto" w:sz="0" w:space="0"/>
        </w:pBdr>
        <w:shd w:val="clear" w:fill="FFFFFF"/>
        <w:kinsoku/>
        <w:wordWrap w:val="0"/>
        <w:overflowPunct/>
        <w:topLinePunct w:val="0"/>
        <w:autoSpaceDE/>
        <w:autoSpaceDN/>
        <w:bidi w:val="0"/>
        <w:adjustRightInd/>
        <w:snapToGrid/>
        <w:spacing w:before="0" w:beforeAutospacing="0" w:line="560" w:lineRule="exact"/>
        <w:ind w:left="0" w:right="0" w:firstLine="620" w:firstLineChars="200"/>
        <w:jc w:val="both"/>
        <w:textAlignment w:val="auto"/>
        <w:rPr>
          <w:rFonts w:ascii="仿宋_GB2312" w:hAnsi="仿宋_GB2312" w:eastAsia="仿宋_GB2312" w:cs="仿宋_GB2312"/>
          <w:i w:val="0"/>
          <w:iCs w:val="0"/>
          <w:caps w:val="0"/>
          <w:color w:val="auto"/>
          <w:spacing w:val="0"/>
          <w:sz w:val="31"/>
          <w:szCs w:val="31"/>
        </w:rPr>
      </w:pPr>
      <w:r>
        <w:rPr>
          <w:rFonts w:ascii="仿宋_GB2312" w:hAnsi="仿宋_GB2312" w:eastAsia="仿宋_GB2312" w:cs="仿宋_GB2312"/>
          <w:i w:val="0"/>
          <w:iCs w:val="0"/>
          <w:caps w:val="0"/>
          <w:color w:val="auto"/>
          <w:spacing w:val="0"/>
          <w:kern w:val="0"/>
          <w:sz w:val="31"/>
          <w:szCs w:val="31"/>
          <w:shd w:val="clear" w:fill="FFFFFF"/>
          <w:lang w:val="en-US" w:eastAsia="zh-CN" w:bidi="ar"/>
        </w:rPr>
        <w:t>2024年度政府性基金预算财政拨款收入总计343.9万元，其中：年初结转和结余0万元，本年收入343.9万元。政府性基金预算财政拨款支出总计343.9万元，其中：年末结转和结余0万元，本年支出343.9万元。</w:t>
      </w:r>
    </w:p>
    <w:p>
      <w:pPr>
        <w:keepNext w:val="0"/>
        <w:keepLines w:val="0"/>
        <w:pageBreakBefore w:val="0"/>
        <w:widowControl w:val="0"/>
        <w:suppressLineNumbers w:val="0"/>
        <w:pBdr>
          <w:top w:val="none" w:color="auto" w:sz="0" w:space="0"/>
          <w:left w:val="none" w:color="auto" w:sz="0" w:space="0"/>
          <w:bottom w:val="none" w:color="auto" w:sz="0" w:space="0"/>
          <w:right w:val="none" w:color="auto" w:sz="0" w:space="0"/>
        </w:pBdr>
        <w:shd w:val="clear" w:fill="FFFFFF"/>
        <w:kinsoku/>
        <w:wordWrap w:val="0"/>
        <w:overflowPunct/>
        <w:topLinePunct w:val="0"/>
        <w:autoSpaceDE/>
        <w:autoSpaceDN/>
        <w:bidi w:val="0"/>
        <w:adjustRightInd/>
        <w:snapToGrid/>
        <w:spacing w:before="0" w:beforeAutospacing="0" w:line="560" w:lineRule="exact"/>
        <w:ind w:left="0" w:right="0" w:firstLine="620" w:firstLineChars="200"/>
        <w:jc w:val="both"/>
        <w:textAlignment w:val="auto"/>
        <w:rPr>
          <w:rFonts w:ascii="仿宋_GB2312" w:hAnsi="仿宋_GB2312" w:eastAsia="仿宋_GB2312" w:cs="仿宋_GB2312"/>
          <w:i w:val="0"/>
          <w:iCs w:val="0"/>
          <w:caps w:val="0"/>
          <w:color w:val="auto"/>
          <w:spacing w:val="0"/>
          <w:kern w:val="0"/>
          <w:sz w:val="31"/>
          <w:szCs w:val="31"/>
          <w:shd w:val="clear" w:fill="FFFFFF"/>
          <w:lang w:val="en-US" w:eastAsia="zh-CN" w:bidi="ar"/>
        </w:rPr>
      </w:pPr>
      <w:r>
        <w:rPr>
          <w:rFonts w:ascii="仿宋_GB2312" w:hAnsi="仿宋_GB2312" w:eastAsia="仿宋_GB2312" w:cs="仿宋_GB2312"/>
          <w:i w:val="0"/>
          <w:iCs w:val="0"/>
          <w:caps w:val="0"/>
          <w:color w:val="auto"/>
          <w:spacing w:val="0"/>
          <w:kern w:val="0"/>
          <w:sz w:val="31"/>
          <w:szCs w:val="31"/>
          <w:shd w:val="clear" w:fill="FFFFFF"/>
          <w:lang w:val="en-US" w:eastAsia="zh-CN" w:bidi="ar"/>
        </w:rPr>
        <w:t>政府性基金预算财政拨款收入支出总体与上年相比，增加343.9万元，增长100%，主要原因是：</w:t>
      </w:r>
      <w:r>
        <w:rPr>
          <w:rFonts w:hint="default" w:ascii="仿宋_GB2312" w:hAnsi="仿宋_GB2312" w:eastAsia="仿宋_GB2312" w:cs="仿宋_GB2312"/>
          <w:i w:val="0"/>
          <w:iCs w:val="0"/>
          <w:caps w:val="0"/>
          <w:color w:val="auto"/>
          <w:spacing w:val="0"/>
          <w:kern w:val="0"/>
          <w:sz w:val="31"/>
          <w:szCs w:val="31"/>
          <w:shd w:val="clear" w:fill="FFFFFF"/>
          <w:lang w:val="en-US" w:eastAsia="zh-CN" w:bidi="ar"/>
        </w:rPr>
        <w:t>2024年</w:t>
      </w:r>
      <w:r>
        <w:rPr>
          <w:rFonts w:hint="eastAsia" w:ascii="仿宋_GB2312" w:hAnsi="仿宋_GB2312" w:eastAsia="仿宋_GB2312" w:cs="仿宋_GB2312"/>
          <w:i w:val="0"/>
          <w:iCs w:val="0"/>
          <w:caps w:val="0"/>
          <w:color w:val="auto"/>
          <w:spacing w:val="0"/>
          <w:kern w:val="0"/>
          <w:sz w:val="31"/>
          <w:szCs w:val="31"/>
          <w:shd w:val="clear" w:fill="FFFFFF"/>
          <w:lang w:val="en-US" w:eastAsia="zh-CN" w:bidi="ar"/>
        </w:rPr>
        <w:t>拨付相关政府性基金增加相应开支、其</w:t>
      </w:r>
      <w:r>
        <w:rPr>
          <w:rFonts w:hint="default" w:ascii="仿宋_GB2312" w:hAnsi="仿宋_GB2312" w:eastAsia="仿宋_GB2312" w:cs="仿宋_GB2312"/>
          <w:i w:val="0"/>
          <w:iCs w:val="0"/>
          <w:caps w:val="0"/>
          <w:color w:val="auto"/>
          <w:spacing w:val="0"/>
          <w:kern w:val="0"/>
          <w:sz w:val="31"/>
          <w:szCs w:val="31"/>
          <w:shd w:val="clear" w:fill="FFFFFF"/>
          <w:lang w:val="en-US" w:eastAsia="zh-CN" w:bidi="ar"/>
        </w:rPr>
        <w:t>塔里木河干流生态综合治理项目资金</w:t>
      </w:r>
      <w:r>
        <w:rPr>
          <w:rFonts w:hint="eastAsia" w:ascii="仿宋_GB2312" w:hAnsi="仿宋_GB2312" w:eastAsia="仿宋_GB2312" w:cs="仿宋_GB2312"/>
          <w:i w:val="0"/>
          <w:iCs w:val="0"/>
          <w:caps w:val="0"/>
          <w:color w:val="auto"/>
          <w:spacing w:val="0"/>
          <w:kern w:val="0"/>
          <w:sz w:val="31"/>
          <w:szCs w:val="31"/>
          <w:shd w:val="clear" w:fill="FFFFFF"/>
          <w:lang w:val="en-US" w:eastAsia="zh-CN" w:bidi="ar"/>
        </w:rPr>
        <w:t>、国有土地使用权出让收入、征地和拆迁补偿支出、2021年第三批新疆专项中央建设投资专项资金、2022新疆专项{第一批}中央基建设投资资金、2022年新疆专项[第二批]中央基建投资资金等</w:t>
      </w:r>
      <w:r>
        <w:rPr>
          <w:rFonts w:ascii="仿宋_GB2312" w:hAnsi="仿宋_GB2312" w:eastAsia="仿宋_GB2312" w:cs="仿宋_GB2312"/>
          <w:i w:val="0"/>
          <w:iCs w:val="0"/>
          <w:caps w:val="0"/>
          <w:color w:val="auto"/>
          <w:spacing w:val="0"/>
          <w:kern w:val="0"/>
          <w:sz w:val="31"/>
          <w:szCs w:val="31"/>
          <w:shd w:val="clear" w:fill="FFFFFF"/>
          <w:lang w:val="en-US" w:eastAsia="zh-CN" w:bidi="ar"/>
        </w:rPr>
        <w:t>。与年初预算相比，年初预算数0万元，决算数343.9万元，预决算差异率100</w:t>
      </w:r>
      <w:r>
        <w:rPr>
          <w:rFonts w:hint="eastAsia" w:ascii="仿宋_GB2312" w:hAnsi="仿宋_GB2312" w:eastAsia="仿宋_GB2312" w:cs="仿宋_GB2312"/>
          <w:i w:val="0"/>
          <w:iCs w:val="0"/>
          <w:caps w:val="0"/>
          <w:color w:val="auto"/>
          <w:spacing w:val="0"/>
          <w:kern w:val="0"/>
          <w:sz w:val="31"/>
          <w:szCs w:val="31"/>
          <w:shd w:val="clear" w:fill="FFFFFF"/>
          <w:lang w:val="en-US" w:eastAsia="zh-CN" w:bidi="ar"/>
        </w:rPr>
        <w:t xml:space="preserve"> </w:t>
      </w:r>
      <w:r>
        <w:rPr>
          <w:rFonts w:ascii="仿宋_GB2312" w:hAnsi="仿宋_GB2312" w:eastAsia="仿宋_GB2312" w:cs="仿宋_GB2312"/>
          <w:i w:val="0"/>
          <w:iCs w:val="0"/>
          <w:caps w:val="0"/>
          <w:color w:val="auto"/>
          <w:spacing w:val="0"/>
          <w:kern w:val="0"/>
          <w:sz w:val="31"/>
          <w:szCs w:val="31"/>
          <w:shd w:val="clear" w:fill="FFFFFF"/>
          <w:lang w:val="en-US" w:eastAsia="zh-CN" w:bidi="ar"/>
        </w:rPr>
        <w:t>%，主要原因是：</w:t>
      </w:r>
      <w:r>
        <w:rPr>
          <w:rFonts w:hint="default" w:ascii="仿宋_GB2312" w:hAnsi="仿宋_GB2312" w:eastAsia="仿宋_GB2312" w:cs="仿宋_GB2312"/>
          <w:i w:val="0"/>
          <w:iCs w:val="0"/>
          <w:caps w:val="0"/>
          <w:color w:val="auto"/>
          <w:spacing w:val="0"/>
          <w:kern w:val="0"/>
          <w:sz w:val="31"/>
          <w:szCs w:val="31"/>
          <w:shd w:val="clear" w:fill="FFFFFF"/>
          <w:lang w:val="en-US" w:eastAsia="zh-CN" w:bidi="ar"/>
        </w:rPr>
        <w:t>2024年</w:t>
      </w:r>
      <w:r>
        <w:rPr>
          <w:rFonts w:hint="eastAsia" w:ascii="仿宋_GB2312" w:hAnsi="仿宋_GB2312" w:eastAsia="仿宋_GB2312" w:cs="仿宋_GB2312"/>
          <w:i w:val="0"/>
          <w:iCs w:val="0"/>
          <w:caps w:val="0"/>
          <w:color w:val="auto"/>
          <w:spacing w:val="0"/>
          <w:kern w:val="0"/>
          <w:sz w:val="31"/>
          <w:szCs w:val="31"/>
          <w:shd w:val="clear" w:fill="FFFFFF"/>
          <w:lang w:val="en-US" w:eastAsia="zh-CN" w:bidi="ar"/>
        </w:rPr>
        <w:t>拨付相关政府性基金增加相应开支、其</w:t>
      </w:r>
      <w:r>
        <w:rPr>
          <w:rFonts w:hint="default" w:ascii="仿宋_GB2312" w:hAnsi="仿宋_GB2312" w:eastAsia="仿宋_GB2312" w:cs="仿宋_GB2312"/>
          <w:i w:val="0"/>
          <w:iCs w:val="0"/>
          <w:caps w:val="0"/>
          <w:color w:val="auto"/>
          <w:spacing w:val="0"/>
          <w:kern w:val="0"/>
          <w:sz w:val="31"/>
          <w:szCs w:val="31"/>
          <w:shd w:val="clear" w:fill="FFFFFF"/>
          <w:lang w:val="en-US" w:eastAsia="zh-CN" w:bidi="ar"/>
        </w:rPr>
        <w:t>塔里木河干流生态综合治理项目资金</w:t>
      </w:r>
      <w:r>
        <w:rPr>
          <w:rFonts w:hint="eastAsia" w:ascii="仿宋_GB2312" w:hAnsi="仿宋_GB2312" w:eastAsia="仿宋_GB2312" w:cs="仿宋_GB2312"/>
          <w:i w:val="0"/>
          <w:iCs w:val="0"/>
          <w:caps w:val="0"/>
          <w:color w:val="auto"/>
          <w:spacing w:val="0"/>
          <w:kern w:val="0"/>
          <w:sz w:val="31"/>
          <w:szCs w:val="31"/>
          <w:shd w:val="clear" w:fill="FFFFFF"/>
          <w:lang w:val="en-US" w:eastAsia="zh-CN" w:bidi="ar"/>
        </w:rPr>
        <w:t>、国有土地使用权出让收入、征地和拆迁补偿支出、2021年第三批新疆专项中央建设投资专项资金、2022新疆专项{第一批}中央基建设投资资金、2022年新疆专项[第二批]中央基建投资资金等</w:t>
      </w:r>
      <w:r>
        <w:rPr>
          <w:rFonts w:ascii="仿宋_GB2312" w:hAnsi="仿宋_GB2312" w:eastAsia="仿宋_GB2312" w:cs="仿宋_GB2312"/>
          <w:i w:val="0"/>
          <w:iCs w:val="0"/>
          <w:caps w:val="0"/>
          <w:color w:val="auto"/>
          <w:spacing w:val="0"/>
          <w:kern w:val="0"/>
          <w:sz w:val="31"/>
          <w:szCs w:val="31"/>
          <w:shd w:val="clear" w:fill="FFFFFF"/>
          <w:lang w:val="en-US" w:eastAsia="zh-CN" w:bidi="ar"/>
        </w:rPr>
        <w:t>。</w:t>
      </w:r>
    </w:p>
    <w:p>
      <w:pPr>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val="0"/>
        <w:overflowPunct/>
        <w:topLinePunct w:val="0"/>
        <w:autoSpaceDE/>
        <w:autoSpaceDN/>
        <w:bidi w:val="0"/>
        <w:adjustRightInd/>
        <w:snapToGrid/>
        <w:spacing w:before="0" w:beforeAutospacing="0" w:line="560" w:lineRule="exact"/>
        <w:ind w:left="0" w:right="0" w:firstLine="620" w:firstLineChars="200"/>
        <w:jc w:val="both"/>
        <w:textAlignment w:val="auto"/>
        <w:rPr>
          <w:rFonts w:ascii="仿宋_GB2312" w:hAnsi="仿宋_GB2312" w:eastAsia="仿宋_GB2312" w:cs="仿宋_GB2312"/>
          <w:i w:val="0"/>
          <w:iCs w:val="0"/>
          <w:caps w:val="0"/>
          <w:color w:val="auto"/>
          <w:spacing w:val="0"/>
          <w:sz w:val="31"/>
          <w:szCs w:val="31"/>
        </w:rPr>
      </w:pPr>
      <w:r>
        <w:rPr>
          <w:rFonts w:ascii="仿宋_GB2312" w:hAnsi="仿宋_GB2312" w:eastAsia="仿宋_GB2312" w:cs="仿宋_GB2312"/>
          <w:i w:val="0"/>
          <w:iCs w:val="0"/>
          <w:caps w:val="0"/>
          <w:color w:val="auto"/>
          <w:spacing w:val="0"/>
          <w:kern w:val="0"/>
          <w:sz w:val="31"/>
          <w:szCs w:val="31"/>
          <w:shd w:val="clear" w:fill="FFFFFF"/>
          <w:lang w:val="en-US" w:eastAsia="zh-CN" w:bidi="ar"/>
        </w:rPr>
        <w:t>政府性基金预算财政拨款支出343.9万元。</w:t>
      </w:r>
    </w:p>
    <w:p>
      <w:pPr>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overflowPunct/>
        <w:topLinePunct w:val="0"/>
        <w:autoSpaceDE/>
        <w:autoSpaceDN/>
        <w:bidi w:val="0"/>
        <w:adjustRightInd/>
        <w:snapToGrid/>
        <w:spacing w:before="0" w:beforeAutospacing="0" w:line="560" w:lineRule="exact"/>
        <w:ind w:left="0" w:right="0" w:firstLine="620" w:firstLineChars="200"/>
        <w:jc w:val="left"/>
        <w:textAlignment w:val="auto"/>
        <w:rPr>
          <w:rFonts w:ascii="仿宋_GB2312" w:hAnsi="仿宋_GB2312" w:eastAsia="仿宋_GB2312" w:cs="仿宋_GB2312"/>
          <w:i w:val="0"/>
          <w:iCs w:val="0"/>
          <w:caps w:val="0"/>
          <w:color w:val="auto"/>
          <w:spacing w:val="0"/>
          <w:sz w:val="31"/>
          <w:szCs w:val="31"/>
        </w:rPr>
      </w:pPr>
      <w:r>
        <w:rPr>
          <w:rFonts w:ascii="仿宋_GB2312" w:hAnsi="仿宋_GB2312" w:eastAsia="仿宋_GB2312" w:cs="仿宋_GB2312"/>
          <w:i w:val="0"/>
          <w:iCs w:val="0"/>
          <w:caps w:val="0"/>
          <w:color w:val="auto"/>
          <w:spacing w:val="0"/>
          <w:kern w:val="0"/>
          <w:sz w:val="31"/>
          <w:szCs w:val="31"/>
          <w:shd w:val="clear" w:fill="FFFFFF"/>
          <w:lang w:val="en-US" w:eastAsia="zh-CN" w:bidi="ar"/>
        </w:rPr>
        <w:t>1、节能环保支出（类）超长期特别国债安排的支出（款）“三北”工程建设（项）：支出决算数为2.3万元，与上年决算相比增加2.3万元，增长100%，主要原因是：</w:t>
      </w:r>
      <w:r>
        <w:rPr>
          <w:rFonts w:hint="default" w:ascii="仿宋_GB2312" w:hAnsi="仿宋_GB2312" w:eastAsia="仿宋_GB2312" w:cs="仿宋_GB2312"/>
          <w:i w:val="0"/>
          <w:iCs w:val="0"/>
          <w:caps w:val="0"/>
          <w:color w:val="auto"/>
          <w:spacing w:val="0"/>
          <w:kern w:val="0"/>
          <w:sz w:val="31"/>
          <w:szCs w:val="31"/>
          <w:shd w:val="clear" w:fill="FFFFFF"/>
          <w:lang w:val="en-US" w:eastAsia="zh-CN" w:bidi="ar"/>
        </w:rPr>
        <w:t>2024年</w:t>
      </w:r>
      <w:r>
        <w:rPr>
          <w:rFonts w:hint="eastAsia" w:ascii="仿宋_GB2312" w:hAnsi="仿宋_GB2312" w:eastAsia="仿宋_GB2312" w:cs="仿宋_GB2312"/>
          <w:i w:val="0"/>
          <w:iCs w:val="0"/>
          <w:caps w:val="0"/>
          <w:color w:val="auto"/>
          <w:spacing w:val="0"/>
          <w:kern w:val="0"/>
          <w:sz w:val="31"/>
          <w:szCs w:val="31"/>
          <w:shd w:val="clear" w:fill="FFFFFF"/>
          <w:lang w:val="en-US" w:eastAsia="zh-CN" w:bidi="ar"/>
        </w:rPr>
        <w:t>拨付</w:t>
      </w:r>
      <w:r>
        <w:rPr>
          <w:rFonts w:hint="default" w:ascii="仿宋_GB2312" w:hAnsi="仿宋_GB2312" w:eastAsia="仿宋_GB2312" w:cs="仿宋_GB2312"/>
          <w:i w:val="0"/>
          <w:iCs w:val="0"/>
          <w:caps w:val="0"/>
          <w:color w:val="auto"/>
          <w:spacing w:val="0"/>
          <w:kern w:val="0"/>
          <w:sz w:val="31"/>
          <w:szCs w:val="31"/>
          <w:shd w:val="clear" w:fill="FFFFFF"/>
          <w:lang w:val="en-US" w:eastAsia="zh-CN" w:bidi="ar"/>
        </w:rPr>
        <w:t>塔里木河干流生态综合治理项目资金</w:t>
      </w:r>
      <w:r>
        <w:rPr>
          <w:rFonts w:hint="eastAsia" w:ascii="仿宋_GB2312" w:hAnsi="仿宋_GB2312" w:eastAsia="仿宋_GB2312" w:cs="仿宋_GB2312"/>
          <w:i w:val="0"/>
          <w:iCs w:val="0"/>
          <w:caps w:val="0"/>
          <w:color w:val="auto"/>
          <w:spacing w:val="0"/>
          <w:kern w:val="0"/>
          <w:sz w:val="31"/>
          <w:szCs w:val="31"/>
          <w:shd w:val="clear" w:fill="FFFFFF"/>
          <w:lang w:val="en-US" w:eastAsia="zh-CN" w:bidi="ar"/>
        </w:rPr>
        <w:t>相应经费增加。</w:t>
      </w:r>
    </w:p>
    <w:p>
      <w:pPr>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line="560" w:lineRule="exact"/>
        <w:ind w:left="0" w:right="0" w:firstLine="620" w:firstLineChars="200"/>
        <w:jc w:val="left"/>
        <w:textAlignment w:val="auto"/>
        <w:rPr>
          <w:rFonts w:hint="default" w:ascii="仿宋_GB2312" w:hAnsi="仿宋_GB2312" w:eastAsia="仿宋_GB2312" w:cs="仿宋_GB2312"/>
          <w:i w:val="0"/>
          <w:iCs w:val="0"/>
          <w:caps w:val="0"/>
          <w:color w:val="auto"/>
          <w:spacing w:val="0"/>
          <w:sz w:val="31"/>
          <w:szCs w:val="31"/>
          <w:lang w:val="en-US"/>
        </w:rPr>
      </w:pPr>
      <w:r>
        <w:rPr>
          <w:rFonts w:ascii="仿宋_GB2312" w:hAnsi="仿宋_GB2312" w:eastAsia="仿宋_GB2312" w:cs="仿宋_GB2312"/>
          <w:i w:val="0"/>
          <w:iCs w:val="0"/>
          <w:caps w:val="0"/>
          <w:color w:val="auto"/>
          <w:spacing w:val="0"/>
          <w:kern w:val="0"/>
          <w:sz w:val="31"/>
          <w:szCs w:val="31"/>
          <w:shd w:val="clear" w:fill="FFFFFF"/>
          <w:lang w:val="en-US" w:eastAsia="zh-CN" w:bidi="ar"/>
        </w:rPr>
        <w:t>2、城乡社区支出（类）国有土地使用权出让收入安排的支出（款）征地和拆迁补偿支出（项）：支出决算数为68.54万元，与上年决算相比增加68.54万元，增长100%，主要原因是：</w:t>
      </w:r>
      <w:r>
        <w:rPr>
          <w:rFonts w:hint="eastAsia" w:ascii="仿宋_GB2312" w:hAnsi="仿宋_GB2312" w:eastAsia="仿宋_GB2312" w:cs="仿宋_GB2312"/>
          <w:i w:val="0"/>
          <w:iCs w:val="0"/>
          <w:caps w:val="0"/>
          <w:color w:val="auto"/>
          <w:spacing w:val="0"/>
          <w:kern w:val="0"/>
          <w:sz w:val="31"/>
          <w:szCs w:val="31"/>
          <w:shd w:val="clear" w:fill="FFFFFF"/>
          <w:lang w:val="en-US" w:eastAsia="zh-CN" w:bidi="ar"/>
        </w:rPr>
        <w:t>2024年拨付铁克其乡艾兰巴格村村民历年征地和拆迁补偿、相应经费增加。</w:t>
      </w:r>
    </w:p>
    <w:p>
      <w:pPr>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line="560" w:lineRule="exact"/>
        <w:ind w:left="0" w:right="0" w:firstLine="620" w:firstLineChars="200"/>
        <w:jc w:val="left"/>
        <w:textAlignment w:val="auto"/>
        <w:rPr>
          <w:rFonts w:ascii="仿宋_GB2312" w:hAnsi="仿宋_GB2312" w:eastAsia="仿宋_GB2312" w:cs="仿宋_GB2312"/>
          <w:i w:val="0"/>
          <w:iCs w:val="0"/>
          <w:caps w:val="0"/>
          <w:color w:val="auto"/>
          <w:spacing w:val="0"/>
          <w:sz w:val="31"/>
          <w:szCs w:val="31"/>
        </w:rPr>
      </w:pPr>
      <w:r>
        <w:rPr>
          <w:rFonts w:ascii="仿宋_GB2312" w:hAnsi="仿宋_GB2312" w:eastAsia="仿宋_GB2312" w:cs="仿宋_GB2312"/>
          <w:i w:val="0"/>
          <w:iCs w:val="0"/>
          <w:caps w:val="0"/>
          <w:color w:val="auto"/>
          <w:spacing w:val="0"/>
          <w:kern w:val="0"/>
          <w:sz w:val="31"/>
          <w:szCs w:val="31"/>
          <w:shd w:val="clear" w:fill="FFFFFF"/>
          <w:lang w:val="en-US" w:eastAsia="zh-CN" w:bidi="ar"/>
        </w:rPr>
        <w:t>3、城乡社区支出（类）国有土地使用权出让收入安排的支出（款）农村基础设施建设支出（项）：支出决算数为273.06万元，与上年决算相比增加273.06万元，增长100%，主要原因是：</w:t>
      </w:r>
      <w:r>
        <w:rPr>
          <w:rFonts w:hint="eastAsia" w:ascii="仿宋_GB2312" w:hAnsi="仿宋_GB2312" w:eastAsia="仿宋_GB2312" w:cs="仿宋_GB2312"/>
          <w:i w:val="0"/>
          <w:iCs w:val="0"/>
          <w:caps w:val="0"/>
          <w:color w:val="auto"/>
          <w:spacing w:val="0"/>
          <w:kern w:val="0"/>
          <w:sz w:val="31"/>
          <w:szCs w:val="31"/>
          <w:shd w:val="clear" w:fill="FFFFFF"/>
          <w:lang w:val="en-US" w:eastAsia="zh-CN" w:bidi="ar"/>
        </w:rPr>
        <w:t>2024年为我乡拨付2021年第三批新疆专项中央基建投资（阿克塔什村、上恰其村、铁克其村）资金、2022新疆专项{第一批}中央基建设投资预算（迎宾社区服务中心）资金、2022年新疆专项[第二批]中央基建投资（阿瓦提社区综合服务设施）资金等、相应经费增加。</w:t>
      </w:r>
    </w:p>
    <w:p>
      <w:pPr>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val="0"/>
        <w:overflowPunct/>
        <w:topLinePunct w:val="0"/>
        <w:autoSpaceDE/>
        <w:autoSpaceDN/>
        <w:bidi w:val="0"/>
        <w:adjustRightInd/>
        <w:snapToGrid/>
        <w:spacing w:before="0" w:beforeAutospacing="0" w:line="560" w:lineRule="exact"/>
        <w:ind w:left="0" w:right="0"/>
        <w:jc w:val="left"/>
        <w:textAlignment w:val="auto"/>
        <w:rPr>
          <w:rFonts w:ascii="黑体" w:hAnsi="宋体" w:eastAsia="黑体" w:cs="黑体"/>
          <w:i w:val="0"/>
          <w:iCs w:val="0"/>
          <w:caps w:val="0"/>
          <w:color w:val="auto"/>
          <w:spacing w:val="0"/>
          <w:sz w:val="31"/>
          <w:szCs w:val="31"/>
        </w:rPr>
      </w:pPr>
      <w:r>
        <w:rPr>
          <w:rFonts w:ascii="黑体" w:hAnsi="宋体" w:eastAsia="黑体" w:cs="黑体"/>
          <w:i w:val="0"/>
          <w:iCs w:val="0"/>
          <w:caps w:val="0"/>
          <w:color w:val="auto"/>
          <w:spacing w:val="0"/>
          <w:kern w:val="0"/>
          <w:sz w:val="31"/>
          <w:szCs w:val="31"/>
          <w:shd w:val="clear" w:fill="FFFFFF"/>
          <w:lang w:val="en-US" w:eastAsia="zh-CN" w:bidi="ar"/>
        </w:rPr>
        <w:t>八、国有资本经营预算财政拨款收入支出决算情况说明​如不公开此处内容请勾选此按钮​</w:t>
      </w:r>
    </w:p>
    <w:p>
      <w:pPr>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val="0"/>
        <w:overflowPunct/>
        <w:topLinePunct w:val="0"/>
        <w:autoSpaceDE/>
        <w:autoSpaceDN/>
        <w:bidi w:val="0"/>
        <w:adjustRightInd/>
        <w:snapToGrid/>
        <w:spacing w:before="0" w:beforeAutospacing="0" w:line="560" w:lineRule="exact"/>
        <w:ind w:left="0" w:right="0" w:firstLine="620" w:firstLineChars="200"/>
        <w:jc w:val="both"/>
        <w:textAlignment w:val="auto"/>
        <w:rPr>
          <w:rFonts w:ascii="仿宋_GB2312" w:hAnsi="仿宋_GB2312" w:eastAsia="仿宋_GB2312" w:cs="仿宋_GB2312"/>
          <w:i w:val="0"/>
          <w:iCs w:val="0"/>
          <w:caps w:val="0"/>
          <w:color w:val="auto"/>
          <w:spacing w:val="0"/>
          <w:sz w:val="31"/>
          <w:szCs w:val="31"/>
        </w:rPr>
      </w:pPr>
      <w:r>
        <w:rPr>
          <w:rFonts w:ascii="仿宋_GB2312" w:hAnsi="仿宋_GB2312" w:eastAsia="仿宋_GB2312" w:cs="仿宋_GB2312"/>
          <w:i w:val="0"/>
          <w:iCs w:val="0"/>
          <w:caps w:val="0"/>
          <w:color w:val="auto"/>
          <w:spacing w:val="0"/>
          <w:kern w:val="0"/>
          <w:sz w:val="31"/>
          <w:szCs w:val="31"/>
          <w:shd w:val="clear" w:fill="FFFFFF"/>
          <w:lang w:val="en-US" w:eastAsia="zh-CN" w:bidi="ar"/>
        </w:rPr>
        <w:t>2024年度国有资本经营预算财政拨款收入总计5.18万元，其中：年初结转和结余0万元，本年收入5.18万元。国有资本经营预算财政拨款支出总计5.18万元，其中：年末结转和结余0万元，本年支出5.18万元。</w:t>
      </w:r>
    </w:p>
    <w:p>
      <w:pPr>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val="0"/>
        <w:overflowPunct/>
        <w:topLinePunct w:val="0"/>
        <w:autoSpaceDE/>
        <w:autoSpaceDN/>
        <w:bidi w:val="0"/>
        <w:adjustRightInd/>
        <w:snapToGrid/>
        <w:spacing w:before="0" w:beforeAutospacing="0" w:line="560" w:lineRule="exact"/>
        <w:ind w:left="0" w:right="0" w:firstLine="620" w:firstLineChars="200"/>
        <w:jc w:val="both"/>
        <w:textAlignment w:val="auto"/>
        <w:rPr>
          <w:rFonts w:ascii="仿宋_GB2312" w:hAnsi="仿宋_GB2312" w:eastAsia="仿宋_GB2312" w:cs="仿宋_GB2312"/>
          <w:i w:val="0"/>
          <w:iCs w:val="0"/>
          <w:caps w:val="0"/>
          <w:color w:val="auto"/>
          <w:spacing w:val="0"/>
          <w:sz w:val="31"/>
          <w:szCs w:val="31"/>
        </w:rPr>
      </w:pPr>
      <w:r>
        <w:rPr>
          <w:rFonts w:ascii="仿宋_GB2312" w:hAnsi="仿宋_GB2312" w:eastAsia="仿宋_GB2312" w:cs="仿宋_GB2312"/>
          <w:i w:val="0"/>
          <w:iCs w:val="0"/>
          <w:caps w:val="0"/>
          <w:color w:val="auto"/>
          <w:spacing w:val="0"/>
          <w:kern w:val="0"/>
          <w:sz w:val="31"/>
          <w:szCs w:val="31"/>
          <w:shd w:val="clear" w:fill="FFFFFF"/>
          <w:lang w:val="en-US" w:eastAsia="zh-CN" w:bidi="ar"/>
        </w:rPr>
        <w:t>国有资本经营预算财政拨款收入支出总体与上年相比，减少4.81万元，下降48.15%，主要原因是：</w:t>
      </w:r>
      <w:r>
        <w:rPr>
          <w:rFonts w:hint="eastAsia" w:ascii="仿宋_GB2312" w:hAnsi="仿宋_GB2312" w:eastAsia="仿宋_GB2312" w:cs="仿宋_GB2312"/>
          <w:i w:val="0"/>
          <w:iCs w:val="0"/>
          <w:caps w:val="0"/>
          <w:color w:val="auto"/>
          <w:spacing w:val="0"/>
          <w:kern w:val="0"/>
          <w:sz w:val="31"/>
          <w:szCs w:val="31"/>
          <w:shd w:val="clear" w:fill="FFFFFF"/>
          <w:lang w:val="en-US" w:eastAsia="zh-CN" w:bidi="ar"/>
        </w:rPr>
        <w:t>2024年厉行节俭、压缩相关经费、相应减少经费</w:t>
      </w:r>
      <w:r>
        <w:rPr>
          <w:rFonts w:ascii="仿宋_GB2312" w:hAnsi="仿宋_GB2312" w:eastAsia="仿宋_GB2312" w:cs="仿宋_GB2312"/>
          <w:i w:val="0"/>
          <w:iCs w:val="0"/>
          <w:caps w:val="0"/>
          <w:color w:val="auto"/>
          <w:spacing w:val="0"/>
          <w:kern w:val="0"/>
          <w:sz w:val="31"/>
          <w:szCs w:val="31"/>
          <w:shd w:val="clear" w:fill="FFFFFF"/>
          <w:lang w:val="en-US" w:eastAsia="zh-CN" w:bidi="ar"/>
        </w:rPr>
        <w:t>。与年初预算相比，年初预算数0.01万元，决算数5.18万元，预决算差异率51,700%</w:t>
      </w:r>
      <w:r>
        <w:rPr>
          <w:rFonts w:hint="eastAsia" w:ascii="仿宋_GB2312" w:hAnsi="仿宋_GB2312" w:eastAsia="仿宋_GB2312" w:cs="仿宋_GB2312"/>
          <w:i w:val="0"/>
          <w:iCs w:val="0"/>
          <w:caps w:val="0"/>
          <w:color w:val="auto"/>
          <w:spacing w:val="0"/>
          <w:kern w:val="0"/>
          <w:sz w:val="31"/>
          <w:szCs w:val="31"/>
          <w:shd w:val="clear" w:fill="FFFFFF"/>
          <w:lang w:val="en-US" w:eastAsia="zh-CN" w:bidi="ar"/>
        </w:rPr>
        <w:t>，</w:t>
      </w:r>
      <w:r>
        <w:rPr>
          <w:rFonts w:ascii="仿宋_GB2312" w:hAnsi="仿宋_GB2312" w:eastAsia="仿宋_GB2312" w:cs="仿宋_GB2312"/>
          <w:i w:val="0"/>
          <w:iCs w:val="0"/>
          <w:caps w:val="0"/>
          <w:color w:val="auto"/>
          <w:spacing w:val="0"/>
          <w:kern w:val="0"/>
          <w:sz w:val="31"/>
          <w:szCs w:val="31"/>
          <w:shd w:val="clear" w:fill="FFFFFF"/>
          <w:lang w:val="en-US" w:eastAsia="zh-CN" w:bidi="ar"/>
        </w:rPr>
        <w:t>主要原因是：</w:t>
      </w:r>
      <w:r>
        <w:rPr>
          <w:rFonts w:hint="eastAsia" w:ascii="仿宋_GB2312" w:hAnsi="仿宋_GB2312" w:eastAsia="仿宋_GB2312" w:cs="仿宋_GB2312"/>
          <w:i w:val="0"/>
          <w:iCs w:val="0"/>
          <w:caps w:val="0"/>
          <w:color w:val="auto"/>
          <w:spacing w:val="0"/>
          <w:kern w:val="0"/>
          <w:sz w:val="31"/>
          <w:szCs w:val="31"/>
          <w:shd w:val="clear" w:fill="FFFFFF"/>
          <w:lang w:val="en-US" w:eastAsia="zh-CN" w:bidi="ar"/>
        </w:rPr>
        <w:t>2024年厉行节俭、压缩相关经费、相应减少经费</w:t>
      </w:r>
      <w:r>
        <w:rPr>
          <w:rFonts w:ascii="仿宋_GB2312" w:hAnsi="仿宋_GB2312" w:eastAsia="仿宋_GB2312" w:cs="仿宋_GB2312"/>
          <w:i w:val="0"/>
          <w:iCs w:val="0"/>
          <w:caps w:val="0"/>
          <w:color w:val="auto"/>
          <w:spacing w:val="0"/>
          <w:kern w:val="0"/>
          <w:sz w:val="31"/>
          <w:szCs w:val="31"/>
          <w:shd w:val="clear" w:fill="FFFFFF"/>
          <w:lang w:val="en-US" w:eastAsia="zh-CN" w:bidi="ar"/>
        </w:rPr>
        <w:t>。</w:t>
      </w:r>
    </w:p>
    <w:p>
      <w:pPr>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val="0"/>
        <w:overflowPunct/>
        <w:topLinePunct w:val="0"/>
        <w:autoSpaceDE/>
        <w:autoSpaceDN/>
        <w:bidi w:val="0"/>
        <w:adjustRightInd/>
        <w:snapToGrid/>
        <w:spacing w:before="0" w:beforeAutospacing="0" w:line="560" w:lineRule="exact"/>
        <w:ind w:left="0" w:right="0" w:firstLine="620" w:firstLineChars="200"/>
        <w:jc w:val="both"/>
        <w:textAlignment w:val="auto"/>
        <w:rPr>
          <w:rFonts w:ascii="仿宋_GB2312" w:hAnsi="仿宋_GB2312" w:eastAsia="仿宋_GB2312" w:cs="仿宋_GB2312"/>
          <w:i w:val="0"/>
          <w:iCs w:val="0"/>
          <w:caps w:val="0"/>
          <w:color w:val="auto"/>
          <w:spacing w:val="0"/>
          <w:sz w:val="31"/>
          <w:szCs w:val="31"/>
        </w:rPr>
      </w:pPr>
      <w:r>
        <w:rPr>
          <w:rFonts w:ascii="仿宋_GB2312" w:hAnsi="仿宋_GB2312" w:eastAsia="仿宋_GB2312" w:cs="仿宋_GB2312"/>
          <w:i w:val="0"/>
          <w:iCs w:val="0"/>
          <w:caps w:val="0"/>
          <w:color w:val="auto"/>
          <w:spacing w:val="0"/>
          <w:kern w:val="0"/>
          <w:sz w:val="31"/>
          <w:szCs w:val="31"/>
          <w:shd w:val="clear" w:fill="FFFFFF"/>
          <w:lang w:val="en-US" w:eastAsia="zh-CN" w:bidi="ar"/>
        </w:rPr>
        <w:t>国有资本经营预算财政拨款支出5.18万元。</w:t>
      </w:r>
    </w:p>
    <w:p>
      <w:pPr>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overflowPunct/>
        <w:topLinePunct w:val="0"/>
        <w:autoSpaceDE/>
        <w:autoSpaceDN/>
        <w:bidi w:val="0"/>
        <w:adjustRightInd/>
        <w:snapToGrid/>
        <w:spacing w:before="0" w:beforeAutospacing="0" w:line="560" w:lineRule="exact"/>
        <w:ind w:left="0" w:right="0" w:firstLine="620" w:firstLineChars="200"/>
        <w:jc w:val="left"/>
        <w:textAlignment w:val="auto"/>
        <w:rPr>
          <w:rFonts w:ascii="仿宋_GB2312" w:hAnsi="仿宋_GB2312" w:eastAsia="仿宋_GB2312" w:cs="仿宋_GB2312"/>
          <w:i w:val="0"/>
          <w:iCs w:val="0"/>
          <w:caps w:val="0"/>
          <w:color w:val="auto"/>
          <w:spacing w:val="0"/>
          <w:sz w:val="31"/>
          <w:szCs w:val="31"/>
        </w:rPr>
      </w:pPr>
      <w:r>
        <w:rPr>
          <w:rFonts w:ascii="仿宋_GB2312" w:hAnsi="仿宋_GB2312" w:eastAsia="仿宋_GB2312" w:cs="仿宋_GB2312"/>
          <w:i w:val="0"/>
          <w:iCs w:val="0"/>
          <w:caps w:val="0"/>
          <w:color w:val="auto"/>
          <w:spacing w:val="0"/>
          <w:kern w:val="0"/>
          <w:sz w:val="31"/>
          <w:szCs w:val="31"/>
          <w:shd w:val="clear" w:fill="FFFFFF"/>
          <w:lang w:val="en-US" w:eastAsia="zh-CN" w:bidi="ar"/>
        </w:rPr>
        <w:t>1、国有资本经营预算支出（类）解决历史遗留问题及改革成本支出（款）国有企业退休人员社会化管理补助支出（项）：支出决算数为5.18万元，与上年决算相比减少4.81万元，下降48.15%，主要原因是：</w:t>
      </w:r>
      <w:r>
        <w:rPr>
          <w:rFonts w:hint="eastAsia" w:ascii="仿宋_GB2312" w:hAnsi="仿宋_GB2312" w:eastAsia="仿宋_GB2312" w:cs="仿宋_GB2312"/>
          <w:i w:val="0"/>
          <w:iCs w:val="0"/>
          <w:caps w:val="0"/>
          <w:color w:val="auto"/>
          <w:spacing w:val="0"/>
          <w:kern w:val="0"/>
          <w:sz w:val="31"/>
          <w:szCs w:val="31"/>
          <w:shd w:val="clear" w:fill="FFFFFF"/>
          <w:lang w:val="en-US" w:eastAsia="zh-CN" w:bidi="ar"/>
        </w:rPr>
        <w:t>2024年厉行节俭、压缩相关经费、相应减少经费</w:t>
      </w:r>
      <w:r>
        <w:rPr>
          <w:rFonts w:ascii="仿宋_GB2312" w:hAnsi="仿宋_GB2312" w:eastAsia="仿宋_GB2312" w:cs="仿宋_GB2312"/>
          <w:i w:val="0"/>
          <w:iCs w:val="0"/>
          <w:caps w:val="0"/>
          <w:color w:val="auto"/>
          <w:spacing w:val="0"/>
          <w:kern w:val="0"/>
          <w:sz w:val="31"/>
          <w:szCs w:val="31"/>
          <w:shd w:val="clear" w:fill="FFFFFF"/>
          <w:lang w:val="en-US" w:eastAsia="zh-CN" w:bidi="ar"/>
        </w:rPr>
        <w:t>。</w:t>
      </w:r>
    </w:p>
    <w:p>
      <w:pPr>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val="0"/>
        <w:overflowPunct/>
        <w:topLinePunct w:val="0"/>
        <w:autoSpaceDE/>
        <w:autoSpaceDN/>
        <w:bidi w:val="0"/>
        <w:adjustRightInd/>
        <w:snapToGrid/>
        <w:spacing w:before="0" w:beforeAutospacing="0" w:line="560" w:lineRule="exact"/>
        <w:ind w:left="0" w:right="0"/>
        <w:jc w:val="left"/>
        <w:textAlignment w:val="auto"/>
        <w:rPr>
          <w:rFonts w:ascii="黑体" w:hAnsi="宋体" w:eastAsia="黑体" w:cs="黑体"/>
          <w:i w:val="0"/>
          <w:iCs w:val="0"/>
          <w:caps w:val="0"/>
          <w:color w:val="auto"/>
          <w:spacing w:val="0"/>
          <w:sz w:val="31"/>
          <w:szCs w:val="31"/>
        </w:rPr>
      </w:pPr>
      <w:r>
        <w:rPr>
          <w:rFonts w:ascii="黑体" w:hAnsi="宋体" w:eastAsia="黑体" w:cs="黑体"/>
          <w:i w:val="0"/>
          <w:iCs w:val="0"/>
          <w:caps w:val="0"/>
          <w:color w:val="auto"/>
          <w:spacing w:val="0"/>
          <w:kern w:val="0"/>
          <w:sz w:val="31"/>
          <w:szCs w:val="31"/>
          <w:shd w:val="clear" w:fill="FFFFFF"/>
          <w:lang w:val="en-US" w:eastAsia="zh-CN" w:bidi="ar"/>
        </w:rPr>
        <w:t>九、财政拨款“三公”经费支出决算情况说明</w:t>
      </w:r>
    </w:p>
    <w:p>
      <w:pPr>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val="0"/>
        <w:overflowPunct/>
        <w:topLinePunct w:val="0"/>
        <w:autoSpaceDE/>
        <w:autoSpaceDN/>
        <w:bidi w:val="0"/>
        <w:adjustRightInd/>
        <w:snapToGrid/>
        <w:spacing w:before="0" w:beforeAutospacing="0" w:line="560" w:lineRule="exact"/>
        <w:ind w:left="0" w:right="0" w:firstLine="620" w:firstLineChars="200"/>
        <w:jc w:val="both"/>
        <w:textAlignment w:val="auto"/>
        <w:rPr>
          <w:rFonts w:ascii="仿宋_GB2312" w:hAnsi="仿宋_GB2312" w:eastAsia="仿宋_GB2312" w:cs="仿宋_GB2312"/>
          <w:i w:val="0"/>
          <w:iCs w:val="0"/>
          <w:caps w:val="0"/>
          <w:color w:val="auto"/>
          <w:spacing w:val="0"/>
          <w:sz w:val="31"/>
          <w:szCs w:val="31"/>
        </w:rPr>
      </w:pPr>
      <w:r>
        <w:rPr>
          <w:rFonts w:ascii="仿宋_GB2312" w:hAnsi="仿宋_GB2312" w:eastAsia="仿宋_GB2312" w:cs="仿宋_GB2312"/>
          <w:i w:val="0"/>
          <w:iCs w:val="0"/>
          <w:caps w:val="0"/>
          <w:color w:val="auto"/>
          <w:spacing w:val="0"/>
          <w:kern w:val="0"/>
          <w:sz w:val="31"/>
          <w:szCs w:val="31"/>
          <w:shd w:val="clear" w:fill="FFFFFF"/>
          <w:lang w:val="en-US" w:eastAsia="zh-CN" w:bidi="ar"/>
        </w:rPr>
        <w:t>2024年度财政拨款“三公”经费支出</w:t>
      </w:r>
      <w:r>
        <w:rPr>
          <w:rFonts w:hint="eastAsia" w:ascii="仿宋_GB2312" w:hAnsi="仿宋_GB2312" w:eastAsia="仿宋_GB2312" w:cs="仿宋_GB2312"/>
          <w:i w:val="0"/>
          <w:iCs w:val="0"/>
          <w:caps w:val="0"/>
          <w:color w:val="auto"/>
          <w:spacing w:val="0"/>
          <w:kern w:val="0"/>
          <w:sz w:val="31"/>
          <w:szCs w:val="31"/>
          <w:shd w:val="clear" w:fill="FFFFFF"/>
          <w:lang w:val="en-US" w:eastAsia="zh-CN" w:bidi="ar"/>
        </w:rPr>
        <w:t>7.99</w:t>
      </w:r>
      <w:r>
        <w:rPr>
          <w:rFonts w:ascii="仿宋_GB2312" w:hAnsi="仿宋_GB2312" w:eastAsia="仿宋_GB2312" w:cs="仿宋_GB2312"/>
          <w:i w:val="0"/>
          <w:iCs w:val="0"/>
          <w:caps w:val="0"/>
          <w:color w:val="auto"/>
          <w:spacing w:val="0"/>
          <w:kern w:val="0"/>
          <w:sz w:val="31"/>
          <w:szCs w:val="31"/>
          <w:shd w:val="clear" w:fill="FFFFFF"/>
          <w:lang w:val="en-US" w:eastAsia="zh-CN" w:bidi="ar"/>
        </w:rPr>
        <w:t>万元</w:t>
      </w:r>
      <w:r>
        <w:rPr>
          <w:rFonts w:hint="eastAsia" w:ascii="仿宋_GB2312" w:hAnsi="仿宋_GB2312" w:eastAsia="仿宋_GB2312" w:cs="仿宋_GB2312"/>
          <w:i w:val="0"/>
          <w:iCs w:val="0"/>
          <w:caps w:val="0"/>
          <w:color w:val="auto"/>
          <w:spacing w:val="0"/>
          <w:kern w:val="0"/>
          <w:sz w:val="31"/>
          <w:szCs w:val="31"/>
          <w:shd w:val="clear" w:fill="FFFFFF"/>
          <w:lang w:val="en-US" w:eastAsia="zh-CN" w:bidi="ar"/>
        </w:rPr>
        <w:t>，</w:t>
      </w:r>
      <w:r>
        <w:rPr>
          <w:rFonts w:ascii="仿宋_GB2312" w:hAnsi="仿宋_GB2312" w:eastAsia="仿宋_GB2312" w:cs="仿宋_GB2312"/>
          <w:i w:val="0"/>
          <w:iCs w:val="0"/>
          <w:caps w:val="0"/>
          <w:color w:val="auto"/>
          <w:spacing w:val="0"/>
          <w:kern w:val="0"/>
          <w:sz w:val="31"/>
          <w:szCs w:val="31"/>
          <w:shd w:val="clear" w:fill="FFFFFF"/>
          <w:lang w:val="en-US" w:eastAsia="zh-CN" w:bidi="ar"/>
        </w:rPr>
        <w:t>比上年减少0.6万元，下降6.98%，主要原因是：</w:t>
      </w:r>
      <w:r>
        <w:rPr>
          <w:rFonts w:hint="eastAsia" w:ascii="仿宋_GB2312" w:hAnsi="仿宋_GB2312" w:eastAsia="仿宋_GB2312" w:cs="仿宋_GB2312"/>
          <w:i w:val="0"/>
          <w:iCs w:val="0"/>
          <w:caps w:val="0"/>
          <w:color w:val="auto"/>
          <w:spacing w:val="0"/>
          <w:kern w:val="0"/>
          <w:sz w:val="31"/>
          <w:szCs w:val="31"/>
          <w:shd w:val="clear" w:fill="FFFFFF"/>
          <w:lang w:val="en-US" w:eastAsia="zh-CN" w:bidi="ar"/>
        </w:rPr>
        <w:t>2024年厉行节俭、压缩“三公”经费、相应减少经费</w:t>
      </w:r>
      <w:r>
        <w:rPr>
          <w:rFonts w:ascii="仿宋_GB2312" w:hAnsi="仿宋_GB2312" w:eastAsia="仿宋_GB2312" w:cs="仿宋_GB2312"/>
          <w:i w:val="0"/>
          <w:iCs w:val="0"/>
          <w:caps w:val="0"/>
          <w:color w:val="auto"/>
          <w:spacing w:val="0"/>
          <w:kern w:val="0"/>
          <w:sz w:val="31"/>
          <w:szCs w:val="31"/>
          <w:shd w:val="clear" w:fill="FFFFFF"/>
          <w:lang w:val="en-US" w:eastAsia="zh-CN" w:bidi="ar"/>
        </w:rPr>
        <w:t>。其中：因公出国（境）费支出0万元,占0%，与上年相比无变化，主要原因是：</w:t>
      </w:r>
      <w:r>
        <w:rPr>
          <w:rFonts w:hint="eastAsia" w:ascii="仿宋_GB2312" w:hAnsi="仿宋_GB2312" w:eastAsia="仿宋_GB2312" w:cs="仿宋_GB2312"/>
          <w:i w:val="0"/>
          <w:iCs w:val="0"/>
          <w:caps w:val="0"/>
          <w:color w:val="auto"/>
          <w:spacing w:val="0"/>
          <w:kern w:val="0"/>
          <w:sz w:val="31"/>
          <w:szCs w:val="31"/>
          <w:shd w:val="clear" w:fill="FFFFFF"/>
          <w:lang w:val="en-US" w:eastAsia="zh-CN" w:bidi="ar"/>
        </w:rPr>
        <w:t>本单位无</w:t>
      </w:r>
      <w:r>
        <w:rPr>
          <w:rFonts w:ascii="仿宋_GB2312" w:hAnsi="仿宋_GB2312" w:eastAsia="仿宋_GB2312" w:cs="仿宋_GB2312"/>
          <w:i w:val="0"/>
          <w:iCs w:val="0"/>
          <w:caps w:val="0"/>
          <w:color w:val="auto"/>
          <w:spacing w:val="0"/>
          <w:kern w:val="0"/>
          <w:sz w:val="31"/>
          <w:szCs w:val="31"/>
          <w:shd w:val="clear" w:fill="FFFFFF"/>
          <w:lang w:val="en-US" w:eastAsia="zh-CN" w:bidi="ar"/>
        </w:rPr>
        <w:t>因公出国（境）费；公务用车购置及运行维护费支出7.99万元，占100%，比上年减少0.6万元，下降6.98%，主要原因是：</w:t>
      </w:r>
      <w:r>
        <w:rPr>
          <w:rFonts w:hint="eastAsia" w:ascii="仿宋_GB2312" w:hAnsi="仿宋_GB2312" w:eastAsia="仿宋_GB2312" w:cs="仿宋_GB2312"/>
          <w:i w:val="0"/>
          <w:iCs w:val="0"/>
          <w:caps w:val="0"/>
          <w:color w:val="auto"/>
          <w:spacing w:val="0"/>
          <w:kern w:val="0"/>
          <w:sz w:val="31"/>
          <w:szCs w:val="31"/>
          <w:shd w:val="clear" w:fill="FFFFFF"/>
          <w:lang w:val="en-US" w:eastAsia="zh-CN" w:bidi="ar"/>
        </w:rPr>
        <w:t>2024年厉行节俭、压缩</w:t>
      </w:r>
      <w:r>
        <w:rPr>
          <w:rFonts w:ascii="仿宋_GB2312" w:hAnsi="仿宋_GB2312" w:eastAsia="仿宋_GB2312" w:cs="仿宋_GB2312"/>
          <w:i w:val="0"/>
          <w:iCs w:val="0"/>
          <w:caps w:val="0"/>
          <w:color w:val="auto"/>
          <w:spacing w:val="0"/>
          <w:kern w:val="0"/>
          <w:sz w:val="31"/>
          <w:szCs w:val="31"/>
          <w:shd w:val="clear" w:fill="FFFFFF"/>
          <w:lang w:val="en-US" w:eastAsia="zh-CN" w:bidi="ar"/>
        </w:rPr>
        <w:t>公务用车购置及运行维护</w:t>
      </w:r>
      <w:r>
        <w:rPr>
          <w:rFonts w:hint="eastAsia" w:ascii="仿宋_GB2312" w:hAnsi="仿宋_GB2312" w:eastAsia="仿宋_GB2312" w:cs="仿宋_GB2312"/>
          <w:i w:val="0"/>
          <w:iCs w:val="0"/>
          <w:caps w:val="0"/>
          <w:color w:val="auto"/>
          <w:spacing w:val="0"/>
          <w:kern w:val="0"/>
          <w:sz w:val="31"/>
          <w:szCs w:val="31"/>
          <w:shd w:val="clear" w:fill="FFFFFF"/>
          <w:lang w:val="en-US" w:eastAsia="zh-CN" w:bidi="ar"/>
        </w:rPr>
        <w:t>经费、相应减少经费</w:t>
      </w:r>
      <w:r>
        <w:rPr>
          <w:rFonts w:ascii="仿宋_GB2312" w:hAnsi="仿宋_GB2312" w:eastAsia="仿宋_GB2312" w:cs="仿宋_GB2312"/>
          <w:i w:val="0"/>
          <w:iCs w:val="0"/>
          <w:caps w:val="0"/>
          <w:color w:val="auto"/>
          <w:spacing w:val="0"/>
          <w:kern w:val="0"/>
          <w:sz w:val="31"/>
          <w:szCs w:val="31"/>
          <w:shd w:val="clear" w:fill="FFFFFF"/>
          <w:lang w:val="en-US" w:eastAsia="zh-CN" w:bidi="ar"/>
        </w:rPr>
        <w:t>；公务接待费支出0万元，占0%，与上年相比无变化，主要原因是：</w:t>
      </w:r>
      <w:r>
        <w:rPr>
          <w:rFonts w:hint="eastAsia" w:ascii="仿宋_GB2312" w:hAnsi="仿宋_GB2312" w:eastAsia="仿宋_GB2312" w:cs="仿宋_GB2312"/>
          <w:i w:val="0"/>
          <w:iCs w:val="0"/>
          <w:caps w:val="0"/>
          <w:color w:val="auto"/>
          <w:spacing w:val="0"/>
          <w:kern w:val="0"/>
          <w:sz w:val="31"/>
          <w:szCs w:val="31"/>
          <w:shd w:val="clear" w:fill="FFFFFF"/>
          <w:lang w:val="en-US" w:eastAsia="zh-CN" w:bidi="ar"/>
        </w:rPr>
        <w:t>本单位无公务接待费</w:t>
      </w:r>
      <w:r>
        <w:rPr>
          <w:rFonts w:ascii="仿宋_GB2312" w:hAnsi="仿宋_GB2312" w:eastAsia="仿宋_GB2312" w:cs="仿宋_GB2312"/>
          <w:i w:val="0"/>
          <w:iCs w:val="0"/>
          <w:caps w:val="0"/>
          <w:color w:val="auto"/>
          <w:spacing w:val="0"/>
          <w:kern w:val="0"/>
          <w:sz w:val="31"/>
          <w:szCs w:val="31"/>
          <w:shd w:val="clear" w:fill="FFFFFF"/>
          <w:lang w:val="en-US" w:eastAsia="zh-CN" w:bidi="ar"/>
        </w:rPr>
        <w:t>。</w:t>
      </w:r>
    </w:p>
    <w:p>
      <w:pPr>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val="0"/>
        <w:overflowPunct/>
        <w:topLinePunct w:val="0"/>
        <w:autoSpaceDE/>
        <w:autoSpaceDN/>
        <w:bidi w:val="0"/>
        <w:adjustRightInd/>
        <w:snapToGrid/>
        <w:spacing w:before="0" w:beforeAutospacing="0" w:line="560" w:lineRule="exact"/>
        <w:ind w:left="0" w:right="0" w:firstLine="620" w:firstLineChars="200"/>
        <w:jc w:val="left"/>
        <w:textAlignment w:val="auto"/>
        <w:rPr>
          <w:rFonts w:ascii="仿宋_GB2312" w:hAnsi="仿宋_GB2312" w:eastAsia="仿宋_GB2312" w:cs="仿宋_GB2312"/>
          <w:i w:val="0"/>
          <w:iCs w:val="0"/>
          <w:caps w:val="0"/>
          <w:color w:val="auto"/>
          <w:spacing w:val="0"/>
          <w:sz w:val="31"/>
          <w:szCs w:val="31"/>
        </w:rPr>
      </w:pPr>
      <w:r>
        <w:rPr>
          <w:rFonts w:ascii="仿宋_GB2312" w:hAnsi="仿宋_GB2312" w:eastAsia="仿宋_GB2312" w:cs="仿宋_GB2312"/>
          <w:i w:val="0"/>
          <w:iCs w:val="0"/>
          <w:caps w:val="0"/>
          <w:color w:val="auto"/>
          <w:spacing w:val="0"/>
          <w:kern w:val="0"/>
          <w:sz w:val="31"/>
          <w:szCs w:val="31"/>
          <w:shd w:val="clear" w:fill="FFFFFF"/>
          <w:lang w:val="en-US" w:eastAsia="zh-CN" w:bidi="ar"/>
        </w:rPr>
        <w:t>具体情况如下：</w:t>
      </w:r>
    </w:p>
    <w:p>
      <w:pPr>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val="0"/>
        <w:overflowPunct/>
        <w:topLinePunct w:val="0"/>
        <w:autoSpaceDE/>
        <w:autoSpaceDN/>
        <w:bidi w:val="0"/>
        <w:adjustRightInd/>
        <w:snapToGrid/>
        <w:spacing w:before="0" w:beforeAutospacing="0" w:line="560" w:lineRule="exact"/>
        <w:ind w:left="0" w:right="0" w:firstLine="620" w:firstLineChars="200"/>
        <w:jc w:val="both"/>
        <w:textAlignment w:val="auto"/>
        <w:rPr>
          <w:rFonts w:ascii="仿宋_GB2312" w:hAnsi="仿宋_GB2312" w:eastAsia="仿宋_GB2312" w:cs="仿宋_GB2312"/>
          <w:i w:val="0"/>
          <w:iCs w:val="0"/>
          <w:caps w:val="0"/>
          <w:color w:val="auto"/>
          <w:spacing w:val="0"/>
          <w:sz w:val="31"/>
          <w:szCs w:val="31"/>
        </w:rPr>
      </w:pPr>
      <w:r>
        <w:rPr>
          <w:rFonts w:ascii="仿宋_GB2312" w:hAnsi="仿宋_GB2312" w:eastAsia="仿宋_GB2312" w:cs="仿宋_GB2312"/>
          <w:i w:val="0"/>
          <w:iCs w:val="0"/>
          <w:caps w:val="0"/>
          <w:color w:val="auto"/>
          <w:spacing w:val="0"/>
          <w:kern w:val="0"/>
          <w:sz w:val="31"/>
          <w:szCs w:val="31"/>
          <w:shd w:val="clear" w:fill="FFFFFF"/>
          <w:lang w:val="en-US" w:eastAsia="zh-CN" w:bidi="ar"/>
        </w:rPr>
        <w:t>因公出国（境）费支出0万元，开支内容包括</w:t>
      </w:r>
      <w:r>
        <w:rPr>
          <w:rFonts w:hint="eastAsia" w:ascii="仿宋_GB2312" w:hAnsi="仿宋_GB2312" w:eastAsia="仿宋_GB2312" w:cs="仿宋_GB2312"/>
          <w:i w:val="0"/>
          <w:iCs w:val="0"/>
          <w:caps w:val="0"/>
          <w:color w:val="auto"/>
          <w:spacing w:val="0"/>
          <w:kern w:val="0"/>
          <w:sz w:val="31"/>
          <w:szCs w:val="31"/>
          <w:shd w:val="clear" w:fill="FFFFFF"/>
          <w:lang w:val="en-US" w:eastAsia="zh-CN" w:bidi="ar"/>
        </w:rPr>
        <w:t>无</w:t>
      </w:r>
      <w:r>
        <w:rPr>
          <w:rFonts w:ascii="仿宋_GB2312" w:hAnsi="仿宋_GB2312" w:eastAsia="仿宋_GB2312" w:cs="仿宋_GB2312"/>
          <w:i w:val="0"/>
          <w:iCs w:val="0"/>
          <w:caps w:val="0"/>
          <w:color w:val="auto"/>
          <w:spacing w:val="0"/>
          <w:kern w:val="0"/>
          <w:sz w:val="31"/>
          <w:szCs w:val="31"/>
          <w:shd w:val="clear" w:fill="FFFFFF"/>
          <w:lang w:val="en-US" w:eastAsia="zh-CN" w:bidi="ar"/>
        </w:rPr>
        <w:t>。单位全年安排的因公出国（境）团组0个，因公出国（境）0人次。</w:t>
      </w:r>
    </w:p>
    <w:p>
      <w:pPr>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val="0"/>
        <w:overflowPunct/>
        <w:topLinePunct w:val="0"/>
        <w:autoSpaceDE/>
        <w:autoSpaceDN/>
        <w:bidi w:val="0"/>
        <w:adjustRightInd/>
        <w:snapToGrid/>
        <w:spacing w:before="0" w:beforeAutospacing="0" w:line="560" w:lineRule="exact"/>
        <w:ind w:left="0" w:right="0" w:firstLine="620" w:firstLineChars="200"/>
        <w:jc w:val="both"/>
        <w:textAlignment w:val="auto"/>
        <w:rPr>
          <w:rFonts w:ascii="仿宋_GB2312" w:hAnsi="仿宋_GB2312" w:eastAsia="仿宋_GB2312" w:cs="仿宋_GB2312"/>
          <w:i w:val="0"/>
          <w:iCs w:val="0"/>
          <w:caps w:val="0"/>
          <w:color w:val="auto"/>
          <w:spacing w:val="0"/>
          <w:sz w:val="31"/>
          <w:szCs w:val="31"/>
        </w:rPr>
      </w:pPr>
      <w:r>
        <w:rPr>
          <w:rFonts w:ascii="仿宋_GB2312" w:hAnsi="仿宋_GB2312" w:eastAsia="仿宋_GB2312" w:cs="仿宋_GB2312"/>
          <w:i w:val="0"/>
          <w:iCs w:val="0"/>
          <w:caps w:val="0"/>
          <w:color w:val="auto"/>
          <w:spacing w:val="0"/>
          <w:kern w:val="0"/>
          <w:sz w:val="31"/>
          <w:szCs w:val="31"/>
          <w:shd w:val="clear" w:fill="FFFFFF"/>
          <w:lang w:val="en-US" w:eastAsia="zh-CN" w:bidi="ar"/>
        </w:rPr>
        <w:t>公务用车购置及运行维护费7.99万元，其中：公务用车购置费0万元，公务用车运行维护费7.99万元。公务用车运行维护费开支内容包括</w:t>
      </w:r>
      <w:r>
        <w:rPr>
          <w:rFonts w:hint="eastAsia" w:ascii="仿宋_GB2312" w:hAnsi="仿宋_GB2312" w:eastAsia="仿宋_GB2312" w:cs="仿宋_GB2312"/>
          <w:i w:val="0"/>
          <w:iCs w:val="0"/>
          <w:caps w:val="0"/>
          <w:color w:val="auto"/>
          <w:spacing w:val="0"/>
          <w:kern w:val="0"/>
          <w:sz w:val="31"/>
          <w:szCs w:val="31"/>
          <w:shd w:val="clear" w:fill="FFFFFF"/>
          <w:lang w:val="en-US" w:eastAsia="zh-CN" w:bidi="ar"/>
        </w:rPr>
        <w:t>车辆保险费、车辆燃料费、车辆维修维护费等</w:t>
      </w:r>
      <w:r>
        <w:rPr>
          <w:rFonts w:ascii="仿宋_GB2312" w:hAnsi="仿宋_GB2312" w:eastAsia="仿宋_GB2312" w:cs="仿宋_GB2312"/>
          <w:i w:val="0"/>
          <w:iCs w:val="0"/>
          <w:caps w:val="0"/>
          <w:color w:val="auto"/>
          <w:spacing w:val="0"/>
          <w:kern w:val="0"/>
          <w:sz w:val="31"/>
          <w:szCs w:val="31"/>
          <w:shd w:val="clear" w:fill="FFFFFF"/>
          <w:lang w:val="en-US" w:eastAsia="zh-CN" w:bidi="ar"/>
        </w:rPr>
        <w:t>。公务用车购置数0辆，公务用车保有量32辆。国有资产占用情况中固定资产车辆32辆，与公务用车保有量差异原因是：</w:t>
      </w:r>
      <w:r>
        <w:rPr>
          <w:rFonts w:hint="eastAsia" w:ascii="仿宋_GB2312" w:hAnsi="仿宋_GB2312" w:eastAsia="仿宋_GB2312" w:cs="仿宋_GB2312"/>
          <w:i w:val="0"/>
          <w:iCs w:val="0"/>
          <w:caps w:val="0"/>
          <w:color w:val="auto"/>
          <w:spacing w:val="0"/>
          <w:kern w:val="0"/>
          <w:sz w:val="31"/>
          <w:szCs w:val="31"/>
          <w:shd w:val="clear" w:fill="FFFFFF"/>
          <w:lang w:val="en-US" w:eastAsia="zh-CN" w:bidi="ar"/>
        </w:rPr>
        <w:t>因车辆包含各村社区警务车、机关事务管理局要求未办理移交手续的车辆</w:t>
      </w:r>
      <w:r>
        <w:rPr>
          <w:rFonts w:ascii="仿宋_GB2312" w:hAnsi="仿宋_GB2312" w:eastAsia="仿宋_GB2312" w:cs="仿宋_GB2312"/>
          <w:i w:val="0"/>
          <w:iCs w:val="0"/>
          <w:caps w:val="0"/>
          <w:color w:val="auto"/>
          <w:spacing w:val="0"/>
          <w:kern w:val="0"/>
          <w:sz w:val="31"/>
          <w:szCs w:val="31"/>
          <w:shd w:val="clear" w:fill="FFFFFF"/>
          <w:lang w:val="en-US" w:eastAsia="zh-CN" w:bidi="ar"/>
        </w:rPr>
        <w:t>。</w:t>
      </w:r>
    </w:p>
    <w:p>
      <w:pPr>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val="0"/>
        <w:overflowPunct/>
        <w:topLinePunct w:val="0"/>
        <w:autoSpaceDE/>
        <w:autoSpaceDN/>
        <w:bidi w:val="0"/>
        <w:adjustRightInd/>
        <w:snapToGrid/>
        <w:spacing w:before="0" w:beforeAutospacing="0" w:line="560" w:lineRule="exact"/>
        <w:ind w:left="0" w:right="0" w:firstLine="620" w:firstLineChars="200"/>
        <w:jc w:val="both"/>
        <w:textAlignment w:val="auto"/>
        <w:rPr>
          <w:rFonts w:ascii="仿宋_GB2312" w:hAnsi="仿宋_GB2312" w:eastAsia="仿宋_GB2312" w:cs="仿宋_GB2312"/>
          <w:i w:val="0"/>
          <w:iCs w:val="0"/>
          <w:caps w:val="0"/>
          <w:color w:val="auto"/>
          <w:spacing w:val="0"/>
          <w:sz w:val="31"/>
          <w:szCs w:val="31"/>
        </w:rPr>
      </w:pPr>
      <w:r>
        <w:rPr>
          <w:rFonts w:ascii="仿宋_GB2312" w:hAnsi="仿宋_GB2312" w:eastAsia="仿宋_GB2312" w:cs="仿宋_GB2312"/>
          <w:i w:val="0"/>
          <w:iCs w:val="0"/>
          <w:caps w:val="0"/>
          <w:color w:val="auto"/>
          <w:spacing w:val="0"/>
          <w:kern w:val="0"/>
          <w:sz w:val="31"/>
          <w:szCs w:val="31"/>
          <w:shd w:val="clear" w:fill="FFFFFF"/>
          <w:lang w:val="en-US" w:eastAsia="zh-CN" w:bidi="ar"/>
        </w:rPr>
        <w:t>公务接待费0万元，开支内容包括</w:t>
      </w:r>
      <w:r>
        <w:rPr>
          <w:rFonts w:hint="eastAsia" w:ascii="仿宋_GB2312" w:hAnsi="仿宋_GB2312" w:eastAsia="仿宋_GB2312" w:cs="仿宋_GB2312"/>
          <w:i w:val="0"/>
          <w:iCs w:val="0"/>
          <w:caps w:val="0"/>
          <w:color w:val="auto"/>
          <w:spacing w:val="0"/>
          <w:kern w:val="0"/>
          <w:sz w:val="31"/>
          <w:szCs w:val="31"/>
          <w:shd w:val="clear" w:fill="FFFFFF"/>
          <w:lang w:val="en-US" w:eastAsia="zh-CN" w:bidi="ar"/>
        </w:rPr>
        <w:t>无</w:t>
      </w:r>
      <w:r>
        <w:rPr>
          <w:rFonts w:ascii="仿宋_GB2312" w:hAnsi="仿宋_GB2312" w:eastAsia="仿宋_GB2312" w:cs="仿宋_GB2312"/>
          <w:i w:val="0"/>
          <w:iCs w:val="0"/>
          <w:caps w:val="0"/>
          <w:color w:val="auto"/>
          <w:spacing w:val="0"/>
          <w:kern w:val="0"/>
          <w:sz w:val="31"/>
          <w:szCs w:val="31"/>
          <w:shd w:val="clear" w:fill="FFFFFF"/>
          <w:lang w:val="en-US" w:eastAsia="zh-CN" w:bidi="ar"/>
        </w:rPr>
        <w:t>。单位全年安排的国内公务接待0批次，0人次。</w:t>
      </w:r>
    </w:p>
    <w:p>
      <w:pPr>
        <w:keepNext w:val="0"/>
        <w:keepLines w:val="0"/>
        <w:pageBreakBefore w:val="0"/>
        <w:widowControl/>
        <w:numPr>
          <w:ilvl w:val="0"/>
          <w:numId w:val="0"/>
        </w:numPr>
        <w:kinsoku/>
        <w:overflowPunct/>
        <w:topLinePunct w:val="0"/>
        <w:autoSpaceDE/>
        <w:autoSpaceDN/>
        <w:bidi w:val="0"/>
        <w:adjustRightInd/>
        <w:snapToGrid/>
        <w:spacing w:before="0" w:beforeAutospacing="0" w:after="0" w:afterAutospacing="0" w:line="560" w:lineRule="exact"/>
        <w:ind w:left="0" w:right="0" w:firstLine="620" w:firstLineChars="200"/>
        <w:textAlignment w:val="auto"/>
        <w:rPr>
          <w:rFonts w:ascii="仿宋_GB2312" w:hAnsi="仿宋_GB2312" w:eastAsia="仿宋_GB2312" w:cs="仿宋_GB2312"/>
          <w:i w:val="0"/>
          <w:iCs w:val="0"/>
          <w:caps w:val="0"/>
          <w:color w:val="auto"/>
          <w:spacing w:val="0"/>
          <w:sz w:val="31"/>
          <w:szCs w:val="31"/>
        </w:rPr>
      </w:pPr>
      <w:r>
        <w:rPr>
          <w:rFonts w:ascii="仿宋_GB2312" w:hAnsi="仿宋_GB2312" w:eastAsia="仿宋_GB2312" w:cs="仿宋_GB2312"/>
          <w:i w:val="0"/>
          <w:iCs w:val="0"/>
          <w:caps w:val="0"/>
          <w:color w:val="auto"/>
          <w:spacing w:val="0"/>
          <w:kern w:val="0"/>
          <w:sz w:val="31"/>
          <w:szCs w:val="31"/>
          <w:shd w:val="clear" w:fill="FFFFFF"/>
          <w:lang w:val="en-US" w:eastAsia="zh-CN" w:bidi="ar"/>
        </w:rPr>
        <w:t>与全年预算相比，财政拨款“三公”经费支出全年预算数7.99万元，决算数7.99万元，预决算差异率0%，主要原因是：</w:t>
      </w:r>
      <w:r>
        <w:rPr>
          <w:rFonts w:hint="eastAsia" w:ascii="仿宋_GB2312" w:hAnsi="仿宋_GB2312" w:eastAsia="仿宋_GB2312" w:cs="仿宋_GB2312"/>
          <w:i w:val="0"/>
          <w:iCs w:val="0"/>
          <w:caps w:val="0"/>
          <w:color w:val="auto"/>
          <w:spacing w:val="0"/>
          <w:kern w:val="0"/>
          <w:sz w:val="31"/>
          <w:szCs w:val="31"/>
          <w:shd w:val="clear" w:fill="FFFFFF"/>
          <w:lang w:val="en-US" w:eastAsia="zh-CN" w:bidi="ar"/>
        </w:rPr>
        <w:t>认真贯彻落实中央八项规定精神和厉行节约要求，从严控制“三公”经费开支，全年实际支出和预算比有所节约、</w:t>
      </w:r>
      <w:r>
        <w:rPr>
          <w:rFonts w:hint="eastAsia" w:ascii="仿宋_GB2312" w:hAnsi="仿宋_GB2312" w:eastAsia="仿宋_GB2312" w:cs="仿宋_GB2312"/>
          <w:i w:val="0"/>
          <w:iCs w:val="0"/>
          <w:caps w:val="0"/>
          <w:color w:val="auto"/>
          <w:spacing w:val="0"/>
          <w:kern w:val="0"/>
          <w:sz w:val="31"/>
          <w:szCs w:val="31"/>
          <w:shd w:val="clear" w:fill="FFFFFF"/>
          <w:lang w:val="zh-CN" w:eastAsia="zh-CN" w:bidi="ar"/>
        </w:rPr>
        <w:t>本单位无公务用车运行费</w:t>
      </w:r>
      <w:r>
        <w:rPr>
          <w:rFonts w:hint="eastAsia" w:ascii="仿宋_GB2312" w:hAnsi="仿宋_GB2312" w:eastAsia="仿宋_GB2312" w:cs="仿宋_GB2312"/>
          <w:i w:val="0"/>
          <w:iCs w:val="0"/>
          <w:caps w:val="0"/>
          <w:color w:val="auto"/>
          <w:spacing w:val="0"/>
          <w:kern w:val="0"/>
          <w:sz w:val="31"/>
          <w:szCs w:val="31"/>
          <w:shd w:val="clear" w:fill="FFFFFF"/>
          <w:lang w:val="en-US" w:eastAsia="zh-CN" w:bidi="ar"/>
        </w:rPr>
        <w:t>预决算差异</w:t>
      </w:r>
      <w:r>
        <w:rPr>
          <w:rFonts w:ascii="仿宋_GB2312" w:hAnsi="仿宋_GB2312" w:eastAsia="仿宋_GB2312" w:cs="仿宋_GB2312"/>
          <w:i w:val="0"/>
          <w:iCs w:val="0"/>
          <w:caps w:val="0"/>
          <w:color w:val="auto"/>
          <w:spacing w:val="0"/>
          <w:kern w:val="0"/>
          <w:sz w:val="31"/>
          <w:szCs w:val="31"/>
          <w:shd w:val="clear" w:fill="FFFFFF"/>
          <w:lang w:val="en-US" w:eastAsia="zh-CN" w:bidi="ar"/>
        </w:rPr>
        <w:t>。其中：因公出国（境）费全年预算数0万元，决算数0万元，预决算差异率0%，主要原因是：</w:t>
      </w:r>
      <w:r>
        <w:rPr>
          <w:rFonts w:hint="eastAsia" w:ascii="仿宋_GB2312" w:hAnsi="仿宋_GB2312" w:eastAsia="仿宋_GB2312" w:cs="仿宋_GB2312"/>
          <w:i w:val="0"/>
          <w:iCs w:val="0"/>
          <w:caps w:val="0"/>
          <w:color w:val="auto"/>
          <w:spacing w:val="0"/>
          <w:kern w:val="0"/>
          <w:sz w:val="31"/>
          <w:szCs w:val="31"/>
          <w:shd w:val="clear" w:fill="FFFFFF"/>
          <w:lang w:val="en-US" w:eastAsia="zh-CN" w:bidi="ar"/>
        </w:rPr>
        <w:t>无</w:t>
      </w:r>
      <w:r>
        <w:rPr>
          <w:rFonts w:ascii="仿宋_GB2312" w:hAnsi="仿宋_GB2312" w:eastAsia="仿宋_GB2312" w:cs="仿宋_GB2312"/>
          <w:i w:val="0"/>
          <w:iCs w:val="0"/>
          <w:caps w:val="0"/>
          <w:color w:val="auto"/>
          <w:spacing w:val="0"/>
          <w:kern w:val="0"/>
          <w:sz w:val="31"/>
          <w:szCs w:val="31"/>
          <w:shd w:val="clear" w:fill="FFFFFF"/>
          <w:lang w:val="en-US" w:eastAsia="zh-CN" w:bidi="ar"/>
        </w:rPr>
        <w:t>。公务用车购置费全年预算数0万元，决算数0万元，预决算差异率0%，主要原因是：</w:t>
      </w:r>
      <w:r>
        <w:rPr>
          <w:rFonts w:hint="eastAsia" w:ascii="仿宋_GB2312" w:hAnsi="仿宋_GB2312" w:eastAsia="仿宋_GB2312" w:cs="仿宋_GB2312"/>
          <w:i w:val="0"/>
          <w:iCs w:val="0"/>
          <w:caps w:val="0"/>
          <w:color w:val="auto"/>
          <w:spacing w:val="0"/>
          <w:kern w:val="0"/>
          <w:sz w:val="31"/>
          <w:szCs w:val="31"/>
          <w:shd w:val="clear" w:fill="FFFFFF"/>
          <w:lang w:val="en-US" w:eastAsia="zh-CN" w:bidi="ar"/>
        </w:rPr>
        <w:t>本单位无</w:t>
      </w:r>
      <w:r>
        <w:rPr>
          <w:rFonts w:ascii="仿宋_GB2312" w:hAnsi="仿宋_GB2312" w:eastAsia="仿宋_GB2312" w:cs="仿宋_GB2312"/>
          <w:i w:val="0"/>
          <w:iCs w:val="0"/>
          <w:caps w:val="0"/>
          <w:color w:val="auto"/>
          <w:spacing w:val="0"/>
          <w:kern w:val="0"/>
          <w:sz w:val="31"/>
          <w:szCs w:val="31"/>
          <w:shd w:val="clear" w:fill="FFFFFF"/>
          <w:lang w:val="en-US" w:eastAsia="zh-CN" w:bidi="ar"/>
        </w:rPr>
        <w:t>公务用车购置费。公务用车运行维护费全年预算数7.99万元，决算数7.99万元，预决算差异率0%，主要原因是：</w:t>
      </w:r>
      <w:r>
        <w:rPr>
          <w:rFonts w:hint="eastAsia" w:ascii="仿宋_GB2312" w:hAnsi="仿宋_GB2312" w:eastAsia="仿宋_GB2312" w:cs="仿宋_GB2312"/>
          <w:i w:val="0"/>
          <w:iCs w:val="0"/>
          <w:caps w:val="0"/>
          <w:color w:val="auto"/>
          <w:spacing w:val="0"/>
          <w:kern w:val="0"/>
          <w:sz w:val="31"/>
          <w:szCs w:val="31"/>
          <w:shd w:val="clear" w:fill="FFFFFF"/>
          <w:lang w:val="en-US" w:eastAsia="zh-CN" w:bidi="ar"/>
        </w:rPr>
        <w:t>认真贯彻落实中央八项规定</w:t>
      </w:r>
      <w:bookmarkStart w:id="0" w:name="_GoBack"/>
      <w:bookmarkEnd w:id="0"/>
      <w:r>
        <w:rPr>
          <w:rFonts w:hint="eastAsia" w:ascii="仿宋_GB2312" w:hAnsi="仿宋_GB2312" w:eastAsia="仿宋_GB2312" w:cs="仿宋_GB2312"/>
          <w:i w:val="0"/>
          <w:iCs w:val="0"/>
          <w:caps w:val="0"/>
          <w:color w:val="auto"/>
          <w:spacing w:val="0"/>
          <w:kern w:val="0"/>
          <w:sz w:val="31"/>
          <w:szCs w:val="31"/>
          <w:shd w:val="clear" w:fill="FFFFFF"/>
          <w:lang w:val="en-US" w:eastAsia="zh-CN" w:bidi="ar"/>
        </w:rPr>
        <w:t>精神和厉行节约要求，从严控制“三公”经费开支，全年实际支出和预算比有所节约、</w:t>
      </w:r>
      <w:r>
        <w:rPr>
          <w:rFonts w:hint="eastAsia" w:ascii="仿宋_GB2312" w:hAnsi="仿宋_GB2312" w:eastAsia="仿宋_GB2312" w:cs="仿宋_GB2312"/>
          <w:i w:val="0"/>
          <w:iCs w:val="0"/>
          <w:caps w:val="0"/>
          <w:color w:val="auto"/>
          <w:spacing w:val="0"/>
          <w:kern w:val="0"/>
          <w:sz w:val="31"/>
          <w:szCs w:val="31"/>
          <w:shd w:val="clear" w:fill="FFFFFF"/>
          <w:lang w:val="zh-CN" w:eastAsia="zh-CN" w:bidi="ar"/>
        </w:rPr>
        <w:t>本单位无公务用车运行费</w:t>
      </w:r>
      <w:r>
        <w:rPr>
          <w:rFonts w:hint="eastAsia" w:ascii="仿宋_GB2312" w:hAnsi="仿宋_GB2312" w:eastAsia="仿宋_GB2312" w:cs="仿宋_GB2312"/>
          <w:i w:val="0"/>
          <w:iCs w:val="0"/>
          <w:caps w:val="0"/>
          <w:color w:val="auto"/>
          <w:spacing w:val="0"/>
          <w:kern w:val="0"/>
          <w:sz w:val="31"/>
          <w:szCs w:val="31"/>
          <w:shd w:val="clear" w:fill="FFFFFF"/>
          <w:lang w:val="en-US" w:eastAsia="zh-CN" w:bidi="ar"/>
        </w:rPr>
        <w:t>预决算差异</w:t>
      </w:r>
      <w:r>
        <w:rPr>
          <w:rFonts w:ascii="仿宋_GB2312" w:hAnsi="仿宋_GB2312" w:eastAsia="仿宋_GB2312" w:cs="仿宋_GB2312"/>
          <w:i w:val="0"/>
          <w:iCs w:val="0"/>
          <w:caps w:val="0"/>
          <w:color w:val="auto"/>
          <w:spacing w:val="0"/>
          <w:kern w:val="0"/>
          <w:sz w:val="31"/>
          <w:szCs w:val="31"/>
          <w:shd w:val="clear" w:fill="FFFFFF"/>
          <w:lang w:val="en-US" w:eastAsia="zh-CN" w:bidi="ar"/>
        </w:rPr>
        <w:t>。公务接待费全年预算数0万元，决算数0万元，预决算差异率0%，主要原因是：</w:t>
      </w:r>
      <w:r>
        <w:rPr>
          <w:rFonts w:hint="eastAsia" w:ascii="仿宋_GB2312" w:hAnsi="仿宋_GB2312" w:eastAsia="仿宋_GB2312" w:cs="仿宋_GB2312"/>
          <w:i w:val="0"/>
          <w:iCs w:val="0"/>
          <w:caps w:val="0"/>
          <w:color w:val="auto"/>
          <w:spacing w:val="0"/>
          <w:kern w:val="0"/>
          <w:sz w:val="31"/>
          <w:szCs w:val="31"/>
          <w:shd w:val="clear" w:fill="FFFFFF"/>
          <w:lang w:val="en-US" w:eastAsia="zh-CN" w:bidi="ar"/>
        </w:rPr>
        <w:t>本单位无</w:t>
      </w:r>
      <w:r>
        <w:rPr>
          <w:rFonts w:hint="eastAsia" w:ascii="仿宋_GB2312" w:hAnsi="仿宋_GB2312" w:eastAsia="仿宋_GB2312" w:cs="仿宋_GB2312"/>
          <w:i w:val="0"/>
          <w:iCs w:val="0"/>
          <w:caps w:val="0"/>
          <w:color w:val="auto"/>
          <w:spacing w:val="0"/>
          <w:kern w:val="0"/>
          <w:sz w:val="31"/>
          <w:szCs w:val="31"/>
          <w:shd w:val="clear" w:fill="FFFFFF"/>
          <w:lang w:val="zh-CN" w:eastAsia="zh-CN" w:bidi="ar"/>
        </w:rPr>
        <w:t>公务接待费支出</w:t>
      </w:r>
      <w:r>
        <w:rPr>
          <w:rFonts w:hint="eastAsia" w:ascii="仿宋_GB2312" w:hAnsi="仿宋_GB2312" w:eastAsia="仿宋_GB2312" w:cs="仿宋_GB2312"/>
          <w:i w:val="0"/>
          <w:iCs w:val="0"/>
          <w:caps w:val="0"/>
          <w:color w:val="auto"/>
          <w:spacing w:val="0"/>
          <w:kern w:val="0"/>
          <w:sz w:val="31"/>
          <w:szCs w:val="31"/>
          <w:shd w:val="clear" w:fill="FFFFFF"/>
          <w:lang w:val="en-US" w:eastAsia="zh-CN" w:bidi="ar"/>
        </w:rPr>
        <w:t>。</w:t>
      </w:r>
    </w:p>
    <w:p>
      <w:pPr>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val="0"/>
        <w:overflowPunct/>
        <w:topLinePunct w:val="0"/>
        <w:autoSpaceDE/>
        <w:autoSpaceDN/>
        <w:bidi w:val="0"/>
        <w:adjustRightInd/>
        <w:snapToGrid/>
        <w:spacing w:before="0" w:beforeAutospacing="0" w:line="560" w:lineRule="exact"/>
        <w:ind w:left="0" w:right="0"/>
        <w:jc w:val="left"/>
        <w:textAlignment w:val="auto"/>
        <w:rPr>
          <w:rFonts w:ascii="黑体" w:hAnsi="宋体" w:eastAsia="黑体" w:cs="黑体"/>
          <w:i w:val="0"/>
          <w:iCs w:val="0"/>
          <w:caps w:val="0"/>
          <w:color w:val="auto"/>
          <w:spacing w:val="0"/>
          <w:sz w:val="31"/>
          <w:szCs w:val="31"/>
        </w:rPr>
      </w:pPr>
      <w:r>
        <w:rPr>
          <w:rFonts w:ascii="黑体" w:hAnsi="宋体" w:eastAsia="黑体" w:cs="黑体"/>
          <w:i w:val="0"/>
          <w:iCs w:val="0"/>
          <w:caps w:val="0"/>
          <w:color w:val="auto"/>
          <w:spacing w:val="0"/>
          <w:kern w:val="0"/>
          <w:sz w:val="31"/>
          <w:szCs w:val="31"/>
          <w:shd w:val="clear" w:fill="FFFFFF"/>
          <w:lang w:val="en-US" w:eastAsia="zh-CN" w:bidi="ar"/>
        </w:rPr>
        <w:t>十、其他重要事项的情况说明</w:t>
      </w:r>
    </w:p>
    <w:p>
      <w:pPr>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val="0"/>
        <w:overflowPunct/>
        <w:topLinePunct w:val="0"/>
        <w:autoSpaceDE/>
        <w:autoSpaceDN/>
        <w:bidi w:val="0"/>
        <w:adjustRightInd/>
        <w:snapToGrid/>
        <w:spacing w:before="0" w:beforeAutospacing="0" w:line="560" w:lineRule="exact"/>
        <w:ind w:left="0" w:right="0"/>
        <w:jc w:val="left"/>
        <w:textAlignment w:val="auto"/>
        <w:rPr>
          <w:rFonts w:ascii="仿宋_GB2312" w:hAnsi="仿宋_GB2312" w:eastAsia="仿宋_GB2312" w:cs="仿宋_GB2312"/>
          <w:i w:val="0"/>
          <w:iCs w:val="0"/>
          <w:caps w:val="0"/>
          <w:color w:val="auto"/>
          <w:spacing w:val="0"/>
          <w:sz w:val="31"/>
          <w:szCs w:val="31"/>
        </w:rPr>
      </w:pPr>
      <w:r>
        <w:rPr>
          <w:rFonts w:ascii="仿宋_GB2312" w:hAnsi="仿宋_GB2312" w:eastAsia="仿宋_GB2312" w:cs="仿宋_GB2312"/>
          <w:b/>
          <w:bCs/>
          <w:i w:val="0"/>
          <w:iCs w:val="0"/>
          <w:caps w:val="0"/>
          <w:color w:val="auto"/>
          <w:spacing w:val="0"/>
          <w:kern w:val="0"/>
          <w:sz w:val="31"/>
          <w:szCs w:val="31"/>
          <w:shd w:val="clear" w:fill="FFFFFF"/>
          <w:lang w:val="en-US" w:eastAsia="zh-CN" w:bidi="ar"/>
        </w:rPr>
        <w:t>（一）机关运行经费及公用经费支出情况</w:t>
      </w:r>
    </w:p>
    <w:p>
      <w:pPr>
        <w:keepNext w:val="0"/>
        <w:keepLines w:val="0"/>
        <w:pageBreakBefore w:val="0"/>
        <w:widowControl/>
        <w:numPr>
          <w:ilvl w:val="0"/>
          <w:numId w:val="0"/>
        </w:numPr>
        <w:kinsoku/>
        <w:overflowPunct/>
        <w:topLinePunct w:val="0"/>
        <w:autoSpaceDE/>
        <w:autoSpaceDN/>
        <w:bidi w:val="0"/>
        <w:adjustRightInd/>
        <w:snapToGrid/>
        <w:spacing w:before="0" w:beforeAutospacing="0" w:after="0" w:afterAutospacing="0" w:line="560" w:lineRule="exact"/>
        <w:ind w:left="0" w:right="0" w:firstLine="620" w:firstLineChars="200"/>
        <w:textAlignment w:val="auto"/>
        <w:rPr>
          <w:rFonts w:hint="eastAsia" w:ascii="仿宋_GB2312" w:hAnsi="仿宋_GB2312" w:eastAsia="仿宋_GB2312" w:cs="仿宋_GB2312"/>
          <w:i w:val="0"/>
          <w:iCs w:val="0"/>
          <w:caps w:val="0"/>
          <w:color w:val="auto"/>
          <w:spacing w:val="0"/>
          <w:kern w:val="0"/>
          <w:sz w:val="31"/>
          <w:szCs w:val="31"/>
          <w:shd w:val="clear" w:fill="FFFFFF"/>
          <w:lang w:val="en-US" w:eastAsia="zh-CN" w:bidi="ar"/>
        </w:rPr>
      </w:pPr>
      <w:r>
        <w:rPr>
          <w:rFonts w:ascii="仿宋_GB2312" w:hAnsi="仿宋_GB2312" w:eastAsia="仿宋_GB2312" w:cs="仿宋_GB2312"/>
          <w:i w:val="0"/>
          <w:iCs w:val="0"/>
          <w:caps w:val="0"/>
          <w:color w:val="auto"/>
          <w:spacing w:val="0"/>
          <w:kern w:val="0"/>
          <w:sz w:val="31"/>
          <w:szCs w:val="31"/>
          <w:shd w:val="clear" w:fill="FFFFFF"/>
          <w:lang w:val="en-US" w:eastAsia="zh-CN" w:bidi="ar"/>
        </w:rPr>
        <w:t>2024年度库尔勒市铁克其乡人民政府单位机关运行经费支出966.86万元，比上年增加685.04万元，增长243.08%，主要原因是：</w:t>
      </w:r>
      <w:r>
        <w:rPr>
          <w:rFonts w:hint="eastAsia" w:ascii="仿宋_GB2312" w:hAnsi="仿宋_GB2312" w:eastAsia="仿宋_GB2312" w:cs="仿宋_GB2312"/>
          <w:i w:val="0"/>
          <w:iCs w:val="0"/>
          <w:caps w:val="0"/>
          <w:color w:val="auto"/>
          <w:spacing w:val="0"/>
          <w:kern w:val="0"/>
          <w:sz w:val="31"/>
          <w:szCs w:val="31"/>
          <w:shd w:val="clear" w:fill="FFFFFF"/>
          <w:lang w:val="en-US" w:eastAsia="zh-CN" w:bidi="ar"/>
        </w:rPr>
        <w:t>本年度在职人员工资及医疗基数，奖金调增。</w:t>
      </w:r>
    </w:p>
    <w:p>
      <w:pPr>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val="0"/>
        <w:overflowPunct/>
        <w:topLinePunct w:val="0"/>
        <w:autoSpaceDE/>
        <w:autoSpaceDN/>
        <w:bidi w:val="0"/>
        <w:adjustRightInd/>
        <w:snapToGrid/>
        <w:spacing w:before="0" w:beforeAutospacing="0" w:line="560" w:lineRule="exact"/>
        <w:ind w:left="0" w:right="0"/>
        <w:jc w:val="left"/>
        <w:textAlignment w:val="auto"/>
        <w:rPr>
          <w:rFonts w:ascii="仿宋_GB2312" w:hAnsi="仿宋_GB2312" w:eastAsia="仿宋_GB2312" w:cs="仿宋_GB2312"/>
          <w:i w:val="0"/>
          <w:iCs w:val="0"/>
          <w:caps w:val="0"/>
          <w:color w:val="auto"/>
          <w:spacing w:val="0"/>
          <w:sz w:val="31"/>
          <w:szCs w:val="31"/>
        </w:rPr>
      </w:pPr>
      <w:r>
        <w:rPr>
          <w:rFonts w:ascii="仿宋_GB2312" w:hAnsi="仿宋_GB2312" w:eastAsia="仿宋_GB2312" w:cs="仿宋_GB2312"/>
          <w:b/>
          <w:bCs/>
          <w:i w:val="0"/>
          <w:iCs w:val="0"/>
          <w:caps w:val="0"/>
          <w:color w:val="auto"/>
          <w:spacing w:val="0"/>
          <w:kern w:val="0"/>
          <w:sz w:val="31"/>
          <w:szCs w:val="31"/>
          <w:shd w:val="clear" w:fill="FFFFFF"/>
          <w:lang w:val="en-US" w:eastAsia="zh-CN" w:bidi="ar"/>
        </w:rPr>
        <w:t>（二）政府采购情况</w:t>
      </w:r>
    </w:p>
    <w:p>
      <w:pPr>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val="0"/>
        <w:overflowPunct/>
        <w:topLinePunct w:val="0"/>
        <w:autoSpaceDE/>
        <w:autoSpaceDN/>
        <w:bidi w:val="0"/>
        <w:adjustRightInd/>
        <w:snapToGrid/>
        <w:spacing w:before="0" w:beforeAutospacing="0" w:line="560" w:lineRule="exact"/>
        <w:ind w:left="0" w:right="0" w:firstLine="620" w:firstLineChars="200"/>
        <w:jc w:val="both"/>
        <w:textAlignment w:val="auto"/>
        <w:rPr>
          <w:rFonts w:ascii="仿宋_GB2312" w:hAnsi="仿宋_GB2312" w:eastAsia="仿宋_GB2312" w:cs="仿宋_GB2312"/>
          <w:i w:val="0"/>
          <w:iCs w:val="0"/>
          <w:caps w:val="0"/>
          <w:color w:val="auto"/>
          <w:spacing w:val="0"/>
          <w:sz w:val="31"/>
          <w:szCs w:val="31"/>
        </w:rPr>
      </w:pPr>
      <w:r>
        <w:rPr>
          <w:rFonts w:ascii="仿宋_GB2312" w:hAnsi="仿宋_GB2312" w:eastAsia="仿宋_GB2312" w:cs="仿宋_GB2312"/>
          <w:i w:val="0"/>
          <w:iCs w:val="0"/>
          <w:caps w:val="0"/>
          <w:color w:val="auto"/>
          <w:spacing w:val="0"/>
          <w:kern w:val="0"/>
          <w:sz w:val="31"/>
          <w:szCs w:val="31"/>
          <w:shd w:val="clear" w:fill="FFFFFF"/>
          <w:lang w:val="en-US" w:eastAsia="zh-CN" w:bidi="ar"/>
        </w:rPr>
        <w:t>2024年度政府采购支出总额452.63万元，其中：政府采购货物支出442.29万元、政府采购工程支出2.43万元、政府采购服务支出7.91万元。</w:t>
      </w:r>
    </w:p>
    <w:p>
      <w:pPr>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val="0"/>
        <w:overflowPunct/>
        <w:topLinePunct w:val="0"/>
        <w:autoSpaceDE/>
        <w:autoSpaceDN/>
        <w:bidi w:val="0"/>
        <w:adjustRightInd/>
        <w:snapToGrid/>
        <w:spacing w:before="0" w:beforeAutospacing="0" w:line="560" w:lineRule="exact"/>
        <w:ind w:left="0" w:right="0" w:firstLine="620" w:firstLineChars="200"/>
        <w:jc w:val="both"/>
        <w:textAlignment w:val="auto"/>
        <w:rPr>
          <w:rFonts w:ascii="仿宋_GB2312" w:hAnsi="仿宋_GB2312" w:eastAsia="仿宋_GB2312" w:cs="仿宋_GB2312"/>
          <w:i w:val="0"/>
          <w:iCs w:val="0"/>
          <w:caps w:val="0"/>
          <w:color w:val="auto"/>
          <w:spacing w:val="0"/>
          <w:sz w:val="31"/>
          <w:szCs w:val="31"/>
        </w:rPr>
      </w:pPr>
      <w:r>
        <w:rPr>
          <w:rFonts w:ascii="仿宋_GB2312" w:hAnsi="仿宋_GB2312" w:eastAsia="仿宋_GB2312" w:cs="仿宋_GB2312"/>
          <w:i w:val="0"/>
          <w:iCs w:val="0"/>
          <w:caps w:val="0"/>
          <w:color w:val="auto"/>
          <w:spacing w:val="0"/>
          <w:kern w:val="0"/>
          <w:sz w:val="31"/>
          <w:szCs w:val="31"/>
          <w:shd w:val="clear" w:fill="FFFFFF"/>
          <w:lang w:val="en-US" w:eastAsia="zh-CN" w:bidi="ar"/>
        </w:rPr>
        <w:t>授予中小企业合同金额452.51万元，占政府采购支出总额的99.97%，其中：授予小微企业合同金额451.84万元，占政府采购支出总额的99.83%。</w:t>
      </w:r>
    </w:p>
    <w:p>
      <w:pPr>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val="0"/>
        <w:overflowPunct/>
        <w:topLinePunct w:val="0"/>
        <w:autoSpaceDE/>
        <w:autoSpaceDN/>
        <w:bidi w:val="0"/>
        <w:adjustRightInd/>
        <w:snapToGrid/>
        <w:spacing w:before="0" w:beforeAutospacing="0" w:line="560" w:lineRule="exact"/>
        <w:ind w:left="0" w:right="0"/>
        <w:jc w:val="left"/>
        <w:textAlignment w:val="auto"/>
        <w:rPr>
          <w:rFonts w:ascii="仿宋_GB2312" w:hAnsi="仿宋_GB2312" w:eastAsia="仿宋_GB2312" w:cs="仿宋_GB2312"/>
          <w:i w:val="0"/>
          <w:iCs w:val="0"/>
          <w:caps w:val="0"/>
          <w:color w:val="auto"/>
          <w:spacing w:val="0"/>
          <w:sz w:val="31"/>
          <w:szCs w:val="31"/>
        </w:rPr>
      </w:pPr>
      <w:r>
        <w:rPr>
          <w:rFonts w:ascii="仿宋_GB2312" w:hAnsi="仿宋_GB2312" w:eastAsia="仿宋_GB2312" w:cs="仿宋_GB2312"/>
          <w:b/>
          <w:bCs/>
          <w:i w:val="0"/>
          <w:iCs w:val="0"/>
          <w:caps w:val="0"/>
          <w:color w:val="auto"/>
          <w:spacing w:val="0"/>
          <w:kern w:val="0"/>
          <w:sz w:val="31"/>
          <w:szCs w:val="31"/>
          <w:shd w:val="clear" w:fill="FFFFFF"/>
          <w:lang w:val="en-US" w:eastAsia="zh-CN" w:bidi="ar"/>
        </w:rPr>
        <w:t>（三）国有资产占用情况说明</w:t>
      </w:r>
    </w:p>
    <w:p>
      <w:pPr>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val="0"/>
        <w:overflowPunct/>
        <w:topLinePunct w:val="0"/>
        <w:autoSpaceDE/>
        <w:autoSpaceDN/>
        <w:bidi w:val="0"/>
        <w:adjustRightInd/>
        <w:snapToGrid/>
        <w:spacing w:before="0" w:beforeAutospacing="0" w:line="560" w:lineRule="exact"/>
        <w:ind w:left="0" w:right="0" w:firstLine="620" w:firstLineChars="200"/>
        <w:jc w:val="both"/>
        <w:textAlignment w:val="auto"/>
        <w:rPr>
          <w:rFonts w:ascii="仿宋_GB2312" w:hAnsi="仿宋_GB2312" w:eastAsia="仿宋_GB2312" w:cs="仿宋_GB2312"/>
          <w:i w:val="0"/>
          <w:iCs w:val="0"/>
          <w:caps w:val="0"/>
          <w:color w:val="auto"/>
          <w:spacing w:val="0"/>
          <w:sz w:val="31"/>
          <w:szCs w:val="31"/>
        </w:rPr>
      </w:pPr>
      <w:r>
        <w:rPr>
          <w:rFonts w:ascii="仿宋_GB2312" w:hAnsi="仿宋_GB2312" w:eastAsia="仿宋_GB2312" w:cs="仿宋_GB2312"/>
          <w:i w:val="0"/>
          <w:iCs w:val="0"/>
          <w:caps w:val="0"/>
          <w:color w:val="auto"/>
          <w:spacing w:val="0"/>
          <w:kern w:val="0"/>
          <w:sz w:val="31"/>
          <w:szCs w:val="31"/>
          <w:shd w:val="clear" w:fill="FFFFFF"/>
          <w:lang w:val="en-US" w:eastAsia="zh-CN" w:bidi="ar"/>
        </w:rPr>
        <w:t>截至2024年12月31日，房屋15,063.86平方米，价值1,430.75万元。车辆32辆，价值243.67万元，其中：副部（省）级及以上领导用车0辆、主要负责人用车0辆、机要通信用车0辆、应急保障用车0辆、执法执勤用车20辆、特种专业技术用车0辆、离退休干部服务用车0辆、其他用车12辆，其他用车主要是：</w:t>
      </w:r>
      <w:r>
        <w:rPr>
          <w:rFonts w:hint="eastAsia" w:ascii="仿宋_GB2312" w:hAnsi="仿宋_GB2312" w:eastAsia="仿宋_GB2312" w:cs="仿宋_GB2312"/>
          <w:i w:val="0"/>
          <w:iCs w:val="0"/>
          <w:caps w:val="0"/>
          <w:color w:val="auto"/>
          <w:spacing w:val="0"/>
          <w:kern w:val="0"/>
          <w:sz w:val="31"/>
          <w:szCs w:val="31"/>
          <w:shd w:val="clear" w:fill="FFFFFF"/>
          <w:lang w:val="en-US" w:eastAsia="zh-CN" w:bidi="ar"/>
        </w:rPr>
        <w:t>各村社区警车</w:t>
      </w:r>
      <w:r>
        <w:rPr>
          <w:rFonts w:ascii="仿宋_GB2312" w:hAnsi="仿宋_GB2312" w:eastAsia="仿宋_GB2312" w:cs="仿宋_GB2312"/>
          <w:i w:val="0"/>
          <w:iCs w:val="0"/>
          <w:caps w:val="0"/>
          <w:color w:val="auto"/>
          <w:spacing w:val="0"/>
          <w:kern w:val="0"/>
          <w:sz w:val="31"/>
          <w:szCs w:val="31"/>
          <w:shd w:val="clear" w:fill="FFFFFF"/>
          <w:lang w:val="en-US" w:eastAsia="zh-CN" w:bidi="ar"/>
        </w:rPr>
        <w:t>;单价100万元（含）以上设备（不含车辆）1台（套）。</w:t>
      </w:r>
    </w:p>
    <w:p>
      <w:pPr>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val="0"/>
        <w:overflowPunct/>
        <w:topLinePunct w:val="0"/>
        <w:autoSpaceDE/>
        <w:autoSpaceDN/>
        <w:bidi w:val="0"/>
        <w:adjustRightInd/>
        <w:snapToGrid/>
        <w:spacing w:before="0" w:beforeAutospacing="0" w:line="560" w:lineRule="exact"/>
        <w:ind w:left="0" w:right="0"/>
        <w:jc w:val="left"/>
        <w:textAlignment w:val="auto"/>
        <w:rPr>
          <w:rFonts w:ascii="黑体" w:hAnsi="宋体" w:eastAsia="黑体" w:cs="黑体"/>
          <w:i w:val="0"/>
          <w:iCs w:val="0"/>
          <w:caps w:val="0"/>
          <w:color w:val="auto"/>
          <w:spacing w:val="0"/>
          <w:sz w:val="31"/>
          <w:szCs w:val="31"/>
        </w:rPr>
      </w:pPr>
      <w:r>
        <w:rPr>
          <w:rFonts w:ascii="黑体" w:hAnsi="宋体" w:eastAsia="黑体" w:cs="黑体"/>
          <w:i w:val="0"/>
          <w:iCs w:val="0"/>
          <w:caps w:val="0"/>
          <w:color w:val="auto"/>
          <w:spacing w:val="0"/>
          <w:kern w:val="0"/>
          <w:sz w:val="31"/>
          <w:szCs w:val="31"/>
          <w:shd w:val="clear" w:fill="FFFFFF"/>
          <w:lang w:val="en-US" w:eastAsia="zh-CN" w:bidi="ar"/>
        </w:rPr>
        <w:t>十一、预算绩效的情况说明​</w:t>
      </w:r>
    </w:p>
    <w:p>
      <w:pPr>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val="0"/>
        <w:overflowPunct/>
        <w:topLinePunct w:val="0"/>
        <w:autoSpaceDE/>
        <w:autoSpaceDN/>
        <w:bidi w:val="0"/>
        <w:adjustRightInd/>
        <w:snapToGrid/>
        <w:spacing w:before="0" w:beforeAutospacing="0" w:line="560" w:lineRule="exact"/>
        <w:ind w:left="0" w:right="0" w:firstLine="620" w:firstLineChars="200"/>
        <w:jc w:val="both"/>
        <w:textAlignment w:val="auto"/>
        <w:rPr>
          <w:rFonts w:hint="eastAsia" w:ascii="仿宋" w:hAnsi="仿宋" w:eastAsia="仿宋" w:cs="仿宋"/>
          <w:i w:val="0"/>
          <w:iCs w:val="0"/>
          <w:caps w:val="0"/>
          <w:color w:val="auto"/>
          <w:spacing w:val="0"/>
          <w:kern w:val="0"/>
          <w:sz w:val="31"/>
          <w:szCs w:val="31"/>
          <w:shd w:val="clear" w:fill="FFFFFF"/>
          <w:lang w:val="en-US" w:eastAsia="zh-CN" w:bidi="ar"/>
        </w:rPr>
      </w:pPr>
      <w:r>
        <w:rPr>
          <w:rFonts w:hint="eastAsia" w:ascii="仿宋" w:hAnsi="仿宋" w:eastAsia="仿宋" w:cs="仿宋"/>
          <w:i w:val="0"/>
          <w:iCs w:val="0"/>
          <w:caps w:val="0"/>
          <w:color w:val="auto"/>
          <w:spacing w:val="0"/>
          <w:kern w:val="0"/>
          <w:sz w:val="31"/>
          <w:szCs w:val="31"/>
          <w:shd w:val="clear" w:fill="FFFFFF"/>
          <w:lang w:val="en-US" w:eastAsia="zh-CN" w:bidi="ar"/>
        </w:rPr>
        <w:t>根据预算绩效管理要求，本单位2024年度预算绩效管理形成整体支出绩效自评表1个，全年预算总额4172.18万元，实际执行总额4172.19万元；预算绩效评价项目7个，全年预算数353.44万元，全年执行数275.97万元。预算绩效管理取得的成效：一是提高了绩效目标的科学性、规范性、使用性；二是开展绩效自评提升了自评质量</w:t>
      </w:r>
      <w:r>
        <w:rPr>
          <w:rFonts w:hint="default" w:ascii="仿宋" w:hAnsi="仿宋" w:eastAsia="仿宋" w:cs="仿宋"/>
          <w:i w:val="0"/>
          <w:iCs w:val="0"/>
          <w:caps w:val="0"/>
          <w:color w:val="auto"/>
          <w:spacing w:val="0"/>
          <w:kern w:val="0"/>
          <w:sz w:val="31"/>
          <w:szCs w:val="31"/>
          <w:shd w:val="clear" w:fill="FFFFFF"/>
          <w:lang w:val="en-US" w:eastAsia="zh-CN" w:bidi="ar"/>
        </w:rPr>
        <w:t>。</w:t>
      </w:r>
      <w:r>
        <w:rPr>
          <w:rFonts w:hint="eastAsia" w:ascii="仿宋" w:hAnsi="仿宋" w:eastAsia="仿宋" w:cs="仿宋"/>
          <w:i w:val="0"/>
          <w:iCs w:val="0"/>
          <w:caps w:val="0"/>
          <w:color w:val="auto"/>
          <w:spacing w:val="0"/>
          <w:kern w:val="0"/>
          <w:sz w:val="31"/>
          <w:szCs w:val="31"/>
          <w:shd w:val="clear" w:fill="FFFFFF"/>
          <w:lang w:val="en-US" w:eastAsia="zh-CN" w:bidi="ar"/>
        </w:rPr>
        <w:t>发现的问题及原因：基层财务工作基础还需进一步夯实，财务工作人员少，工作压力大，财务工作水平仍需要进一步提高。面对这些问题我们将认真分析，切实加以解决，进一步完善财务制度，规范财经纪律，严格控制非生产性开支，进一步提高项目支出水平。下一步改进措施：多进行有关绩效管理工作方面的培训。积极组织第三方开展绩效管理工作培训，进一步夯实业务基础，提高我单位绩效人员水平。规范项目建设的程序严格执行资金管理办法和财政资金管理制度，严格按照项目实施方案稳步推进工作，根据自己项目的特点进行总结。具体附部门整体支出绩效自评表，项目支出绩效自评表和部门评价报告。</w:t>
      </w:r>
    </w:p>
    <w:p>
      <w:pPr>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val="0"/>
        <w:overflowPunct/>
        <w:topLinePunct w:val="0"/>
        <w:autoSpaceDE/>
        <w:autoSpaceDN/>
        <w:bidi w:val="0"/>
        <w:adjustRightInd/>
        <w:snapToGrid/>
        <w:spacing w:before="0" w:beforeAutospacing="0" w:line="560" w:lineRule="exact"/>
        <w:ind w:left="0" w:right="0"/>
        <w:jc w:val="left"/>
        <w:textAlignment w:val="auto"/>
        <w:rPr>
          <w:rFonts w:ascii="黑体" w:hAnsi="宋体" w:eastAsia="黑体" w:cs="黑体"/>
          <w:i w:val="0"/>
          <w:iCs w:val="0"/>
          <w:caps w:val="0"/>
          <w:color w:val="auto"/>
          <w:spacing w:val="0"/>
          <w:sz w:val="31"/>
          <w:szCs w:val="31"/>
        </w:rPr>
      </w:pPr>
      <w:r>
        <w:rPr>
          <w:rFonts w:ascii="黑体" w:hAnsi="宋体" w:eastAsia="黑体" w:cs="黑体"/>
          <w:i w:val="0"/>
          <w:iCs w:val="0"/>
          <w:caps w:val="0"/>
          <w:color w:val="auto"/>
          <w:spacing w:val="0"/>
          <w:kern w:val="0"/>
          <w:sz w:val="31"/>
          <w:szCs w:val="31"/>
          <w:shd w:val="clear" w:fill="FFFFFF"/>
          <w:lang w:val="en-US" w:eastAsia="zh-CN" w:bidi="ar"/>
        </w:rPr>
        <w:t>十二、其他需说明的事项​（若有其他需说明的事项请勾选）</w:t>
      </w:r>
    </w:p>
    <w:p>
      <w:pPr>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val="0"/>
        <w:overflowPunct/>
        <w:topLinePunct w:val="0"/>
        <w:autoSpaceDE/>
        <w:autoSpaceDN/>
        <w:bidi w:val="0"/>
        <w:adjustRightInd/>
        <w:snapToGrid/>
        <w:spacing w:before="0" w:beforeAutospacing="0" w:line="560" w:lineRule="exact"/>
        <w:ind w:left="0" w:right="0" w:firstLine="620" w:firstLineChars="200"/>
        <w:jc w:val="both"/>
        <w:textAlignment w:val="auto"/>
        <w:rPr>
          <w:rFonts w:ascii="仿宋_GB2312" w:hAnsi="仿宋_GB2312" w:eastAsia="仿宋_GB2312" w:cs="仿宋_GB2312"/>
          <w:i w:val="0"/>
          <w:iCs w:val="0"/>
          <w:caps w:val="0"/>
          <w:color w:val="auto"/>
          <w:spacing w:val="0"/>
          <w:kern w:val="0"/>
          <w:sz w:val="31"/>
          <w:szCs w:val="31"/>
          <w:shd w:val="clear" w:fill="FFFFFF"/>
          <w:lang w:val="en-US" w:eastAsia="zh-CN" w:bidi="ar"/>
        </w:rPr>
      </w:pPr>
      <w:r>
        <w:rPr>
          <w:rFonts w:ascii="仿宋_GB2312" w:hAnsi="仿宋_GB2312" w:eastAsia="仿宋_GB2312" w:cs="仿宋_GB2312"/>
          <w:i w:val="0"/>
          <w:iCs w:val="0"/>
          <w:caps w:val="0"/>
          <w:color w:val="auto"/>
          <w:spacing w:val="0"/>
          <w:kern w:val="0"/>
          <w:sz w:val="31"/>
          <w:szCs w:val="31"/>
          <w:shd w:val="clear" w:fill="FFFFFF"/>
          <w:lang w:val="en-US" w:eastAsia="zh-CN" w:bidi="ar"/>
        </w:rPr>
        <w:t>本单位无其他需说明事项。</w:t>
      </w:r>
    </w:p>
    <w:p>
      <w:pPr>
        <w:keepNext w:val="0"/>
        <w:keepLines w:val="0"/>
        <w:pageBreakBefore w:val="0"/>
        <w:kinsoku/>
        <w:overflowPunct/>
        <w:topLinePunct w:val="0"/>
        <w:autoSpaceDE/>
        <w:autoSpaceDN/>
        <w:bidi w:val="0"/>
        <w:adjustRightInd/>
        <w:snapToGrid/>
        <w:ind w:left="0" w:right="0"/>
        <w:textAlignment w:val="auto"/>
      </w:pPr>
      <w:r>
        <w:rPr>
          <w:rFonts w:ascii="仿宋_GB2312" w:hAnsi="仿宋_GB2312" w:eastAsia="仿宋_GB2312" w:cs="仿宋_GB2312"/>
          <w:i w:val="0"/>
          <w:iCs w:val="0"/>
          <w:caps w:val="0"/>
          <w:color w:val="auto"/>
          <w:spacing w:val="0"/>
          <w:kern w:val="0"/>
          <w:sz w:val="31"/>
          <w:szCs w:val="31"/>
          <w:shd w:val="clear" w:fill="FFFFFF"/>
          <w:lang w:val="en-US" w:eastAsia="zh-CN" w:bidi="ar"/>
        </w:rPr>
        <w:br w:type="page"/>
      </w:r>
    </w:p>
    <w:p>
      <w:pPr>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val="0"/>
        <w:overflowPunct/>
        <w:topLinePunct w:val="0"/>
        <w:autoSpaceDE/>
        <w:autoSpaceDN/>
        <w:bidi w:val="0"/>
        <w:adjustRightInd/>
        <w:snapToGrid/>
        <w:spacing w:before="0" w:beforeAutospacing="0" w:line="560" w:lineRule="exact"/>
        <w:ind w:left="0" w:right="0" w:firstLine="620" w:firstLineChars="200"/>
        <w:jc w:val="center"/>
        <w:textAlignment w:val="auto"/>
        <w:rPr>
          <w:rFonts w:ascii="黑体" w:hAnsi="宋体" w:eastAsia="黑体" w:cs="黑体"/>
          <w:i w:val="0"/>
          <w:iCs w:val="0"/>
          <w:caps w:val="0"/>
          <w:color w:val="auto"/>
          <w:spacing w:val="0"/>
          <w:sz w:val="31"/>
          <w:szCs w:val="31"/>
        </w:rPr>
      </w:pPr>
      <w:r>
        <w:rPr>
          <w:rFonts w:ascii="黑体" w:hAnsi="宋体" w:eastAsia="黑体" w:cs="黑体"/>
          <w:i w:val="0"/>
          <w:iCs w:val="0"/>
          <w:caps w:val="0"/>
          <w:color w:val="auto"/>
          <w:spacing w:val="0"/>
          <w:kern w:val="0"/>
          <w:sz w:val="31"/>
          <w:szCs w:val="31"/>
          <w:shd w:val="clear" w:fill="FFFFFF"/>
          <w:lang w:val="en-US" w:eastAsia="zh-CN" w:bidi="ar"/>
        </w:rPr>
        <w:t>第三部分 专业名词解释</w:t>
      </w:r>
    </w:p>
    <w:p>
      <w:pPr>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val="0"/>
        <w:overflowPunct/>
        <w:topLinePunct w:val="0"/>
        <w:autoSpaceDE/>
        <w:autoSpaceDN/>
        <w:bidi w:val="0"/>
        <w:adjustRightInd/>
        <w:snapToGrid/>
        <w:spacing w:before="0" w:beforeAutospacing="0" w:line="560" w:lineRule="exact"/>
        <w:ind w:left="0" w:right="0" w:firstLine="0" w:firstLineChars="0"/>
        <w:jc w:val="both"/>
        <w:textAlignment w:val="auto"/>
        <w:rPr>
          <w:rFonts w:ascii="仿宋_GB2312" w:hAnsi="仿宋_GB2312" w:eastAsia="仿宋_GB2312" w:cs="仿宋_GB2312"/>
          <w:i w:val="0"/>
          <w:iCs w:val="0"/>
          <w:caps w:val="0"/>
          <w:color w:val="auto"/>
          <w:spacing w:val="0"/>
          <w:sz w:val="31"/>
          <w:szCs w:val="31"/>
        </w:rPr>
      </w:pPr>
      <w:r>
        <w:rPr>
          <w:rFonts w:ascii="仿宋_GB2312" w:hAnsi="仿宋_GB2312" w:eastAsia="仿宋_GB2312" w:cs="仿宋_GB2312"/>
          <w:b/>
          <w:bCs/>
          <w:i w:val="0"/>
          <w:iCs w:val="0"/>
          <w:caps w:val="0"/>
          <w:color w:val="auto"/>
          <w:spacing w:val="0"/>
          <w:kern w:val="0"/>
          <w:sz w:val="31"/>
          <w:szCs w:val="31"/>
          <w:shd w:val="clear" w:fill="FFFFFF"/>
          <w:lang w:val="en-US" w:eastAsia="zh-CN" w:bidi="ar"/>
        </w:rPr>
        <w:t>一、财政拨款收入：</w:t>
      </w:r>
      <w:r>
        <w:rPr>
          <w:rFonts w:ascii="仿宋_GB2312" w:hAnsi="仿宋_GB2312" w:eastAsia="仿宋_GB2312" w:cs="仿宋_GB2312"/>
          <w:i w:val="0"/>
          <w:iCs w:val="0"/>
          <w:caps w:val="0"/>
          <w:color w:val="auto"/>
          <w:spacing w:val="0"/>
          <w:kern w:val="0"/>
          <w:sz w:val="31"/>
          <w:szCs w:val="31"/>
          <w:shd w:val="clear" w:fill="FFFFFF"/>
          <w:lang w:val="en-US" w:eastAsia="zh-CN" w:bidi="ar"/>
        </w:rPr>
        <w:t>指同级财政当年拨付的资金。</w:t>
      </w:r>
    </w:p>
    <w:p>
      <w:pPr>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val="0"/>
        <w:overflowPunct/>
        <w:topLinePunct w:val="0"/>
        <w:autoSpaceDE/>
        <w:autoSpaceDN/>
        <w:bidi w:val="0"/>
        <w:adjustRightInd/>
        <w:snapToGrid/>
        <w:spacing w:before="0" w:beforeAutospacing="0" w:line="560" w:lineRule="exact"/>
        <w:ind w:left="0" w:right="0" w:firstLine="0" w:firstLineChars="0"/>
        <w:jc w:val="both"/>
        <w:textAlignment w:val="auto"/>
        <w:rPr>
          <w:rFonts w:ascii="仿宋_GB2312" w:hAnsi="仿宋_GB2312" w:eastAsia="仿宋_GB2312" w:cs="仿宋_GB2312"/>
          <w:i w:val="0"/>
          <w:iCs w:val="0"/>
          <w:caps w:val="0"/>
          <w:color w:val="auto"/>
          <w:spacing w:val="0"/>
          <w:sz w:val="31"/>
          <w:szCs w:val="31"/>
        </w:rPr>
      </w:pPr>
      <w:r>
        <w:rPr>
          <w:rFonts w:ascii="仿宋_GB2312" w:hAnsi="仿宋_GB2312" w:eastAsia="仿宋_GB2312" w:cs="仿宋_GB2312"/>
          <w:b/>
          <w:bCs/>
          <w:i w:val="0"/>
          <w:iCs w:val="0"/>
          <w:caps w:val="0"/>
          <w:color w:val="auto"/>
          <w:spacing w:val="0"/>
          <w:kern w:val="0"/>
          <w:sz w:val="31"/>
          <w:szCs w:val="31"/>
          <w:shd w:val="clear" w:fill="FFFFFF"/>
          <w:lang w:val="en-US" w:eastAsia="zh-CN" w:bidi="ar"/>
        </w:rPr>
        <w:t>二、上级补助收入：</w:t>
      </w:r>
      <w:r>
        <w:rPr>
          <w:rFonts w:ascii="仿宋_GB2312" w:hAnsi="仿宋_GB2312" w:eastAsia="仿宋_GB2312" w:cs="仿宋_GB2312"/>
          <w:i w:val="0"/>
          <w:iCs w:val="0"/>
          <w:caps w:val="0"/>
          <w:color w:val="auto"/>
          <w:spacing w:val="0"/>
          <w:kern w:val="0"/>
          <w:sz w:val="31"/>
          <w:szCs w:val="31"/>
          <w:shd w:val="clear" w:fill="FFFFFF"/>
          <w:lang w:val="en-US" w:eastAsia="zh-CN" w:bidi="ar"/>
        </w:rPr>
        <w:t>指事业单位从主管部门和上级单位取得的非财政补助收入。</w:t>
      </w:r>
    </w:p>
    <w:p>
      <w:pPr>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val="0"/>
        <w:overflowPunct/>
        <w:topLinePunct w:val="0"/>
        <w:autoSpaceDE/>
        <w:autoSpaceDN/>
        <w:bidi w:val="0"/>
        <w:adjustRightInd/>
        <w:snapToGrid/>
        <w:spacing w:before="0" w:beforeAutospacing="0" w:line="560" w:lineRule="exact"/>
        <w:ind w:left="0" w:right="0" w:firstLine="0" w:firstLineChars="0"/>
        <w:jc w:val="both"/>
        <w:textAlignment w:val="auto"/>
        <w:rPr>
          <w:rFonts w:ascii="仿宋_GB2312" w:hAnsi="仿宋_GB2312" w:eastAsia="仿宋_GB2312" w:cs="仿宋_GB2312"/>
          <w:i w:val="0"/>
          <w:iCs w:val="0"/>
          <w:caps w:val="0"/>
          <w:color w:val="auto"/>
          <w:spacing w:val="0"/>
          <w:sz w:val="31"/>
          <w:szCs w:val="31"/>
        </w:rPr>
      </w:pPr>
      <w:r>
        <w:rPr>
          <w:rFonts w:ascii="仿宋_GB2312" w:hAnsi="仿宋_GB2312" w:eastAsia="仿宋_GB2312" w:cs="仿宋_GB2312"/>
          <w:b/>
          <w:bCs/>
          <w:i w:val="0"/>
          <w:iCs w:val="0"/>
          <w:caps w:val="0"/>
          <w:color w:val="auto"/>
          <w:spacing w:val="0"/>
          <w:kern w:val="0"/>
          <w:sz w:val="31"/>
          <w:szCs w:val="31"/>
          <w:shd w:val="clear" w:fill="FFFFFF"/>
          <w:lang w:val="en-US" w:eastAsia="zh-CN" w:bidi="ar"/>
        </w:rPr>
        <w:t>三、事业收入：</w:t>
      </w:r>
      <w:r>
        <w:rPr>
          <w:rFonts w:ascii="仿宋_GB2312" w:hAnsi="仿宋_GB2312" w:eastAsia="仿宋_GB2312" w:cs="仿宋_GB2312"/>
          <w:i w:val="0"/>
          <w:iCs w:val="0"/>
          <w:caps w:val="0"/>
          <w:color w:val="auto"/>
          <w:spacing w:val="0"/>
          <w:kern w:val="0"/>
          <w:sz w:val="31"/>
          <w:szCs w:val="31"/>
          <w:shd w:val="clear" w:fill="FFFFFF"/>
          <w:lang w:val="en-US" w:eastAsia="zh-CN" w:bidi="ar"/>
        </w:rPr>
        <w:t>指事业单位开展专业业务活动及其辅助活动所取得的收入。</w:t>
      </w:r>
    </w:p>
    <w:p>
      <w:pPr>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val="0"/>
        <w:overflowPunct/>
        <w:topLinePunct w:val="0"/>
        <w:autoSpaceDE/>
        <w:autoSpaceDN/>
        <w:bidi w:val="0"/>
        <w:adjustRightInd/>
        <w:snapToGrid/>
        <w:spacing w:before="0" w:beforeAutospacing="0" w:line="560" w:lineRule="exact"/>
        <w:ind w:left="0" w:right="0" w:firstLine="0" w:firstLineChars="0"/>
        <w:jc w:val="both"/>
        <w:textAlignment w:val="auto"/>
        <w:rPr>
          <w:rFonts w:ascii="仿宋_GB2312" w:hAnsi="仿宋_GB2312" w:eastAsia="仿宋_GB2312" w:cs="仿宋_GB2312"/>
          <w:i w:val="0"/>
          <w:iCs w:val="0"/>
          <w:caps w:val="0"/>
          <w:color w:val="auto"/>
          <w:spacing w:val="0"/>
          <w:sz w:val="31"/>
          <w:szCs w:val="31"/>
        </w:rPr>
      </w:pPr>
      <w:r>
        <w:rPr>
          <w:rFonts w:ascii="仿宋_GB2312" w:hAnsi="仿宋_GB2312" w:eastAsia="仿宋_GB2312" w:cs="仿宋_GB2312"/>
          <w:b/>
          <w:bCs/>
          <w:i w:val="0"/>
          <w:iCs w:val="0"/>
          <w:caps w:val="0"/>
          <w:color w:val="auto"/>
          <w:spacing w:val="0"/>
          <w:kern w:val="0"/>
          <w:sz w:val="31"/>
          <w:szCs w:val="31"/>
          <w:shd w:val="clear" w:fill="FFFFFF"/>
          <w:lang w:val="en-US" w:eastAsia="zh-CN" w:bidi="ar"/>
        </w:rPr>
        <w:t>四、经营收入：</w:t>
      </w:r>
      <w:r>
        <w:rPr>
          <w:rFonts w:ascii="仿宋_GB2312" w:hAnsi="仿宋_GB2312" w:eastAsia="仿宋_GB2312" w:cs="仿宋_GB2312"/>
          <w:i w:val="0"/>
          <w:iCs w:val="0"/>
          <w:caps w:val="0"/>
          <w:color w:val="auto"/>
          <w:spacing w:val="0"/>
          <w:kern w:val="0"/>
          <w:sz w:val="31"/>
          <w:szCs w:val="31"/>
          <w:shd w:val="clear" w:fill="FFFFFF"/>
          <w:lang w:val="en-US" w:eastAsia="zh-CN" w:bidi="ar"/>
        </w:rPr>
        <w:t>指事业单位在专业业务活动及其辅助活动之外开展非独立核算经营活动取得的收入。</w:t>
      </w:r>
    </w:p>
    <w:p>
      <w:pPr>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val="0"/>
        <w:overflowPunct/>
        <w:topLinePunct w:val="0"/>
        <w:autoSpaceDE/>
        <w:autoSpaceDN/>
        <w:bidi w:val="0"/>
        <w:adjustRightInd/>
        <w:snapToGrid/>
        <w:spacing w:before="0" w:beforeAutospacing="0" w:line="560" w:lineRule="exact"/>
        <w:ind w:left="0" w:right="0" w:firstLine="0" w:firstLineChars="0"/>
        <w:jc w:val="both"/>
        <w:textAlignment w:val="auto"/>
        <w:rPr>
          <w:rFonts w:ascii="仿宋_GB2312" w:hAnsi="仿宋_GB2312" w:eastAsia="仿宋_GB2312" w:cs="仿宋_GB2312"/>
          <w:i w:val="0"/>
          <w:iCs w:val="0"/>
          <w:caps w:val="0"/>
          <w:color w:val="auto"/>
          <w:spacing w:val="0"/>
          <w:sz w:val="31"/>
          <w:szCs w:val="31"/>
        </w:rPr>
      </w:pPr>
      <w:r>
        <w:rPr>
          <w:rFonts w:ascii="仿宋_GB2312" w:hAnsi="仿宋_GB2312" w:eastAsia="仿宋_GB2312" w:cs="仿宋_GB2312"/>
          <w:b/>
          <w:bCs/>
          <w:i w:val="0"/>
          <w:iCs w:val="0"/>
          <w:caps w:val="0"/>
          <w:color w:val="auto"/>
          <w:spacing w:val="0"/>
          <w:kern w:val="0"/>
          <w:sz w:val="31"/>
          <w:szCs w:val="31"/>
          <w:shd w:val="clear" w:fill="FFFFFF"/>
          <w:lang w:val="en-US" w:eastAsia="zh-CN" w:bidi="ar"/>
        </w:rPr>
        <w:t>五、附属单位上缴收入：</w:t>
      </w:r>
      <w:r>
        <w:rPr>
          <w:rFonts w:ascii="仿宋_GB2312" w:hAnsi="仿宋_GB2312" w:eastAsia="仿宋_GB2312" w:cs="仿宋_GB2312"/>
          <w:i w:val="0"/>
          <w:iCs w:val="0"/>
          <w:caps w:val="0"/>
          <w:color w:val="auto"/>
          <w:spacing w:val="0"/>
          <w:kern w:val="0"/>
          <w:sz w:val="31"/>
          <w:szCs w:val="31"/>
          <w:shd w:val="clear" w:fill="FFFFFF"/>
          <w:lang w:val="en-US" w:eastAsia="zh-CN" w:bidi="ar"/>
        </w:rPr>
        <w:t>指事业单位附属的独立核算单位按有关规定上缴的收入。</w:t>
      </w:r>
    </w:p>
    <w:p>
      <w:pPr>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val="0"/>
        <w:overflowPunct/>
        <w:topLinePunct w:val="0"/>
        <w:autoSpaceDE/>
        <w:autoSpaceDN/>
        <w:bidi w:val="0"/>
        <w:adjustRightInd/>
        <w:snapToGrid/>
        <w:spacing w:before="0" w:beforeAutospacing="0" w:line="560" w:lineRule="exact"/>
        <w:ind w:left="0" w:right="0" w:firstLine="0" w:firstLineChars="0"/>
        <w:jc w:val="both"/>
        <w:textAlignment w:val="auto"/>
        <w:rPr>
          <w:rFonts w:ascii="仿宋_GB2312" w:hAnsi="仿宋_GB2312" w:eastAsia="仿宋_GB2312" w:cs="仿宋_GB2312"/>
          <w:i w:val="0"/>
          <w:iCs w:val="0"/>
          <w:caps w:val="0"/>
          <w:color w:val="auto"/>
          <w:spacing w:val="0"/>
          <w:sz w:val="31"/>
          <w:szCs w:val="31"/>
        </w:rPr>
      </w:pPr>
      <w:r>
        <w:rPr>
          <w:rFonts w:ascii="仿宋_GB2312" w:hAnsi="仿宋_GB2312" w:eastAsia="仿宋_GB2312" w:cs="仿宋_GB2312"/>
          <w:b/>
          <w:bCs/>
          <w:i w:val="0"/>
          <w:iCs w:val="0"/>
          <w:caps w:val="0"/>
          <w:color w:val="auto"/>
          <w:spacing w:val="0"/>
          <w:kern w:val="0"/>
          <w:sz w:val="31"/>
          <w:szCs w:val="31"/>
          <w:shd w:val="clear" w:fill="FFFFFF"/>
          <w:lang w:val="en-US" w:eastAsia="zh-CN" w:bidi="ar"/>
        </w:rPr>
        <w:t>六、其他收入：</w:t>
      </w:r>
      <w:r>
        <w:rPr>
          <w:rFonts w:ascii="仿宋_GB2312" w:hAnsi="仿宋_GB2312" w:eastAsia="仿宋_GB2312" w:cs="仿宋_GB2312"/>
          <w:i w:val="0"/>
          <w:iCs w:val="0"/>
          <w:caps w:val="0"/>
          <w:color w:val="auto"/>
          <w:spacing w:val="0"/>
          <w:kern w:val="0"/>
          <w:sz w:val="31"/>
          <w:szCs w:val="31"/>
          <w:shd w:val="clear" w:fill="FFFFFF"/>
          <w:lang w:val="en-US" w:eastAsia="zh-CN" w:bidi="ar"/>
        </w:rPr>
        <w:t>指除上述“财政拨款收入”、“事业收入”、“经营收入”、“附属单位上缴收入”等之外取得的收入。</w:t>
      </w:r>
    </w:p>
    <w:p>
      <w:pPr>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val="0"/>
        <w:overflowPunct/>
        <w:topLinePunct w:val="0"/>
        <w:autoSpaceDE/>
        <w:autoSpaceDN/>
        <w:bidi w:val="0"/>
        <w:adjustRightInd/>
        <w:snapToGrid/>
        <w:spacing w:before="0" w:beforeAutospacing="0" w:line="560" w:lineRule="exact"/>
        <w:ind w:left="0" w:right="0" w:firstLine="0" w:firstLineChars="0"/>
        <w:jc w:val="both"/>
        <w:textAlignment w:val="auto"/>
        <w:rPr>
          <w:rFonts w:ascii="仿宋_GB2312" w:hAnsi="仿宋_GB2312" w:eastAsia="仿宋_GB2312" w:cs="仿宋_GB2312"/>
          <w:i w:val="0"/>
          <w:iCs w:val="0"/>
          <w:caps w:val="0"/>
          <w:color w:val="auto"/>
          <w:spacing w:val="0"/>
          <w:sz w:val="31"/>
          <w:szCs w:val="31"/>
        </w:rPr>
      </w:pPr>
      <w:r>
        <w:rPr>
          <w:rFonts w:ascii="仿宋_GB2312" w:hAnsi="仿宋_GB2312" w:eastAsia="仿宋_GB2312" w:cs="仿宋_GB2312"/>
          <w:b/>
          <w:bCs/>
          <w:i w:val="0"/>
          <w:iCs w:val="0"/>
          <w:caps w:val="0"/>
          <w:color w:val="auto"/>
          <w:spacing w:val="0"/>
          <w:kern w:val="0"/>
          <w:sz w:val="31"/>
          <w:szCs w:val="31"/>
          <w:shd w:val="clear" w:fill="FFFFFF"/>
          <w:lang w:val="en-US" w:eastAsia="zh-CN" w:bidi="ar"/>
        </w:rPr>
        <w:t>七、年初结转和结余：</w:t>
      </w:r>
      <w:r>
        <w:rPr>
          <w:rFonts w:ascii="仿宋_GB2312" w:hAnsi="仿宋_GB2312" w:eastAsia="仿宋_GB2312" w:cs="仿宋_GB2312"/>
          <w:i w:val="0"/>
          <w:iCs w:val="0"/>
          <w:caps w:val="0"/>
          <w:color w:val="auto"/>
          <w:spacing w:val="0"/>
          <w:kern w:val="0"/>
          <w:sz w:val="31"/>
          <w:szCs w:val="31"/>
          <w:shd w:val="clear" w:fill="FFFFFF"/>
          <w:lang w:val="en-US" w:eastAsia="zh-CN" w:bidi="ar"/>
        </w:rPr>
        <w:t>指以前年度支出预算因客观条件变化未执行完毕、结转到本年度按有关规定继续使用的资金，既包括财政拨款结转和结余，也包括事业收入、经营收入、其他收入的结转和结余。</w:t>
      </w:r>
    </w:p>
    <w:p>
      <w:pPr>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val="0"/>
        <w:overflowPunct/>
        <w:topLinePunct w:val="0"/>
        <w:autoSpaceDE/>
        <w:autoSpaceDN/>
        <w:bidi w:val="0"/>
        <w:adjustRightInd/>
        <w:snapToGrid/>
        <w:spacing w:before="0" w:beforeAutospacing="0" w:line="560" w:lineRule="exact"/>
        <w:ind w:left="0" w:right="0" w:firstLine="0" w:firstLineChars="0"/>
        <w:jc w:val="both"/>
        <w:textAlignment w:val="auto"/>
        <w:rPr>
          <w:rFonts w:ascii="仿宋_GB2312" w:hAnsi="仿宋_GB2312" w:eastAsia="仿宋_GB2312" w:cs="仿宋_GB2312"/>
          <w:i w:val="0"/>
          <w:iCs w:val="0"/>
          <w:caps w:val="0"/>
          <w:color w:val="auto"/>
          <w:spacing w:val="0"/>
          <w:sz w:val="31"/>
          <w:szCs w:val="31"/>
        </w:rPr>
      </w:pPr>
      <w:r>
        <w:rPr>
          <w:rFonts w:ascii="仿宋_GB2312" w:hAnsi="仿宋_GB2312" w:eastAsia="仿宋_GB2312" w:cs="仿宋_GB2312"/>
          <w:b/>
          <w:bCs/>
          <w:i w:val="0"/>
          <w:iCs w:val="0"/>
          <w:caps w:val="0"/>
          <w:color w:val="auto"/>
          <w:spacing w:val="0"/>
          <w:kern w:val="0"/>
          <w:sz w:val="31"/>
          <w:szCs w:val="31"/>
          <w:shd w:val="clear" w:fill="FFFFFF"/>
          <w:lang w:val="en-US" w:eastAsia="zh-CN" w:bidi="ar"/>
        </w:rPr>
        <w:t>八、年末结转和结余：</w:t>
      </w:r>
      <w:r>
        <w:rPr>
          <w:rFonts w:ascii="仿宋_GB2312" w:hAnsi="仿宋_GB2312" w:eastAsia="仿宋_GB2312" w:cs="仿宋_GB2312"/>
          <w:i w:val="0"/>
          <w:iCs w:val="0"/>
          <w:caps w:val="0"/>
          <w:color w:val="auto"/>
          <w:spacing w:val="0"/>
          <w:kern w:val="0"/>
          <w:sz w:val="31"/>
          <w:szCs w:val="31"/>
          <w:shd w:val="clear" w:fill="FFFFFF"/>
          <w:lang w:val="en-US" w:eastAsia="zh-CN" w:bidi="ar"/>
        </w:rPr>
        <w:t>指本年度或以前年度预算安排、因客观条件发生变化无法按原计划实施，需要延迟到以后年度按有关规定继续使用的资金，既包括财政拨款结转和结余，也包括事业收入、经营收入、其他收入的结转和结余。</w:t>
      </w:r>
    </w:p>
    <w:p>
      <w:pPr>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val="0"/>
        <w:overflowPunct/>
        <w:topLinePunct w:val="0"/>
        <w:autoSpaceDE/>
        <w:autoSpaceDN/>
        <w:bidi w:val="0"/>
        <w:adjustRightInd/>
        <w:snapToGrid/>
        <w:spacing w:before="0" w:beforeAutospacing="0" w:line="560" w:lineRule="exact"/>
        <w:ind w:left="0" w:right="0" w:firstLine="0" w:firstLineChars="0"/>
        <w:jc w:val="both"/>
        <w:textAlignment w:val="auto"/>
        <w:rPr>
          <w:rFonts w:ascii="仿宋_GB2312" w:hAnsi="仿宋_GB2312" w:eastAsia="仿宋_GB2312" w:cs="仿宋_GB2312"/>
          <w:i w:val="0"/>
          <w:iCs w:val="0"/>
          <w:caps w:val="0"/>
          <w:color w:val="auto"/>
          <w:spacing w:val="0"/>
          <w:sz w:val="31"/>
          <w:szCs w:val="31"/>
        </w:rPr>
      </w:pPr>
      <w:r>
        <w:rPr>
          <w:rFonts w:ascii="仿宋_GB2312" w:hAnsi="仿宋_GB2312" w:eastAsia="仿宋_GB2312" w:cs="仿宋_GB2312"/>
          <w:b/>
          <w:bCs/>
          <w:i w:val="0"/>
          <w:iCs w:val="0"/>
          <w:caps w:val="0"/>
          <w:color w:val="auto"/>
          <w:spacing w:val="0"/>
          <w:kern w:val="0"/>
          <w:sz w:val="31"/>
          <w:szCs w:val="31"/>
          <w:shd w:val="clear" w:fill="FFFFFF"/>
          <w:lang w:val="en-US" w:eastAsia="zh-CN" w:bidi="ar"/>
        </w:rPr>
        <w:t>九、基本支出：</w:t>
      </w:r>
      <w:r>
        <w:rPr>
          <w:rFonts w:ascii="仿宋_GB2312" w:hAnsi="仿宋_GB2312" w:eastAsia="仿宋_GB2312" w:cs="仿宋_GB2312"/>
          <w:i w:val="0"/>
          <w:iCs w:val="0"/>
          <w:caps w:val="0"/>
          <w:color w:val="auto"/>
          <w:spacing w:val="0"/>
          <w:kern w:val="0"/>
          <w:sz w:val="31"/>
          <w:szCs w:val="31"/>
          <w:shd w:val="clear" w:fill="FFFFFF"/>
          <w:lang w:val="en-US" w:eastAsia="zh-CN" w:bidi="ar"/>
        </w:rPr>
        <w:t>指为保障机构正常运转、完成日常工作任务而发生的人员支出和公用支出。</w:t>
      </w:r>
    </w:p>
    <w:p>
      <w:pPr>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val="0"/>
        <w:overflowPunct/>
        <w:topLinePunct w:val="0"/>
        <w:autoSpaceDE/>
        <w:autoSpaceDN/>
        <w:bidi w:val="0"/>
        <w:adjustRightInd/>
        <w:snapToGrid/>
        <w:spacing w:before="0" w:beforeAutospacing="0" w:line="560" w:lineRule="exact"/>
        <w:ind w:left="0" w:right="0" w:firstLine="0" w:firstLineChars="0"/>
        <w:jc w:val="both"/>
        <w:textAlignment w:val="auto"/>
        <w:rPr>
          <w:rFonts w:ascii="仿宋_GB2312" w:hAnsi="仿宋_GB2312" w:eastAsia="仿宋_GB2312" w:cs="仿宋_GB2312"/>
          <w:i w:val="0"/>
          <w:iCs w:val="0"/>
          <w:caps w:val="0"/>
          <w:color w:val="auto"/>
          <w:spacing w:val="0"/>
          <w:sz w:val="31"/>
          <w:szCs w:val="31"/>
        </w:rPr>
      </w:pPr>
      <w:r>
        <w:rPr>
          <w:rFonts w:ascii="仿宋_GB2312" w:hAnsi="仿宋_GB2312" w:eastAsia="仿宋_GB2312" w:cs="仿宋_GB2312"/>
          <w:b/>
          <w:bCs/>
          <w:i w:val="0"/>
          <w:iCs w:val="0"/>
          <w:caps w:val="0"/>
          <w:color w:val="auto"/>
          <w:spacing w:val="0"/>
          <w:kern w:val="0"/>
          <w:sz w:val="31"/>
          <w:szCs w:val="31"/>
          <w:shd w:val="clear" w:fill="FFFFFF"/>
          <w:lang w:val="en-US" w:eastAsia="zh-CN" w:bidi="ar"/>
        </w:rPr>
        <w:t>十、项目支出：</w:t>
      </w:r>
      <w:r>
        <w:rPr>
          <w:rFonts w:ascii="仿宋_GB2312" w:hAnsi="仿宋_GB2312" w:eastAsia="仿宋_GB2312" w:cs="仿宋_GB2312"/>
          <w:i w:val="0"/>
          <w:iCs w:val="0"/>
          <w:caps w:val="0"/>
          <w:color w:val="auto"/>
          <w:spacing w:val="0"/>
          <w:kern w:val="0"/>
          <w:sz w:val="31"/>
          <w:szCs w:val="31"/>
          <w:shd w:val="clear" w:fill="FFFFFF"/>
          <w:lang w:val="en-US" w:eastAsia="zh-CN" w:bidi="ar"/>
        </w:rPr>
        <w:t>指在基本支出之外为完成特定行政任务和事业发展目标所发生的支出。</w:t>
      </w:r>
    </w:p>
    <w:p>
      <w:pPr>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val="0"/>
        <w:overflowPunct/>
        <w:topLinePunct w:val="0"/>
        <w:autoSpaceDE/>
        <w:autoSpaceDN/>
        <w:bidi w:val="0"/>
        <w:adjustRightInd/>
        <w:snapToGrid/>
        <w:spacing w:before="0" w:beforeAutospacing="0" w:line="560" w:lineRule="exact"/>
        <w:ind w:left="0" w:right="0" w:firstLine="0" w:firstLineChars="0"/>
        <w:jc w:val="both"/>
        <w:textAlignment w:val="auto"/>
        <w:rPr>
          <w:rFonts w:ascii="仿宋_GB2312" w:hAnsi="仿宋_GB2312" w:eastAsia="仿宋_GB2312" w:cs="仿宋_GB2312"/>
          <w:i w:val="0"/>
          <w:iCs w:val="0"/>
          <w:caps w:val="0"/>
          <w:color w:val="auto"/>
          <w:spacing w:val="0"/>
          <w:sz w:val="31"/>
          <w:szCs w:val="31"/>
        </w:rPr>
      </w:pPr>
      <w:r>
        <w:rPr>
          <w:rFonts w:ascii="仿宋_GB2312" w:hAnsi="仿宋_GB2312" w:eastAsia="仿宋_GB2312" w:cs="仿宋_GB2312"/>
          <w:b/>
          <w:bCs/>
          <w:i w:val="0"/>
          <w:iCs w:val="0"/>
          <w:caps w:val="0"/>
          <w:color w:val="auto"/>
          <w:spacing w:val="0"/>
          <w:kern w:val="0"/>
          <w:sz w:val="31"/>
          <w:szCs w:val="31"/>
          <w:shd w:val="clear" w:fill="FFFFFF"/>
          <w:lang w:val="en-US" w:eastAsia="zh-CN" w:bidi="ar"/>
        </w:rPr>
        <w:t>十一、经营支出：</w:t>
      </w:r>
      <w:r>
        <w:rPr>
          <w:rFonts w:ascii="仿宋_GB2312" w:hAnsi="仿宋_GB2312" w:eastAsia="仿宋_GB2312" w:cs="仿宋_GB2312"/>
          <w:i w:val="0"/>
          <w:iCs w:val="0"/>
          <w:caps w:val="0"/>
          <w:color w:val="auto"/>
          <w:spacing w:val="0"/>
          <w:kern w:val="0"/>
          <w:sz w:val="31"/>
          <w:szCs w:val="31"/>
          <w:shd w:val="clear" w:fill="FFFFFF"/>
          <w:lang w:val="en-US" w:eastAsia="zh-CN" w:bidi="ar"/>
        </w:rPr>
        <w:t>指事业单位在专业业务活动及其辅助活动之外开展非独立核算经营活动发生的支出。</w:t>
      </w:r>
    </w:p>
    <w:p>
      <w:pPr>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val="0"/>
        <w:overflowPunct/>
        <w:topLinePunct w:val="0"/>
        <w:autoSpaceDE/>
        <w:autoSpaceDN/>
        <w:bidi w:val="0"/>
        <w:adjustRightInd/>
        <w:snapToGrid/>
        <w:spacing w:before="0" w:beforeAutospacing="0" w:line="560" w:lineRule="exact"/>
        <w:ind w:left="0" w:right="0" w:firstLine="0" w:firstLineChars="0"/>
        <w:jc w:val="both"/>
        <w:textAlignment w:val="auto"/>
        <w:rPr>
          <w:rFonts w:ascii="仿宋_GB2312" w:hAnsi="仿宋_GB2312" w:eastAsia="仿宋_GB2312" w:cs="仿宋_GB2312"/>
          <w:i w:val="0"/>
          <w:iCs w:val="0"/>
          <w:caps w:val="0"/>
          <w:color w:val="auto"/>
          <w:spacing w:val="0"/>
          <w:sz w:val="31"/>
          <w:szCs w:val="31"/>
        </w:rPr>
      </w:pPr>
      <w:r>
        <w:rPr>
          <w:rFonts w:ascii="仿宋_GB2312" w:hAnsi="仿宋_GB2312" w:eastAsia="仿宋_GB2312" w:cs="仿宋_GB2312"/>
          <w:b/>
          <w:bCs/>
          <w:i w:val="0"/>
          <w:iCs w:val="0"/>
          <w:caps w:val="0"/>
          <w:color w:val="auto"/>
          <w:spacing w:val="0"/>
          <w:kern w:val="0"/>
          <w:sz w:val="31"/>
          <w:szCs w:val="31"/>
          <w:shd w:val="clear" w:fill="FFFFFF"/>
          <w:lang w:val="en-US" w:eastAsia="zh-CN" w:bidi="ar"/>
        </w:rPr>
        <w:t>十二、对附属单位补助支出：</w:t>
      </w:r>
      <w:r>
        <w:rPr>
          <w:rFonts w:ascii="仿宋_GB2312" w:hAnsi="仿宋_GB2312" w:eastAsia="仿宋_GB2312" w:cs="仿宋_GB2312"/>
          <w:i w:val="0"/>
          <w:iCs w:val="0"/>
          <w:caps w:val="0"/>
          <w:color w:val="auto"/>
          <w:spacing w:val="0"/>
          <w:kern w:val="0"/>
          <w:sz w:val="31"/>
          <w:szCs w:val="31"/>
          <w:shd w:val="clear" w:fill="FFFFFF"/>
          <w:lang w:val="en-US" w:eastAsia="zh-CN" w:bidi="ar"/>
        </w:rPr>
        <w:t>指事业单位发生的用非财政预算资金对附属单位的补助支出。</w:t>
      </w:r>
    </w:p>
    <w:p>
      <w:pPr>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val="0"/>
        <w:overflowPunct/>
        <w:topLinePunct w:val="0"/>
        <w:autoSpaceDE/>
        <w:autoSpaceDN/>
        <w:bidi w:val="0"/>
        <w:adjustRightInd/>
        <w:snapToGrid/>
        <w:spacing w:before="0" w:beforeAutospacing="0" w:line="560" w:lineRule="exact"/>
        <w:ind w:left="0" w:right="0" w:firstLine="0" w:firstLineChars="0"/>
        <w:jc w:val="both"/>
        <w:textAlignment w:val="auto"/>
        <w:rPr>
          <w:rFonts w:ascii="仿宋_GB2312" w:hAnsi="仿宋_GB2312" w:eastAsia="仿宋_GB2312" w:cs="仿宋_GB2312"/>
          <w:i w:val="0"/>
          <w:iCs w:val="0"/>
          <w:caps w:val="0"/>
          <w:color w:val="auto"/>
          <w:spacing w:val="0"/>
          <w:sz w:val="31"/>
          <w:szCs w:val="31"/>
        </w:rPr>
      </w:pPr>
      <w:r>
        <w:rPr>
          <w:rFonts w:ascii="仿宋_GB2312" w:hAnsi="仿宋_GB2312" w:eastAsia="仿宋_GB2312" w:cs="仿宋_GB2312"/>
          <w:b/>
          <w:bCs/>
          <w:i w:val="0"/>
          <w:iCs w:val="0"/>
          <w:caps w:val="0"/>
          <w:color w:val="auto"/>
          <w:spacing w:val="0"/>
          <w:kern w:val="0"/>
          <w:sz w:val="31"/>
          <w:szCs w:val="31"/>
          <w:shd w:val="clear" w:fill="FFFFFF"/>
          <w:lang w:val="en-US" w:eastAsia="zh-CN" w:bidi="ar"/>
        </w:rPr>
        <w:t>十三、“三公”经费：</w:t>
      </w:r>
      <w:r>
        <w:rPr>
          <w:rFonts w:ascii="仿宋_GB2312" w:hAnsi="仿宋_GB2312" w:eastAsia="仿宋_GB2312" w:cs="仿宋_GB2312"/>
          <w:i w:val="0"/>
          <w:iCs w:val="0"/>
          <w:caps w:val="0"/>
          <w:color w:val="auto"/>
          <w:spacing w:val="0"/>
          <w:kern w:val="0"/>
          <w:sz w:val="31"/>
          <w:szCs w:val="31"/>
          <w:shd w:val="clear" w:fill="FFFFFF"/>
          <w:lang w:val="en-US" w:eastAsia="zh-CN" w:bidi="ar"/>
        </w:rPr>
        <w:t>指用财政拨款安排的因公出国（境）费、公务用车购置及运行费和公务接待费。其中，因公出国（境）费反映单位公务出国（境）的国际旅费、国外城市间交通费、住宿费、伙食费、培训费、公杂费等支出；公务用车购置反映公务用车购置支出（含车辆购置税、牌照费）；公务用车运行维护费反映单位按规定保留的公务用车燃料费、维修费、过路过桥费、保险费、安全奖励费用等支出；公务接待费反映单位按规定开支的各类公务接待（含外宾接待）费用。</w:t>
      </w:r>
    </w:p>
    <w:p>
      <w:pPr>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val="0"/>
        <w:overflowPunct/>
        <w:topLinePunct w:val="0"/>
        <w:autoSpaceDE/>
        <w:autoSpaceDN/>
        <w:bidi w:val="0"/>
        <w:adjustRightInd/>
        <w:snapToGrid/>
        <w:spacing w:before="0" w:beforeAutospacing="0" w:line="560" w:lineRule="exact"/>
        <w:ind w:left="0" w:right="0" w:firstLine="0" w:firstLineChars="0"/>
        <w:jc w:val="both"/>
        <w:textAlignment w:val="auto"/>
        <w:rPr>
          <w:rFonts w:ascii="仿宋_GB2312" w:hAnsi="仿宋_GB2312" w:eastAsia="仿宋_GB2312" w:cs="仿宋_GB2312"/>
          <w:i w:val="0"/>
          <w:iCs w:val="0"/>
          <w:caps w:val="0"/>
          <w:color w:val="auto"/>
          <w:spacing w:val="0"/>
          <w:sz w:val="31"/>
          <w:szCs w:val="31"/>
        </w:rPr>
      </w:pPr>
      <w:r>
        <w:rPr>
          <w:rFonts w:ascii="仿宋_GB2312" w:hAnsi="仿宋_GB2312" w:eastAsia="仿宋_GB2312" w:cs="仿宋_GB2312"/>
          <w:b/>
          <w:bCs/>
          <w:i w:val="0"/>
          <w:iCs w:val="0"/>
          <w:caps w:val="0"/>
          <w:color w:val="auto"/>
          <w:spacing w:val="0"/>
          <w:kern w:val="0"/>
          <w:sz w:val="31"/>
          <w:szCs w:val="31"/>
          <w:shd w:val="clear" w:fill="FFFFFF"/>
          <w:lang w:val="en-US" w:eastAsia="zh-CN" w:bidi="ar"/>
        </w:rPr>
        <w:t>十四、机关运行经费：</w:t>
      </w:r>
      <w:r>
        <w:rPr>
          <w:rFonts w:ascii="仿宋_GB2312" w:hAnsi="仿宋_GB2312" w:eastAsia="仿宋_GB2312" w:cs="仿宋_GB2312"/>
          <w:i w:val="0"/>
          <w:iCs w:val="0"/>
          <w:caps w:val="0"/>
          <w:color w:val="auto"/>
          <w:spacing w:val="0"/>
          <w:kern w:val="0"/>
          <w:sz w:val="31"/>
          <w:szCs w:val="31"/>
          <w:shd w:val="clear" w:fill="FFFFFF"/>
          <w:lang w:val="en-US" w:eastAsia="zh-CN" w:bidi="ar"/>
        </w:rPr>
        <w:t>行政单位和参照公务员法管理的事业单位财政拨款基本支出中的公用经费支出。</w:t>
      </w:r>
    </w:p>
    <w:p>
      <w:pPr>
        <w:keepNext w:val="0"/>
        <w:keepLines w:val="0"/>
        <w:pageBreakBefore w:val="0"/>
        <w:kinsoku/>
        <w:overflowPunct/>
        <w:topLinePunct w:val="0"/>
        <w:autoSpaceDE/>
        <w:autoSpaceDN/>
        <w:bidi w:val="0"/>
        <w:adjustRightInd/>
        <w:snapToGrid/>
        <w:ind w:left="0" w:right="0"/>
        <w:jc w:val="both"/>
        <w:textAlignment w:val="auto"/>
        <w:rPr>
          <w:rFonts w:ascii="黑体" w:hAnsi="宋体" w:eastAsia="黑体" w:cs="黑体"/>
          <w:i w:val="0"/>
          <w:iCs w:val="0"/>
          <w:caps w:val="0"/>
          <w:color w:val="auto"/>
          <w:spacing w:val="0"/>
          <w:kern w:val="0"/>
          <w:sz w:val="31"/>
          <w:szCs w:val="31"/>
          <w:shd w:val="clear" w:fill="FFFFFF"/>
          <w:lang w:val="en-US" w:eastAsia="zh-CN" w:bidi="ar"/>
        </w:rPr>
      </w:pPr>
      <w:r>
        <w:rPr>
          <w:rFonts w:ascii="黑体" w:hAnsi="宋体" w:eastAsia="黑体" w:cs="黑体"/>
          <w:i w:val="0"/>
          <w:iCs w:val="0"/>
          <w:caps w:val="0"/>
          <w:color w:val="auto"/>
          <w:spacing w:val="0"/>
          <w:kern w:val="0"/>
          <w:sz w:val="31"/>
          <w:szCs w:val="31"/>
          <w:shd w:val="clear" w:fill="FFFFFF"/>
          <w:lang w:val="en-US" w:eastAsia="zh-CN" w:bidi="ar"/>
        </w:rPr>
        <w:br w:type="page"/>
      </w:r>
    </w:p>
    <w:p>
      <w:pPr>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val="0"/>
        <w:overflowPunct/>
        <w:topLinePunct w:val="0"/>
        <w:autoSpaceDE/>
        <w:autoSpaceDN/>
        <w:bidi w:val="0"/>
        <w:adjustRightInd/>
        <w:snapToGrid/>
        <w:spacing w:before="0" w:beforeAutospacing="0" w:line="560" w:lineRule="exact"/>
        <w:ind w:left="120" w:right="-150" w:firstLine="620" w:firstLineChars="200"/>
        <w:jc w:val="center"/>
        <w:textAlignment w:val="auto"/>
        <w:rPr>
          <w:rFonts w:ascii="黑体" w:hAnsi="宋体" w:eastAsia="黑体" w:cs="黑体"/>
          <w:i w:val="0"/>
          <w:iCs w:val="0"/>
          <w:caps w:val="0"/>
          <w:color w:val="auto"/>
          <w:spacing w:val="0"/>
          <w:sz w:val="31"/>
          <w:szCs w:val="31"/>
        </w:rPr>
      </w:pPr>
      <w:r>
        <w:rPr>
          <w:rFonts w:ascii="黑体" w:hAnsi="宋体" w:eastAsia="黑体" w:cs="黑体"/>
          <w:i w:val="0"/>
          <w:iCs w:val="0"/>
          <w:caps w:val="0"/>
          <w:color w:val="auto"/>
          <w:spacing w:val="0"/>
          <w:kern w:val="0"/>
          <w:sz w:val="31"/>
          <w:szCs w:val="31"/>
          <w:shd w:val="clear" w:fill="FFFFFF"/>
          <w:lang w:val="en-US" w:eastAsia="zh-CN" w:bidi="ar"/>
        </w:rPr>
        <w:t>第四部分 部门决算报表（见附表）</w:t>
      </w:r>
    </w:p>
    <w:p>
      <w:pPr>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val="0"/>
        <w:overflowPunct/>
        <w:topLinePunct w:val="0"/>
        <w:autoSpaceDE/>
        <w:autoSpaceDN/>
        <w:bidi w:val="0"/>
        <w:adjustRightInd/>
        <w:snapToGrid/>
        <w:spacing w:before="0" w:beforeAutospacing="0" w:line="560" w:lineRule="exact"/>
        <w:ind w:left="120" w:right="-150" w:firstLine="620" w:firstLineChars="200"/>
        <w:jc w:val="left"/>
        <w:textAlignment w:val="auto"/>
        <w:rPr>
          <w:rFonts w:ascii="仿宋_GB2312" w:hAnsi="仿宋_GB2312" w:eastAsia="仿宋_GB2312" w:cs="仿宋_GB2312"/>
          <w:i w:val="0"/>
          <w:iCs w:val="0"/>
          <w:caps w:val="0"/>
          <w:color w:val="auto"/>
          <w:spacing w:val="0"/>
          <w:sz w:val="31"/>
          <w:szCs w:val="31"/>
        </w:rPr>
      </w:pPr>
      <w:r>
        <w:rPr>
          <w:rFonts w:ascii="仿宋_GB2312" w:hAnsi="仿宋_GB2312" w:eastAsia="仿宋_GB2312" w:cs="仿宋_GB2312"/>
          <w:i w:val="0"/>
          <w:iCs w:val="0"/>
          <w:caps w:val="0"/>
          <w:color w:val="auto"/>
          <w:spacing w:val="0"/>
          <w:kern w:val="0"/>
          <w:sz w:val="31"/>
          <w:szCs w:val="31"/>
          <w:shd w:val="clear" w:fill="FFFFFF"/>
          <w:lang w:val="en-US" w:eastAsia="zh-CN" w:bidi="ar"/>
        </w:rPr>
        <w:t>一、《收入支出决算总表》</w:t>
      </w:r>
    </w:p>
    <w:p>
      <w:pPr>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val="0"/>
        <w:overflowPunct/>
        <w:topLinePunct w:val="0"/>
        <w:autoSpaceDE/>
        <w:autoSpaceDN/>
        <w:bidi w:val="0"/>
        <w:adjustRightInd/>
        <w:snapToGrid/>
        <w:spacing w:before="0" w:beforeAutospacing="0" w:line="560" w:lineRule="exact"/>
        <w:ind w:left="120" w:right="-150" w:firstLine="620" w:firstLineChars="200"/>
        <w:jc w:val="left"/>
        <w:textAlignment w:val="auto"/>
        <w:rPr>
          <w:rFonts w:ascii="仿宋_GB2312" w:hAnsi="仿宋_GB2312" w:eastAsia="仿宋_GB2312" w:cs="仿宋_GB2312"/>
          <w:i w:val="0"/>
          <w:iCs w:val="0"/>
          <w:caps w:val="0"/>
          <w:color w:val="auto"/>
          <w:spacing w:val="0"/>
          <w:sz w:val="31"/>
          <w:szCs w:val="31"/>
        </w:rPr>
      </w:pPr>
      <w:r>
        <w:rPr>
          <w:rFonts w:ascii="仿宋_GB2312" w:hAnsi="仿宋_GB2312" w:eastAsia="仿宋_GB2312" w:cs="仿宋_GB2312"/>
          <w:i w:val="0"/>
          <w:iCs w:val="0"/>
          <w:caps w:val="0"/>
          <w:color w:val="auto"/>
          <w:spacing w:val="0"/>
          <w:kern w:val="0"/>
          <w:sz w:val="31"/>
          <w:szCs w:val="31"/>
          <w:shd w:val="clear" w:fill="FFFFFF"/>
          <w:lang w:val="en-US" w:eastAsia="zh-CN" w:bidi="ar"/>
        </w:rPr>
        <w:t>二、《收入决算表》</w:t>
      </w:r>
    </w:p>
    <w:p>
      <w:pPr>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val="0"/>
        <w:overflowPunct/>
        <w:topLinePunct w:val="0"/>
        <w:autoSpaceDE/>
        <w:autoSpaceDN/>
        <w:bidi w:val="0"/>
        <w:adjustRightInd/>
        <w:snapToGrid/>
        <w:spacing w:before="0" w:beforeAutospacing="0" w:line="560" w:lineRule="exact"/>
        <w:ind w:left="120" w:right="-150" w:firstLine="620" w:firstLineChars="200"/>
        <w:jc w:val="left"/>
        <w:textAlignment w:val="auto"/>
        <w:rPr>
          <w:rFonts w:ascii="仿宋_GB2312" w:hAnsi="仿宋_GB2312" w:eastAsia="仿宋_GB2312" w:cs="仿宋_GB2312"/>
          <w:i w:val="0"/>
          <w:iCs w:val="0"/>
          <w:caps w:val="0"/>
          <w:color w:val="auto"/>
          <w:spacing w:val="0"/>
          <w:sz w:val="31"/>
          <w:szCs w:val="31"/>
        </w:rPr>
      </w:pPr>
      <w:r>
        <w:rPr>
          <w:rFonts w:ascii="仿宋_GB2312" w:hAnsi="仿宋_GB2312" w:eastAsia="仿宋_GB2312" w:cs="仿宋_GB2312"/>
          <w:i w:val="0"/>
          <w:iCs w:val="0"/>
          <w:caps w:val="0"/>
          <w:color w:val="auto"/>
          <w:spacing w:val="0"/>
          <w:kern w:val="0"/>
          <w:sz w:val="31"/>
          <w:szCs w:val="31"/>
          <w:shd w:val="clear" w:fill="FFFFFF"/>
          <w:lang w:val="en-US" w:eastAsia="zh-CN" w:bidi="ar"/>
        </w:rPr>
        <w:t>三、《支出决算表》</w:t>
      </w:r>
    </w:p>
    <w:p>
      <w:pPr>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val="0"/>
        <w:overflowPunct/>
        <w:topLinePunct w:val="0"/>
        <w:autoSpaceDE/>
        <w:autoSpaceDN/>
        <w:bidi w:val="0"/>
        <w:adjustRightInd/>
        <w:snapToGrid/>
        <w:spacing w:before="0" w:beforeAutospacing="0" w:line="560" w:lineRule="exact"/>
        <w:ind w:left="120" w:right="-150" w:firstLine="620" w:firstLineChars="200"/>
        <w:jc w:val="left"/>
        <w:textAlignment w:val="auto"/>
        <w:rPr>
          <w:rFonts w:ascii="仿宋_GB2312" w:hAnsi="仿宋_GB2312" w:eastAsia="仿宋_GB2312" w:cs="仿宋_GB2312"/>
          <w:i w:val="0"/>
          <w:iCs w:val="0"/>
          <w:caps w:val="0"/>
          <w:color w:val="auto"/>
          <w:spacing w:val="0"/>
          <w:sz w:val="31"/>
          <w:szCs w:val="31"/>
        </w:rPr>
      </w:pPr>
      <w:r>
        <w:rPr>
          <w:rFonts w:ascii="仿宋_GB2312" w:hAnsi="仿宋_GB2312" w:eastAsia="仿宋_GB2312" w:cs="仿宋_GB2312"/>
          <w:i w:val="0"/>
          <w:iCs w:val="0"/>
          <w:caps w:val="0"/>
          <w:color w:val="auto"/>
          <w:spacing w:val="0"/>
          <w:kern w:val="0"/>
          <w:sz w:val="31"/>
          <w:szCs w:val="31"/>
          <w:shd w:val="clear" w:fill="FFFFFF"/>
          <w:lang w:val="en-US" w:eastAsia="zh-CN" w:bidi="ar"/>
        </w:rPr>
        <w:t>四、《财政拨款收入支出决算总表》</w:t>
      </w:r>
    </w:p>
    <w:p>
      <w:pPr>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val="0"/>
        <w:overflowPunct/>
        <w:topLinePunct w:val="0"/>
        <w:autoSpaceDE/>
        <w:autoSpaceDN/>
        <w:bidi w:val="0"/>
        <w:adjustRightInd/>
        <w:snapToGrid/>
        <w:spacing w:before="0" w:beforeAutospacing="0" w:line="560" w:lineRule="exact"/>
        <w:ind w:left="120" w:right="-150" w:firstLine="620" w:firstLineChars="200"/>
        <w:jc w:val="left"/>
        <w:textAlignment w:val="auto"/>
        <w:rPr>
          <w:rFonts w:ascii="仿宋_GB2312" w:hAnsi="仿宋_GB2312" w:eastAsia="仿宋_GB2312" w:cs="仿宋_GB2312"/>
          <w:i w:val="0"/>
          <w:iCs w:val="0"/>
          <w:caps w:val="0"/>
          <w:color w:val="auto"/>
          <w:spacing w:val="0"/>
          <w:sz w:val="31"/>
          <w:szCs w:val="31"/>
        </w:rPr>
      </w:pPr>
      <w:r>
        <w:rPr>
          <w:rFonts w:ascii="仿宋_GB2312" w:hAnsi="仿宋_GB2312" w:eastAsia="仿宋_GB2312" w:cs="仿宋_GB2312"/>
          <w:i w:val="0"/>
          <w:iCs w:val="0"/>
          <w:caps w:val="0"/>
          <w:color w:val="auto"/>
          <w:spacing w:val="0"/>
          <w:kern w:val="0"/>
          <w:sz w:val="31"/>
          <w:szCs w:val="31"/>
          <w:shd w:val="clear" w:fill="FFFFFF"/>
          <w:lang w:val="en-US" w:eastAsia="zh-CN" w:bidi="ar"/>
        </w:rPr>
        <w:t>五、《一般公共预算财政拨款支出决算表》</w:t>
      </w:r>
    </w:p>
    <w:p>
      <w:pPr>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val="0"/>
        <w:overflowPunct/>
        <w:topLinePunct w:val="0"/>
        <w:autoSpaceDE/>
        <w:autoSpaceDN/>
        <w:bidi w:val="0"/>
        <w:adjustRightInd/>
        <w:snapToGrid/>
        <w:spacing w:before="0" w:beforeAutospacing="0" w:line="560" w:lineRule="exact"/>
        <w:ind w:left="120" w:right="-150" w:firstLine="620" w:firstLineChars="200"/>
        <w:jc w:val="left"/>
        <w:textAlignment w:val="auto"/>
        <w:rPr>
          <w:rFonts w:ascii="仿宋_GB2312" w:hAnsi="仿宋_GB2312" w:eastAsia="仿宋_GB2312" w:cs="仿宋_GB2312"/>
          <w:i w:val="0"/>
          <w:iCs w:val="0"/>
          <w:caps w:val="0"/>
          <w:color w:val="auto"/>
          <w:spacing w:val="0"/>
          <w:sz w:val="31"/>
          <w:szCs w:val="31"/>
        </w:rPr>
      </w:pPr>
      <w:r>
        <w:rPr>
          <w:rFonts w:ascii="仿宋_GB2312" w:hAnsi="仿宋_GB2312" w:eastAsia="仿宋_GB2312" w:cs="仿宋_GB2312"/>
          <w:i w:val="0"/>
          <w:iCs w:val="0"/>
          <w:caps w:val="0"/>
          <w:color w:val="auto"/>
          <w:spacing w:val="0"/>
          <w:kern w:val="0"/>
          <w:sz w:val="31"/>
          <w:szCs w:val="31"/>
          <w:shd w:val="clear" w:fill="FFFFFF"/>
          <w:lang w:val="en-US" w:eastAsia="zh-CN" w:bidi="ar"/>
        </w:rPr>
        <w:t>六、《一般公共预算财政拨款基本支出决算表》</w:t>
      </w:r>
    </w:p>
    <w:p>
      <w:pPr>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val="0"/>
        <w:overflowPunct/>
        <w:topLinePunct w:val="0"/>
        <w:autoSpaceDE/>
        <w:autoSpaceDN/>
        <w:bidi w:val="0"/>
        <w:adjustRightInd/>
        <w:snapToGrid/>
        <w:spacing w:before="0" w:beforeAutospacing="0" w:line="560" w:lineRule="exact"/>
        <w:ind w:left="120" w:right="-150" w:firstLine="620" w:firstLineChars="200"/>
        <w:jc w:val="left"/>
        <w:textAlignment w:val="auto"/>
        <w:rPr>
          <w:rFonts w:ascii="仿宋_GB2312" w:hAnsi="仿宋_GB2312" w:eastAsia="仿宋_GB2312" w:cs="仿宋_GB2312"/>
          <w:i w:val="0"/>
          <w:iCs w:val="0"/>
          <w:caps w:val="0"/>
          <w:color w:val="auto"/>
          <w:spacing w:val="0"/>
          <w:sz w:val="31"/>
          <w:szCs w:val="31"/>
        </w:rPr>
      </w:pPr>
      <w:r>
        <w:rPr>
          <w:rFonts w:ascii="仿宋_GB2312" w:hAnsi="仿宋_GB2312" w:eastAsia="仿宋_GB2312" w:cs="仿宋_GB2312"/>
          <w:i w:val="0"/>
          <w:iCs w:val="0"/>
          <w:caps w:val="0"/>
          <w:color w:val="auto"/>
          <w:spacing w:val="0"/>
          <w:kern w:val="0"/>
          <w:sz w:val="31"/>
          <w:szCs w:val="31"/>
          <w:shd w:val="clear" w:fill="FFFFFF"/>
          <w:lang w:val="en-US" w:eastAsia="zh-CN" w:bidi="ar"/>
        </w:rPr>
        <w:t>七、《政府性基金预算财政拨款收入支出决算表》</w:t>
      </w:r>
    </w:p>
    <w:p>
      <w:pPr>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val="0"/>
        <w:overflowPunct/>
        <w:topLinePunct w:val="0"/>
        <w:autoSpaceDE/>
        <w:autoSpaceDN/>
        <w:bidi w:val="0"/>
        <w:adjustRightInd/>
        <w:snapToGrid/>
        <w:spacing w:before="0" w:beforeAutospacing="0" w:line="560" w:lineRule="exact"/>
        <w:ind w:left="120" w:right="-150" w:firstLine="620" w:firstLineChars="200"/>
        <w:jc w:val="left"/>
        <w:textAlignment w:val="auto"/>
        <w:rPr>
          <w:rFonts w:ascii="仿宋_GB2312" w:hAnsi="仿宋_GB2312" w:eastAsia="仿宋_GB2312" w:cs="仿宋_GB2312"/>
          <w:i w:val="0"/>
          <w:iCs w:val="0"/>
          <w:caps w:val="0"/>
          <w:color w:val="auto"/>
          <w:spacing w:val="0"/>
          <w:sz w:val="31"/>
          <w:szCs w:val="31"/>
        </w:rPr>
      </w:pPr>
      <w:r>
        <w:rPr>
          <w:rFonts w:ascii="仿宋_GB2312" w:hAnsi="仿宋_GB2312" w:eastAsia="仿宋_GB2312" w:cs="仿宋_GB2312"/>
          <w:i w:val="0"/>
          <w:iCs w:val="0"/>
          <w:caps w:val="0"/>
          <w:color w:val="auto"/>
          <w:spacing w:val="0"/>
          <w:kern w:val="0"/>
          <w:sz w:val="31"/>
          <w:szCs w:val="31"/>
          <w:shd w:val="clear" w:fill="FFFFFF"/>
          <w:lang w:val="en-US" w:eastAsia="zh-CN" w:bidi="ar"/>
        </w:rPr>
        <w:t>八、《国有资本经营预算财政拨款收入支出决算表》</w:t>
      </w:r>
    </w:p>
    <w:p>
      <w:pPr>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val="0"/>
        <w:overflowPunct/>
        <w:topLinePunct w:val="0"/>
        <w:autoSpaceDE/>
        <w:autoSpaceDN/>
        <w:bidi w:val="0"/>
        <w:adjustRightInd/>
        <w:snapToGrid/>
        <w:spacing w:before="0" w:beforeAutospacing="0" w:line="560" w:lineRule="exact"/>
        <w:ind w:left="120" w:right="-150" w:firstLine="620" w:firstLineChars="200"/>
        <w:jc w:val="left"/>
        <w:textAlignment w:val="auto"/>
        <w:rPr>
          <w:rFonts w:ascii="仿宋_GB2312" w:hAnsi="仿宋_GB2312" w:eastAsia="仿宋_GB2312" w:cs="仿宋_GB2312"/>
          <w:i w:val="0"/>
          <w:iCs w:val="0"/>
          <w:caps w:val="0"/>
          <w:color w:val="auto"/>
          <w:spacing w:val="0"/>
          <w:sz w:val="31"/>
          <w:szCs w:val="31"/>
        </w:rPr>
      </w:pPr>
      <w:r>
        <w:rPr>
          <w:rFonts w:ascii="仿宋_GB2312" w:hAnsi="仿宋_GB2312" w:eastAsia="仿宋_GB2312" w:cs="仿宋_GB2312"/>
          <w:i w:val="0"/>
          <w:iCs w:val="0"/>
          <w:caps w:val="0"/>
          <w:color w:val="auto"/>
          <w:spacing w:val="0"/>
          <w:kern w:val="0"/>
          <w:sz w:val="31"/>
          <w:szCs w:val="31"/>
          <w:shd w:val="clear" w:fill="FFFFFF"/>
          <w:lang w:val="en-US" w:eastAsia="zh-CN" w:bidi="ar"/>
        </w:rPr>
        <w:t>九、《财政拨款“三公”经费支出决算表》</w:t>
      </w:r>
    </w:p>
    <w:p>
      <w:pPr>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val="0"/>
        <w:overflowPunct/>
        <w:topLinePunct w:val="0"/>
        <w:autoSpaceDE/>
        <w:autoSpaceDN/>
        <w:bidi w:val="0"/>
        <w:adjustRightInd/>
        <w:snapToGrid/>
        <w:spacing w:before="0" w:beforeAutospacing="0" w:line="560" w:lineRule="exact"/>
        <w:ind w:left="120" w:right="-150" w:firstLine="620" w:firstLineChars="200"/>
        <w:jc w:val="left"/>
        <w:textAlignment w:val="auto"/>
        <w:rPr>
          <w:rFonts w:hint="default" w:ascii="仿宋_GB2312" w:hAnsi="仿宋_GB2312" w:eastAsia="仿宋_GB2312" w:cs="仿宋_GB2312"/>
          <w:i w:val="0"/>
          <w:iCs w:val="0"/>
          <w:caps w:val="0"/>
          <w:color w:val="auto"/>
          <w:spacing w:val="0"/>
          <w:kern w:val="0"/>
          <w:sz w:val="31"/>
          <w:szCs w:val="31"/>
          <w:shd w:val="clear" w:fill="FFFFFF"/>
          <w:lang w:val="en-US" w:eastAsia="zh-CN" w:bidi="ar"/>
        </w:rPr>
      </w:pPr>
    </w:p>
    <w:p>
      <w:pPr>
        <w:pStyle w:val="2"/>
        <w:numPr>
          <w:ilvl w:val="0"/>
          <w:numId w:val="0"/>
        </w:numPr>
        <w:ind w:left="1886" w:leftChars="0" w:hanging="1886" w:hangingChars="427"/>
        <w:rPr>
          <w:rFonts w:hint="eastAsia"/>
          <w:color w:val="auto"/>
          <w:lang w:val="en-US" w:eastAsia="zh-CN"/>
        </w:rPr>
      </w:pPr>
      <w:r>
        <w:drawing>
          <wp:anchor distT="0" distB="0" distL="114300" distR="114300" simplePos="0" relativeHeight="251659264" behindDoc="0" locked="0" layoutInCell="1" allowOverlap="1">
            <wp:simplePos x="0" y="0"/>
            <wp:positionH relativeFrom="column">
              <wp:posOffset>-328295</wp:posOffset>
            </wp:positionH>
            <wp:positionV relativeFrom="page">
              <wp:posOffset>914400</wp:posOffset>
            </wp:positionV>
            <wp:extent cx="5845175" cy="6838315"/>
            <wp:effectExtent l="0" t="0" r="6985" b="4445"/>
            <wp:wrapSquare wrapText="bothSides"/>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4"/>
                    <a:stretch>
                      <a:fillRect/>
                    </a:stretch>
                  </pic:blipFill>
                  <pic:spPr>
                    <a:xfrm>
                      <a:off x="0" y="0"/>
                      <a:ext cx="5845175" cy="6838315"/>
                    </a:xfrm>
                    <a:prstGeom prst="rect">
                      <a:avLst/>
                    </a:prstGeom>
                    <a:noFill/>
                    <a:ln>
                      <a:noFill/>
                    </a:ln>
                  </pic:spPr>
                </pic:pic>
              </a:graphicData>
            </a:graphic>
          </wp:anchor>
        </w:drawing>
      </w:r>
    </w:p>
    <w:p>
      <w:pPr>
        <w:pStyle w:val="2"/>
        <w:numPr>
          <w:ilvl w:val="0"/>
          <w:numId w:val="0"/>
        </w:numPr>
        <w:rPr>
          <w:rFonts w:hint="eastAsia"/>
          <w:color w:val="auto"/>
          <w:lang w:val="en-US" w:eastAsia="zh-CN"/>
        </w:rPr>
      </w:pPr>
    </w:p>
    <w:p>
      <w:pPr>
        <w:pStyle w:val="2"/>
        <w:numPr>
          <w:ilvl w:val="0"/>
          <w:numId w:val="0"/>
        </w:numPr>
        <w:rPr>
          <w:rFonts w:hint="eastAsia"/>
          <w:color w:val="auto"/>
          <w:lang w:val="en-US" w:eastAsia="zh-CN"/>
        </w:rPr>
      </w:pPr>
    </w:p>
    <w:p>
      <w:pPr>
        <w:pStyle w:val="2"/>
        <w:numPr>
          <w:ilvl w:val="0"/>
          <w:numId w:val="0"/>
        </w:numPr>
        <w:rPr>
          <w:rFonts w:hint="eastAsia"/>
          <w:color w:val="auto"/>
          <w:lang w:val="en-US" w:eastAsia="zh-CN"/>
        </w:rPr>
      </w:pPr>
    </w:p>
    <w:p>
      <w:pPr>
        <w:pStyle w:val="2"/>
        <w:numPr>
          <w:ilvl w:val="0"/>
          <w:numId w:val="0"/>
        </w:numPr>
        <w:rPr>
          <w:rFonts w:hint="eastAsia"/>
          <w:color w:val="auto"/>
          <w:lang w:val="en-US" w:eastAsia="zh-CN"/>
        </w:rPr>
      </w:pPr>
      <w:r>
        <w:drawing>
          <wp:anchor distT="0" distB="0" distL="114300" distR="114300" simplePos="0" relativeHeight="251660288" behindDoc="0" locked="0" layoutInCell="1" allowOverlap="1">
            <wp:simplePos x="0" y="0"/>
            <wp:positionH relativeFrom="column">
              <wp:posOffset>-337820</wp:posOffset>
            </wp:positionH>
            <wp:positionV relativeFrom="page">
              <wp:posOffset>960120</wp:posOffset>
            </wp:positionV>
            <wp:extent cx="6082665" cy="7633335"/>
            <wp:effectExtent l="0" t="0" r="13335" b="1905"/>
            <wp:wrapSquare wrapText="bothSides"/>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5">
                      <a:grayscl/>
                    </a:blip>
                    <a:stretch>
                      <a:fillRect/>
                    </a:stretch>
                  </pic:blipFill>
                  <pic:spPr>
                    <a:xfrm>
                      <a:off x="0" y="0"/>
                      <a:ext cx="6082665" cy="7633335"/>
                    </a:xfrm>
                    <a:prstGeom prst="rect">
                      <a:avLst/>
                    </a:prstGeom>
                    <a:noFill/>
                    <a:ln>
                      <a:noFill/>
                    </a:ln>
                  </pic:spPr>
                </pic:pic>
              </a:graphicData>
            </a:graphic>
          </wp:anchor>
        </w:drawing>
      </w:r>
    </w:p>
    <w:p>
      <w:pPr>
        <w:pStyle w:val="2"/>
        <w:numPr>
          <w:ilvl w:val="0"/>
          <w:numId w:val="0"/>
        </w:numPr>
        <w:rPr>
          <w:rFonts w:hint="eastAsia"/>
          <w:color w:val="auto"/>
          <w:lang w:val="en-US" w:eastAsia="zh-CN"/>
        </w:rPr>
      </w:pPr>
      <w:r>
        <w:rPr>
          <w:rFonts w:hint="eastAsia"/>
          <w:color w:val="auto"/>
          <w:lang w:val="en-US" w:eastAsia="zh-CN"/>
        </w:rPr>
        <w:t xml:space="preserve">  </w:t>
      </w:r>
    </w:p>
    <w:p>
      <w:pPr>
        <w:pStyle w:val="2"/>
        <w:numPr>
          <w:ilvl w:val="0"/>
          <w:numId w:val="0"/>
        </w:numPr>
        <w:rPr>
          <w:rFonts w:hint="eastAsia"/>
          <w:color w:val="auto"/>
          <w:lang w:val="en-US" w:eastAsia="zh-CN"/>
        </w:rPr>
      </w:pPr>
      <w:r>
        <w:drawing>
          <wp:anchor distT="0" distB="0" distL="114300" distR="114300" simplePos="0" relativeHeight="251661312" behindDoc="0" locked="0" layoutInCell="1" allowOverlap="1">
            <wp:simplePos x="0" y="0"/>
            <wp:positionH relativeFrom="column">
              <wp:posOffset>-574040</wp:posOffset>
            </wp:positionH>
            <wp:positionV relativeFrom="page">
              <wp:posOffset>960120</wp:posOffset>
            </wp:positionV>
            <wp:extent cx="6431280" cy="8422640"/>
            <wp:effectExtent l="0" t="0" r="0" b="5080"/>
            <wp:wrapSquare wrapText="bothSides"/>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6">
                      <a:grayscl/>
                    </a:blip>
                    <a:stretch>
                      <a:fillRect/>
                    </a:stretch>
                  </pic:blipFill>
                  <pic:spPr>
                    <a:xfrm>
                      <a:off x="0" y="0"/>
                      <a:ext cx="6431280" cy="8422640"/>
                    </a:xfrm>
                    <a:prstGeom prst="rect">
                      <a:avLst/>
                    </a:prstGeom>
                    <a:noFill/>
                    <a:ln>
                      <a:noFill/>
                    </a:ln>
                  </pic:spPr>
                </pic:pic>
              </a:graphicData>
            </a:graphic>
          </wp:anchor>
        </w:drawing>
      </w:r>
      <w:r>
        <w:rPr>
          <w:rFonts w:hint="eastAsia"/>
          <w:color w:val="auto"/>
          <w:lang w:val="en-US" w:eastAsia="zh-CN"/>
        </w:rPr>
        <w:t xml:space="preserve">  </w:t>
      </w:r>
    </w:p>
    <w:p>
      <w:pPr>
        <w:pStyle w:val="2"/>
        <w:numPr>
          <w:ilvl w:val="0"/>
          <w:numId w:val="0"/>
        </w:numPr>
        <w:rPr>
          <w:rFonts w:hint="eastAsia"/>
          <w:color w:val="auto"/>
          <w:lang w:val="en-US" w:eastAsia="zh-CN"/>
        </w:rPr>
      </w:pPr>
      <w:r>
        <w:drawing>
          <wp:anchor distT="0" distB="0" distL="114300" distR="114300" simplePos="0" relativeHeight="251662336" behindDoc="0" locked="0" layoutInCell="1" allowOverlap="1">
            <wp:simplePos x="0" y="0"/>
            <wp:positionH relativeFrom="column">
              <wp:posOffset>-375920</wp:posOffset>
            </wp:positionH>
            <wp:positionV relativeFrom="page">
              <wp:posOffset>922020</wp:posOffset>
            </wp:positionV>
            <wp:extent cx="6003290" cy="7099935"/>
            <wp:effectExtent l="0" t="0" r="1270" b="1905"/>
            <wp:wrapSquare wrapText="bothSides"/>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a:blip r:embed="rId7"/>
                    <a:stretch>
                      <a:fillRect/>
                    </a:stretch>
                  </pic:blipFill>
                  <pic:spPr>
                    <a:xfrm>
                      <a:off x="0" y="0"/>
                      <a:ext cx="6003290" cy="7099935"/>
                    </a:xfrm>
                    <a:prstGeom prst="rect">
                      <a:avLst/>
                    </a:prstGeom>
                    <a:noFill/>
                    <a:ln>
                      <a:noFill/>
                    </a:ln>
                  </pic:spPr>
                </pic:pic>
              </a:graphicData>
            </a:graphic>
          </wp:anchor>
        </w:drawing>
      </w:r>
    </w:p>
    <w:p>
      <w:pPr>
        <w:pStyle w:val="2"/>
        <w:numPr>
          <w:ilvl w:val="0"/>
          <w:numId w:val="0"/>
        </w:numPr>
        <w:rPr>
          <w:rFonts w:hint="eastAsia"/>
          <w:color w:val="auto"/>
          <w:lang w:val="en-US" w:eastAsia="zh-CN"/>
        </w:rPr>
      </w:pPr>
    </w:p>
    <w:p>
      <w:pPr>
        <w:pStyle w:val="2"/>
        <w:numPr>
          <w:ilvl w:val="0"/>
          <w:numId w:val="0"/>
        </w:numPr>
        <w:rPr>
          <w:rFonts w:hint="eastAsia"/>
          <w:color w:val="auto"/>
          <w:lang w:val="en-US" w:eastAsia="zh-CN"/>
        </w:rPr>
      </w:pPr>
    </w:p>
    <w:p>
      <w:pPr>
        <w:pStyle w:val="2"/>
        <w:numPr>
          <w:ilvl w:val="0"/>
          <w:numId w:val="0"/>
        </w:numPr>
        <w:rPr>
          <w:rFonts w:hint="eastAsia"/>
          <w:color w:val="auto"/>
          <w:lang w:val="en-US" w:eastAsia="zh-CN"/>
        </w:rPr>
      </w:pPr>
      <w:r>
        <w:drawing>
          <wp:anchor distT="0" distB="0" distL="114300" distR="114300" simplePos="0" relativeHeight="251663360" behindDoc="0" locked="0" layoutInCell="1" allowOverlap="1">
            <wp:simplePos x="0" y="0"/>
            <wp:positionH relativeFrom="column">
              <wp:posOffset>0</wp:posOffset>
            </wp:positionH>
            <wp:positionV relativeFrom="page">
              <wp:posOffset>998220</wp:posOffset>
            </wp:positionV>
            <wp:extent cx="5269865" cy="8547100"/>
            <wp:effectExtent l="0" t="0" r="3175" b="2540"/>
            <wp:wrapSquare wrapText="bothSides"/>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8">
                      <a:grayscl/>
                    </a:blip>
                    <a:stretch>
                      <a:fillRect/>
                    </a:stretch>
                  </pic:blipFill>
                  <pic:spPr>
                    <a:xfrm>
                      <a:off x="0" y="0"/>
                      <a:ext cx="5269865" cy="8547100"/>
                    </a:xfrm>
                    <a:prstGeom prst="rect">
                      <a:avLst/>
                    </a:prstGeom>
                    <a:noFill/>
                    <a:ln>
                      <a:noFill/>
                    </a:ln>
                  </pic:spPr>
                </pic:pic>
              </a:graphicData>
            </a:graphic>
          </wp:anchor>
        </w:drawing>
      </w:r>
    </w:p>
    <w:p>
      <w:pPr>
        <w:pStyle w:val="2"/>
        <w:numPr>
          <w:ilvl w:val="0"/>
          <w:numId w:val="0"/>
        </w:numPr>
        <w:rPr>
          <w:rFonts w:hint="eastAsia"/>
          <w:color w:val="auto"/>
          <w:lang w:val="en-US" w:eastAsia="zh-CN"/>
        </w:rPr>
      </w:pPr>
      <w:r>
        <w:drawing>
          <wp:anchor distT="0" distB="0" distL="114300" distR="114300" simplePos="0" relativeHeight="251664384" behindDoc="0" locked="0" layoutInCell="1" allowOverlap="1">
            <wp:simplePos x="0" y="0"/>
            <wp:positionH relativeFrom="column">
              <wp:posOffset>-461010</wp:posOffset>
            </wp:positionH>
            <wp:positionV relativeFrom="page">
              <wp:posOffset>1005840</wp:posOffset>
            </wp:positionV>
            <wp:extent cx="6137275" cy="5786755"/>
            <wp:effectExtent l="0" t="0" r="4445" b="4445"/>
            <wp:wrapSquare wrapText="bothSides"/>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pic:cNvPicPr>
                  </pic:nvPicPr>
                  <pic:blipFill>
                    <a:blip r:embed="rId9"/>
                    <a:stretch>
                      <a:fillRect/>
                    </a:stretch>
                  </pic:blipFill>
                  <pic:spPr>
                    <a:xfrm>
                      <a:off x="0" y="0"/>
                      <a:ext cx="6137275" cy="5786755"/>
                    </a:xfrm>
                    <a:prstGeom prst="rect">
                      <a:avLst/>
                    </a:prstGeom>
                    <a:noFill/>
                    <a:ln>
                      <a:noFill/>
                    </a:ln>
                  </pic:spPr>
                </pic:pic>
              </a:graphicData>
            </a:graphic>
          </wp:anchor>
        </w:drawing>
      </w:r>
    </w:p>
    <w:p>
      <w:pPr>
        <w:pStyle w:val="2"/>
        <w:numPr>
          <w:ilvl w:val="0"/>
          <w:numId w:val="0"/>
        </w:numPr>
        <w:rPr>
          <w:rFonts w:hint="eastAsia"/>
          <w:color w:val="auto"/>
          <w:lang w:val="en-US" w:eastAsia="zh-CN"/>
        </w:rPr>
      </w:pPr>
    </w:p>
    <w:p>
      <w:pPr>
        <w:pStyle w:val="2"/>
        <w:numPr>
          <w:ilvl w:val="0"/>
          <w:numId w:val="0"/>
        </w:numPr>
        <w:rPr>
          <w:rFonts w:hint="eastAsia"/>
          <w:color w:val="auto"/>
          <w:lang w:val="en-US" w:eastAsia="zh-CN"/>
        </w:rPr>
      </w:pPr>
    </w:p>
    <w:p>
      <w:pPr>
        <w:pStyle w:val="2"/>
        <w:numPr>
          <w:ilvl w:val="0"/>
          <w:numId w:val="0"/>
        </w:numPr>
        <w:rPr>
          <w:rFonts w:hint="eastAsia"/>
          <w:color w:val="auto"/>
          <w:lang w:val="en-US" w:eastAsia="zh-CN"/>
        </w:rPr>
      </w:pPr>
    </w:p>
    <w:p>
      <w:pPr>
        <w:pStyle w:val="2"/>
        <w:numPr>
          <w:ilvl w:val="0"/>
          <w:numId w:val="0"/>
        </w:numPr>
        <w:rPr>
          <w:rFonts w:hint="eastAsia"/>
          <w:color w:val="auto"/>
          <w:lang w:val="en-US" w:eastAsia="zh-CN"/>
        </w:rPr>
      </w:pPr>
    </w:p>
    <w:p>
      <w:pPr>
        <w:pStyle w:val="2"/>
        <w:numPr>
          <w:ilvl w:val="0"/>
          <w:numId w:val="0"/>
        </w:numPr>
        <w:rPr>
          <w:rFonts w:hint="eastAsia"/>
          <w:color w:val="auto"/>
          <w:lang w:val="en-US" w:eastAsia="zh-CN"/>
        </w:rPr>
      </w:pPr>
      <w:r>
        <w:rPr>
          <w:rFonts w:hint="eastAsia"/>
          <w:color w:val="auto"/>
          <w:lang w:val="en-US" w:eastAsia="zh-CN"/>
        </w:rPr>
        <w:t xml:space="preserve">   </w:t>
      </w:r>
    </w:p>
    <w:p>
      <w:pPr>
        <w:pStyle w:val="2"/>
        <w:numPr>
          <w:ilvl w:val="0"/>
          <w:numId w:val="0"/>
        </w:numPr>
        <w:rPr>
          <w:rFonts w:hint="eastAsia"/>
          <w:color w:val="auto"/>
          <w:lang w:val="en-US" w:eastAsia="zh-CN"/>
        </w:rPr>
      </w:pPr>
      <w:r>
        <w:drawing>
          <wp:inline distT="0" distB="0" distL="114300" distR="114300">
            <wp:extent cx="5266055" cy="2419350"/>
            <wp:effectExtent l="0" t="0" r="6985" b="381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pic:cNvPicPr>
                  </pic:nvPicPr>
                  <pic:blipFill>
                    <a:blip r:embed="rId10">
                      <a:grayscl/>
                    </a:blip>
                    <a:stretch>
                      <a:fillRect/>
                    </a:stretch>
                  </pic:blipFill>
                  <pic:spPr>
                    <a:xfrm>
                      <a:off x="0" y="0"/>
                      <a:ext cx="5266055" cy="2419350"/>
                    </a:xfrm>
                    <a:prstGeom prst="rect">
                      <a:avLst/>
                    </a:prstGeom>
                    <a:noFill/>
                    <a:ln>
                      <a:noFill/>
                    </a:ln>
                  </pic:spPr>
                </pic:pic>
              </a:graphicData>
            </a:graphic>
          </wp:inline>
        </w:drawing>
      </w:r>
    </w:p>
    <w:p>
      <w:pPr>
        <w:pStyle w:val="2"/>
        <w:numPr>
          <w:ilvl w:val="0"/>
          <w:numId w:val="0"/>
        </w:numPr>
        <w:rPr>
          <w:rFonts w:hint="eastAsia"/>
          <w:color w:val="auto"/>
          <w:lang w:val="en-US" w:eastAsia="zh-CN"/>
        </w:rPr>
      </w:pPr>
    </w:p>
    <w:p>
      <w:pPr>
        <w:rPr>
          <w:rFonts w:hint="eastAsia"/>
          <w:color w:val="auto"/>
          <w:lang w:val="en-US" w:eastAsia="zh-CN"/>
        </w:rPr>
      </w:pPr>
    </w:p>
    <w:p>
      <w:pPr>
        <w:pStyle w:val="2"/>
        <w:numPr>
          <w:ilvl w:val="0"/>
          <w:numId w:val="0"/>
        </w:numPr>
        <w:ind w:left="1680" w:leftChars="0"/>
        <w:rPr>
          <w:rFonts w:hint="eastAsia"/>
          <w:lang w:val="en-US" w:eastAsia="zh-CN"/>
        </w:rPr>
      </w:pPr>
    </w:p>
    <w:p>
      <w:pPr>
        <w:rPr>
          <w:rFonts w:hint="eastAsia"/>
          <w:lang w:val="en-US" w:eastAsia="zh-CN"/>
        </w:rPr>
      </w:pPr>
    </w:p>
    <w:p>
      <w:pPr>
        <w:pStyle w:val="2"/>
        <w:numPr>
          <w:ilvl w:val="0"/>
          <w:numId w:val="0"/>
        </w:numPr>
        <w:ind w:left="1680" w:leftChars="0"/>
        <w:rPr>
          <w:rFonts w:hint="eastAsia"/>
          <w:lang w:val="en-US" w:eastAsia="zh-CN"/>
        </w:rPr>
      </w:pPr>
    </w:p>
    <w:p>
      <w:pPr>
        <w:rPr>
          <w:rFonts w:hint="eastAsia"/>
          <w:lang w:val="en-US" w:eastAsia="zh-CN"/>
        </w:rPr>
      </w:pPr>
    </w:p>
    <w:p>
      <w:pPr>
        <w:rPr>
          <w:rFonts w:hint="eastAsia"/>
          <w:lang w:val="en-US" w:eastAsia="zh-CN"/>
        </w:rPr>
      </w:pPr>
    </w:p>
    <w:p>
      <w:pPr>
        <w:pStyle w:val="2"/>
        <w:numPr>
          <w:ilvl w:val="0"/>
          <w:numId w:val="0"/>
        </w:numPr>
        <w:ind w:left="1680" w:leftChars="0"/>
        <w:rPr>
          <w:rFonts w:hint="eastAsia"/>
          <w:lang w:val="en-US" w:eastAsia="zh-CN"/>
        </w:rPr>
      </w:pPr>
    </w:p>
    <w:p>
      <w:pPr>
        <w:rPr>
          <w:rFonts w:hint="eastAsia"/>
          <w:lang w:val="en-US" w:eastAsia="zh-CN"/>
        </w:rPr>
      </w:pPr>
    </w:p>
    <w:p>
      <w:pPr>
        <w:pStyle w:val="2"/>
        <w:numPr>
          <w:ilvl w:val="0"/>
          <w:numId w:val="0"/>
        </w:numPr>
        <w:ind w:left="1680" w:leftChars="0"/>
        <w:rPr>
          <w:rFonts w:hint="eastAsia"/>
          <w:lang w:val="en-US" w:eastAsia="zh-CN"/>
        </w:rPr>
      </w:pPr>
    </w:p>
    <w:p>
      <w:pPr>
        <w:rPr>
          <w:rFonts w:hint="eastAsia"/>
          <w:lang w:val="en-US" w:eastAsia="zh-CN"/>
        </w:rPr>
      </w:pPr>
    </w:p>
    <w:p>
      <w:pPr>
        <w:pStyle w:val="2"/>
        <w:numPr>
          <w:ilvl w:val="0"/>
          <w:numId w:val="0"/>
        </w:numPr>
        <w:ind w:left="1680" w:leftChars="0"/>
        <w:rPr>
          <w:rFonts w:hint="eastAsia"/>
          <w:lang w:val="en-US" w:eastAsia="zh-CN"/>
        </w:rPr>
      </w:pPr>
    </w:p>
    <w:p>
      <w:pPr>
        <w:rPr>
          <w:rFonts w:hint="eastAsia"/>
          <w:lang w:val="en-US" w:eastAsia="zh-CN"/>
        </w:rPr>
      </w:pPr>
    </w:p>
    <w:p>
      <w:pPr>
        <w:pStyle w:val="2"/>
        <w:numPr>
          <w:ilvl w:val="0"/>
          <w:numId w:val="0"/>
        </w:numPr>
        <w:ind w:left="1680" w:leftChars="0"/>
        <w:rPr>
          <w:rFonts w:hint="eastAsia"/>
          <w:lang w:val="en-US" w:eastAsia="zh-CN"/>
        </w:rPr>
      </w:pPr>
    </w:p>
    <w:p>
      <w:pPr>
        <w:rPr>
          <w:rFonts w:hint="eastAsia"/>
          <w:lang w:val="en-US" w:eastAsia="zh-CN"/>
        </w:rPr>
      </w:pPr>
    </w:p>
    <w:p>
      <w:pPr>
        <w:pStyle w:val="2"/>
        <w:numPr>
          <w:ilvl w:val="0"/>
          <w:numId w:val="0"/>
        </w:numPr>
        <w:ind w:left="1680" w:leftChars="0"/>
        <w:rPr>
          <w:rFonts w:hint="eastAsia"/>
          <w:lang w:val="en-US" w:eastAsia="zh-CN"/>
        </w:rPr>
      </w:pPr>
    </w:p>
    <w:p>
      <w:pPr>
        <w:rPr>
          <w:rFonts w:hint="eastAsia"/>
          <w:lang w:val="en-US" w:eastAsia="zh-CN"/>
        </w:rPr>
      </w:pPr>
    </w:p>
    <w:p>
      <w:pPr>
        <w:pStyle w:val="2"/>
        <w:numPr>
          <w:ilvl w:val="0"/>
          <w:numId w:val="0"/>
        </w:numPr>
        <w:rPr>
          <w:rFonts w:hint="eastAsia"/>
          <w:lang w:val="en-US" w:eastAsia="zh-CN"/>
        </w:rPr>
      </w:pPr>
    </w:p>
    <w:p>
      <w:pPr>
        <w:rPr>
          <w:rFonts w:hint="eastAsia"/>
          <w:lang w:val="en-US" w:eastAsia="zh-CN"/>
        </w:rPr>
      </w:pPr>
    </w:p>
    <w:p>
      <w:pPr>
        <w:rPr>
          <w:rFonts w:hint="eastAsia"/>
          <w:lang w:val="en-US" w:eastAsia="zh-CN"/>
        </w:rPr>
      </w:pPr>
      <w:r>
        <w:drawing>
          <wp:inline distT="0" distB="0" distL="114300" distR="114300">
            <wp:extent cx="5269230" cy="2013585"/>
            <wp:effectExtent l="0" t="0" r="3810" b="13335"/>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pic:cNvPicPr>
                  </pic:nvPicPr>
                  <pic:blipFill>
                    <a:blip r:embed="rId11">
                      <a:grayscl/>
                    </a:blip>
                    <a:stretch>
                      <a:fillRect/>
                    </a:stretch>
                  </pic:blipFill>
                  <pic:spPr>
                    <a:xfrm>
                      <a:off x="0" y="0"/>
                      <a:ext cx="5269230" cy="2013585"/>
                    </a:xfrm>
                    <a:prstGeom prst="rect">
                      <a:avLst/>
                    </a:prstGeom>
                    <a:noFill/>
                    <a:ln>
                      <a:noFill/>
                    </a:ln>
                  </pic:spPr>
                </pic:pic>
              </a:graphicData>
            </a:graphic>
          </wp:inline>
        </w:drawing>
      </w:r>
    </w:p>
    <w:p>
      <w:pPr>
        <w:pStyle w:val="2"/>
        <w:numPr>
          <w:ilvl w:val="0"/>
          <w:numId w:val="0"/>
        </w:numPr>
        <w:ind w:left="1680" w:leftChars="0"/>
        <w:rPr>
          <w:rFonts w:hint="eastAsia"/>
          <w:lang w:val="en-US" w:eastAsia="zh-CN"/>
        </w:rPr>
      </w:pPr>
    </w:p>
    <w:p>
      <w:pPr>
        <w:rPr>
          <w:rFonts w:hint="eastAsia"/>
          <w:lang w:val="en-US" w:eastAsia="zh-CN"/>
        </w:rPr>
      </w:pPr>
    </w:p>
    <w:p>
      <w:pPr>
        <w:pStyle w:val="2"/>
        <w:numPr>
          <w:ilvl w:val="0"/>
          <w:numId w:val="0"/>
        </w:numPr>
        <w:ind w:left="1680" w:leftChars="0"/>
        <w:rPr>
          <w:rFonts w:hint="eastAsia"/>
          <w:lang w:val="en-US" w:eastAsia="zh-CN"/>
        </w:rPr>
      </w:pPr>
    </w:p>
    <w:p>
      <w:pPr>
        <w:rPr>
          <w:rFonts w:hint="eastAsia"/>
          <w:color w:val="auto"/>
          <w:lang w:val="en-US" w:eastAsia="zh-CN"/>
        </w:rPr>
      </w:pPr>
    </w:p>
    <w:p>
      <w:pPr>
        <w:pStyle w:val="2"/>
        <w:numPr>
          <w:ilvl w:val="0"/>
          <w:numId w:val="0"/>
        </w:numPr>
        <w:ind w:left="1680" w:leftChars="0"/>
        <w:rPr>
          <w:rFonts w:hint="eastAsia"/>
          <w:lang w:val="en-US" w:eastAsia="zh-CN"/>
        </w:rPr>
      </w:pPr>
    </w:p>
    <w:p>
      <w:pPr>
        <w:rPr>
          <w:rFonts w:hint="eastAsia"/>
          <w:lang w:val="en-US" w:eastAsia="zh-CN"/>
        </w:rPr>
      </w:pPr>
    </w:p>
    <w:p>
      <w:pPr>
        <w:pStyle w:val="2"/>
        <w:numPr>
          <w:ilvl w:val="0"/>
          <w:numId w:val="0"/>
        </w:numPr>
        <w:rPr>
          <w:rFonts w:hint="default"/>
          <w:color w:val="auto"/>
          <w:lang w:val="en-US" w:eastAsia="zh-CN"/>
        </w:rPr>
      </w:pPr>
    </w:p>
    <w:p>
      <w:pPr>
        <w:pStyle w:val="2"/>
        <w:numPr>
          <w:ilvl w:val="0"/>
          <w:numId w:val="0"/>
        </w:numPr>
        <w:spacing w:line="240" w:lineRule="auto"/>
        <w:ind w:left="0" w:leftChars="0"/>
        <w:rPr>
          <w:rFonts w:hint="default"/>
          <w:lang w:val="en-US" w:eastAsia="zh-CN"/>
        </w:rPr>
      </w:pPr>
    </w:p>
    <w:p>
      <w:pPr>
        <w:rPr>
          <w:rFonts w:hint="default"/>
          <w:lang w:val="en-US" w:eastAsia="zh-CN"/>
        </w:rPr>
      </w:pPr>
    </w:p>
    <w:p>
      <w:pPr>
        <w:pStyle w:val="2"/>
        <w:numPr>
          <w:ilvl w:val="0"/>
          <w:numId w:val="0"/>
        </w:numPr>
        <w:ind w:left="1680" w:leftChars="0"/>
        <w:rPr>
          <w:rFonts w:hint="default"/>
          <w:lang w:val="en-US" w:eastAsia="zh-CN"/>
        </w:rPr>
      </w:pPr>
    </w:p>
    <w:p>
      <w:pPr>
        <w:rPr>
          <w:rFonts w:hint="default"/>
          <w:lang w:val="en-US" w:eastAsia="zh-CN"/>
        </w:rPr>
      </w:pPr>
    </w:p>
    <w:p>
      <w:pPr>
        <w:pStyle w:val="2"/>
        <w:numPr>
          <w:ilvl w:val="0"/>
          <w:numId w:val="0"/>
        </w:numPr>
        <w:rPr>
          <w:rFonts w:hint="default"/>
          <w:lang w:val="en-US" w:eastAsia="zh-CN"/>
        </w:rPr>
      </w:pPr>
    </w:p>
    <w:p>
      <w:pPr>
        <w:rPr>
          <w:rFonts w:hint="default"/>
          <w:lang w:val="en-US" w:eastAsia="zh-CN"/>
        </w:rPr>
      </w:pPr>
    </w:p>
    <w:p>
      <w:pPr>
        <w:pStyle w:val="2"/>
        <w:numPr>
          <w:ilvl w:val="0"/>
          <w:numId w:val="0"/>
        </w:numPr>
        <w:ind w:left="1680" w:leftChars="0"/>
        <w:rPr>
          <w:rFonts w:hint="default"/>
          <w:lang w:val="en-US" w:eastAsia="zh-CN"/>
        </w:rPr>
      </w:pPr>
    </w:p>
    <w:p>
      <w:pPr>
        <w:rPr>
          <w:rFonts w:hint="default"/>
          <w:lang w:val="en-US" w:eastAsia="zh-CN"/>
        </w:rPr>
      </w:pPr>
    </w:p>
    <w:p>
      <w:pPr>
        <w:pStyle w:val="2"/>
        <w:numPr>
          <w:ilvl w:val="0"/>
          <w:numId w:val="0"/>
        </w:numPr>
        <w:ind w:left="1680" w:leftChars="0"/>
        <w:rPr>
          <w:rFonts w:hint="default"/>
          <w:lang w:val="en-US" w:eastAsia="zh-CN"/>
        </w:rPr>
      </w:pPr>
    </w:p>
    <w:p>
      <w:pPr>
        <w:rPr>
          <w:rFonts w:hint="default"/>
          <w:lang w:val="en-US" w:eastAsia="zh-CN"/>
        </w:rPr>
      </w:pPr>
    </w:p>
    <w:p>
      <w:pPr>
        <w:pStyle w:val="2"/>
        <w:numPr>
          <w:ilvl w:val="0"/>
          <w:numId w:val="0"/>
        </w:numPr>
        <w:ind w:left="1680" w:leftChars="0"/>
        <w:rPr>
          <w:rFonts w:hint="default"/>
          <w:lang w:val="en-US" w:eastAsia="zh-CN"/>
        </w:rPr>
      </w:pPr>
    </w:p>
    <w:p>
      <w:pPr>
        <w:rPr>
          <w:rFonts w:hint="default"/>
          <w:lang w:val="en-US" w:eastAsia="zh-CN"/>
        </w:rPr>
      </w:pPr>
    </w:p>
    <w:p>
      <w:pPr>
        <w:pStyle w:val="2"/>
        <w:numPr>
          <w:ilvl w:val="0"/>
          <w:numId w:val="0"/>
        </w:numPr>
        <w:rPr>
          <w:rFonts w:hint="default"/>
          <w:lang w:val="en-US" w:eastAsia="zh-CN"/>
        </w:rPr>
      </w:pPr>
      <w:r>
        <w:drawing>
          <wp:anchor distT="0" distB="0" distL="114300" distR="114300" simplePos="0" relativeHeight="251665408" behindDoc="0" locked="0" layoutInCell="1" allowOverlap="1">
            <wp:simplePos x="0" y="0"/>
            <wp:positionH relativeFrom="column">
              <wp:posOffset>-328930</wp:posOffset>
            </wp:positionH>
            <wp:positionV relativeFrom="page">
              <wp:posOffset>944880</wp:posOffset>
            </wp:positionV>
            <wp:extent cx="6044565" cy="1840865"/>
            <wp:effectExtent l="0" t="0" r="5715" b="3175"/>
            <wp:wrapSquare wrapText="bothSides"/>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pic:cNvPicPr>
                  </pic:nvPicPr>
                  <pic:blipFill>
                    <a:blip r:embed="rId12"/>
                    <a:stretch>
                      <a:fillRect/>
                    </a:stretch>
                  </pic:blipFill>
                  <pic:spPr>
                    <a:xfrm>
                      <a:off x="0" y="0"/>
                      <a:ext cx="6044565" cy="1840865"/>
                    </a:xfrm>
                    <a:prstGeom prst="rect">
                      <a:avLst/>
                    </a:prstGeom>
                    <a:noFill/>
                    <a:ln>
                      <a:noFill/>
                    </a:ln>
                  </pic:spPr>
                </pic:pic>
              </a:graphicData>
            </a:graphic>
          </wp:anchor>
        </w:drawing>
      </w:r>
    </w:p>
    <w:p>
      <w:pPr>
        <w:rPr>
          <w:rFonts w:hint="default"/>
          <w:lang w:val="en-US" w:eastAsia="zh-CN"/>
        </w:rPr>
      </w:pPr>
    </w:p>
    <w:p>
      <w:pPr>
        <w:pStyle w:val="2"/>
        <w:numPr>
          <w:ilvl w:val="0"/>
          <w:numId w:val="0"/>
        </w:numPr>
        <w:ind w:left="1680" w:leftChars="0"/>
        <w:rPr>
          <w:rFonts w:hint="default"/>
          <w:lang w:val="en-US" w:eastAsia="zh-CN"/>
        </w:rPr>
      </w:pPr>
    </w:p>
    <w:p>
      <w:pPr>
        <w:rPr>
          <w:rFonts w:hint="default"/>
          <w:lang w:val="en-US" w:eastAsia="zh-CN"/>
        </w:rPr>
      </w:pPr>
    </w:p>
    <w:p>
      <w:pPr>
        <w:pStyle w:val="2"/>
        <w:numPr>
          <w:ilvl w:val="0"/>
          <w:numId w:val="0"/>
        </w:numPr>
        <w:ind w:left="1680" w:leftChars="0"/>
        <w:rPr>
          <w:rFonts w:hint="default"/>
          <w:lang w:val="en-US" w:eastAsia="zh-CN"/>
        </w:rPr>
      </w:pPr>
    </w:p>
    <w:p>
      <w:pPr>
        <w:rPr>
          <w:rFonts w:hint="default"/>
          <w:lang w:val="en-US" w:eastAsia="zh-CN"/>
        </w:rPr>
      </w:pPr>
    </w:p>
    <w:p>
      <w:pPr>
        <w:pStyle w:val="2"/>
        <w:numPr>
          <w:ilvl w:val="0"/>
          <w:numId w:val="0"/>
        </w:numPr>
        <w:ind w:left="1680" w:leftChars="0"/>
        <w:rPr>
          <w:rFonts w:hint="default"/>
          <w:lang w:val="en-US" w:eastAsia="zh-CN"/>
        </w:rPr>
      </w:pPr>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1"/>
    <w:family w:val="auto"/>
    <w:pitch w:val="default"/>
    <w:sig w:usb0="E0002EFF" w:usb1="C000785B" w:usb2="00000009" w:usb3="00000000" w:csb0="400001FF" w:csb1="FFFF0000"/>
  </w:font>
  <w:font w:name="宋体">
    <w:panose1 w:val="02010600030101010101"/>
    <w:charset w:val="50"/>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方正小标宋_GBK">
    <w:panose1 w:val="03000509000000000000"/>
    <w:charset w:val="86"/>
    <w:family w:val="auto"/>
    <w:pitch w:val="default"/>
    <w:sig w:usb0="00000001" w:usb1="080E0000" w:usb2="00000000" w:usb3="00000000" w:csb0="00040000" w:csb1="00000000"/>
  </w:font>
  <w:font w:name="仿宋_GB2312">
    <w:altName w:val="仿宋"/>
    <w:panose1 w:val="02010609030101010101"/>
    <w:charset w:val="86"/>
    <w:family w:val="auto"/>
    <w:pitch w:val="default"/>
    <w:sig w:usb0="00000000" w:usb1="00000000" w:usb2="00000000" w:usb3="00000000" w:csb0="00040000" w:csb1="00000000"/>
  </w:font>
  <w:font w:name="仿宋">
    <w:panose1 w:val="02010609060101010101"/>
    <w:charset w:val="86"/>
    <w:family w:val="auto"/>
    <w:pitch w:val="default"/>
    <w:sig w:usb0="800002BF" w:usb1="38CF7CFA" w:usb2="00000016" w:usb3="00000000" w:csb0="00040001" w:csb1="00000000"/>
  </w:font>
  <w:font w:name="方正仿宋_GBK">
    <w:panose1 w:val="03000509000000000000"/>
    <w:charset w:val="86"/>
    <w:family w:val="auto"/>
    <w:pitch w:val="default"/>
    <w:sig w:usb0="00000001" w:usb1="080E0000" w:usb2="00000000" w:usb3="00000000" w:csb0="00040000"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1FC29672"/>
    <w:multiLevelType w:val="singleLevel"/>
    <w:tmpl w:val="1FC29672"/>
    <w:lvl w:ilvl="0" w:tentative="0">
      <w:start w:val="1"/>
      <w:numFmt w:val="chineseCounting"/>
      <w:suff w:val="nothing"/>
      <w:lvlText w:val="%1、"/>
      <w:lvlJc w:val="left"/>
      <w:pPr>
        <w:ind w:left="840" w:leftChars="0" w:firstLine="0" w:firstLineChars="0"/>
      </w:pPr>
      <w:rPr>
        <w:rFonts w:hint="eastAsia"/>
      </w:rPr>
    </w:lvl>
  </w:abstractNum>
  <w:abstractNum w:abstractNumId="1">
    <w:nsid w:val="69E77EF5"/>
    <w:multiLevelType w:val="multilevel"/>
    <w:tmpl w:val="69E77EF5"/>
    <w:lvl w:ilvl="0" w:tentative="0">
      <w:start w:val="1"/>
      <w:numFmt w:val="chineseCounting"/>
      <w:pStyle w:val="2"/>
      <w:suff w:val="nothing"/>
      <w:lvlText w:val="%1、"/>
      <w:lvlJc w:val="left"/>
      <w:pPr>
        <w:tabs>
          <w:tab w:val="left" w:pos="851"/>
        </w:tabs>
        <w:ind w:left="1680" w:firstLine="0"/>
      </w:pPr>
      <w:rPr>
        <w:rFonts w:hint="eastAsia" w:eastAsia="黑体"/>
        <w:sz w:val="32"/>
        <w:lang w:val="en-US"/>
      </w:rPr>
    </w:lvl>
    <w:lvl w:ilvl="1" w:tentative="0">
      <w:start w:val="1"/>
      <w:numFmt w:val="chineseCounting"/>
      <w:suff w:val="nothing"/>
      <w:lvlText w:val="（%2）"/>
      <w:lvlJc w:val="left"/>
      <w:pPr>
        <w:ind w:left="1680" w:firstLine="0"/>
      </w:pPr>
      <w:rPr>
        <w:rFonts w:hint="eastAsia"/>
      </w:rPr>
    </w:lvl>
    <w:lvl w:ilvl="2" w:tentative="0">
      <w:start w:val="1"/>
      <w:numFmt w:val="decimal"/>
      <w:suff w:val="nothing"/>
      <w:lvlText w:val="%3．"/>
      <w:lvlJc w:val="left"/>
      <w:pPr>
        <w:ind w:left="1680" w:firstLine="400"/>
      </w:pPr>
      <w:rPr>
        <w:rFonts w:hint="eastAsia"/>
      </w:rPr>
    </w:lvl>
    <w:lvl w:ilvl="3" w:tentative="0">
      <w:start w:val="1"/>
      <w:numFmt w:val="decimal"/>
      <w:suff w:val="nothing"/>
      <w:lvlText w:val="（%4）"/>
      <w:lvlJc w:val="left"/>
      <w:pPr>
        <w:ind w:left="1680" w:firstLine="402"/>
      </w:pPr>
      <w:rPr>
        <w:rFonts w:hint="eastAsia"/>
      </w:rPr>
    </w:lvl>
    <w:lvl w:ilvl="4" w:tentative="0">
      <w:start w:val="1"/>
      <w:numFmt w:val="decimalEnclosedCircleChinese"/>
      <w:suff w:val="nothing"/>
      <w:lvlText w:val="%5"/>
      <w:lvlJc w:val="left"/>
      <w:pPr>
        <w:ind w:left="1680" w:firstLine="402"/>
      </w:pPr>
      <w:rPr>
        <w:rFonts w:hint="eastAsia"/>
      </w:rPr>
    </w:lvl>
    <w:lvl w:ilvl="5" w:tentative="0">
      <w:start w:val="1"/>
      <w:numFmt w:val="decimal"/>
      <w:suff w:val="nothing"/>
      <w:lvlText w:val="%6）"/>
      <w:lvlJc w:val="left"/>
      <w:pPr>
        <w:ind w:left="1680" w:firstLine="402"/>
      </w:pPr>
      <w:rPr>
        <w:rFonts w:hint="eastAsia"/>
      </w:rPr>
    </w:lvl>
    <w:lvl w:ilvl="6" w:tentative="0">
      <w:start w:val="1"/>
      <w:numFmt w:val="lowerLetter"/>
      <w:suff w:val="nothing"/>
      <w:lvlText w:val="%7．"/>
      <w:lvlJc w:val="left"/>
      <w:pPr>
        <w:ind w:left="1680" w:firstLine="402"/>
      </w:pPr>
      <w:rPr>
        <w:rFonts w:hint="eastAsia"/>
      </w:rPr>
    </w:lvl>
    <w:lvl w:ilvl="7" w:tentative="0">
      <w:start w:val="1"/>
      <w:numFmt w:val="lowerLetter"/>
      <w:suff w:val="nothing"/>
      <w:lvlText w:val="%8）"/>
      <w:lvlJc w:val="left"/>
      <w:pPr>
        <w:ind w:left="1680" w:firstLine="402"/>
      </w:pPr>
      <w:rPr>
        <w:rFonts w:hint="eastAsia"/>
      </w:rPr>
    </w:lvl>
    <w:lvl w:ilvl="8" w:tentative="0">
      <w:start w:val="1"/>
      <w:numFmt w:val="lowerRoman"/>
      <w:suff w:val="nothing"/>
      <w:lvlText w:val="%9 "/>
      <w:lvlJc w:val="left"/>
      <w:pPr>
        <w:ind w:left="1680" w:firstLine="402"/>
      </w:pPr>
      <w:rPr>
        <w:rFonts w:hint="eastAsia"/>
      </w:r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10"/>
  <w:embedSystem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YTVmYzU1YWIzMGEwNGY4YTA4MDhkY2Y1NGE4ODRiNjYifQ=="/>
  </w:docVars>
  <w:rsids>
    <w:rsidRoot w:val="0FA72941"/>
    <w:rsid w:val="022B5758"/>
    <w:rsid w:val="05F11014"/>
    <w:rsid w:val="084A4420"/>
    <w:rsid w:val="092445A2"/>
    <w:rsid w:val="0BE9255E"/>
    <w:rsid w:val="0FA72941"/>
    <w:rsid w:val="19B47321"/>
    <w:rsid w:val="1A234585"/>
    <w:rsid w:val="2C0F33D8"/>
    <w:rsid w:val="2FD72DB0"/>
    <w:rsid w:val="3166204C"/>
    <w:rsid w:val="354903FA"/>
    <w:rsid w:val="3CFC632D"/>
    <w:rsid w:val="3FD96329"/>
    <w:rsid w:val="43242908"/>
    <w:rsid w:val="457C0C96"/>
    <w:rsid w:val="55576260"/>
    <w:rsid w:val="6191660A"/>
    <w:rsid w:val="66C91B45"/>
    <w:rsid w:val="6A687F28"/>
    <w:rsid w:val="6E9B39FE"/>
    <w:rsid w:val="6EAC3EF4"/>
    <w:rsid w:val="72387802"/>
    <w:rsid w:val="73D15C9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jc w:val="both"/>
    </w:pPr>
    <w:rPr>
      <w:rFonts w:asciiTheme="minorHAnsi" w:hAnsiTheme="minorHAnsi" w:eastAsiaTheme="minorEastAsia" w:cstheme="minorBidi"/>
      <w:kern w:val="2"/>
      <w:sz w:val="21"/>
      <w:szCs w:val="24"/>
      <w:lang w:val="en-US" w:eastAsia="zh-CN" w:bidi="ar-SA"/>
    </w:rPr>
  </w:style>
  <w:style w:type="paragraph" w:styleId="2">
    <w:name w:val="heading 1"/>
    <w:basedOn w:val="1"/>
    <w:next w:val="1"/>
    <w:qFormat/>
    <w:uiPriority w:val="9"/>
    <w:pPr>
      <w:keepNext/>
      <w:keepLines/>
      <w:numPr>
        <w:ilvl w:val="0"/>
        <w:numId w:val="1"/>
      </w:numPr>
      <w:tabs>
        <w:tab w:val="left" w:pos="0"/>
      </w:tabs>
      <w:spacing w:line="576" w:lineRule="auto"/>
      <w:outlineLvl w:val="0"/>
    </w:pPr>
    <w:rPr>
      <w:b/>
      <w:kern w:val="44"/>
      <w:sz w:val="44"/>
    </w:rPr>
  </w:style>
  <w:style w:type="character" w:default="1" w:styleId="6">
    <w:name w:val="Default Paragraph Font"/>
    <w:semiHidden/>
    <w:qFormat/>
    <w:uiPriority w:val="0"/>
  </w:style>
  <w:style w:type="table" w:default="1" w:styleId="5">
    <w:name w:val="Normal Table"/>
    <w:semiHidden/>
    <w:qFormat/>
    <w:uiPriority w:val="0"/>
    <w:tblPr>
      <w:tblCellMar>
        <w:top w:w="0" w:type="dxa"/>
        <w:left w:w="108" w:type="dxa"/>
        <w:bottom w:w="0" w:type="dxa"/>
        <w:right w:w="108" w:type="dxa"/>
      </w:tblCellMar>
    </w:tblPr>
  </w:style>
  <w:style w:type="paragraph" w:styleId="3">
    <w:name w:val="footer"/>
    <w:basedOn w:val="1"/>
    <w:qFormat/>
    <w:uiPriority w:val="0"/>
    <w:pPr>
      <w:tabs>
        <w:tab w:val="center" w:pos="4153"/>
        <w:tab w:val="right" w:pos="8306"/>
      </w:tabs>
      <w:snapToGrid w:val="0"/>
      <w:jc w:val="left"/>
    </w:pPr>
    <w:rPr>
      <w:sz w:val="18"/>
    </w:rPr>
  </w:style>
  <w:style w:type="paragraph" w:styleId="4">
    <w:name w:val="header"/>
    <w:basedOn w:val="1"/>
    <w:qFormat/>
    <w:uiPriority w:val="0"/>
    <w:pPr>
      <w:pBdr>
        <w:top w:val="none" w:color="auto" w:sz="0" w:space="1"/>
        <w:left w:val="none" w:color="auto" w:sz="0" w:space="4"/>
        <w:bottom w:val="none" w:color="auto" w:sz="0" w:space="1"/>
        <w:right w:val="none" w:color="auto" w:sz="0" w:space="4"/>
      </w:pBdr>
      <w:tabs>
        <w:tab w:val="center" w:pos="4153"/>
        <w:tab w:val="right" w:pos="8306"/>
      </w:tabs>
      <w:snapToGrid w:val="0"/>
      <w:spacing w:line="240" w:lineRule="auto"/>
      <w:jc w:val="both"/>
      <w:outlineLvl w:val="9"/>
    </w:pPr>
    <w:rPr>
      <w:sz w:val="18"/>
    </w:rPr>
  </w:style>
  <w:style w:type="paragraph" w:customStyle="1" w:styleId="7">
    <w:name w:val="List Paragraph"/>
    <w:basedOn w:val="1"/>
    <w:qFormat/>
    <w:uiPriority w:val="0"/>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image" Target="media/image6.png"/><Relationship Id="rId8" Type="http://schemas.openxmlformats.org/officeDocument/2006/relationships/image" Target="media/image5.png"/><Relationship Id="rId7" Type="http://schemas.openxmlformats.org/officeDocument/2006/relationships/image" Target="media/image4.png"/><Relationship Id="rId6" Type="http://schemas.openxmlformats.org/officeDocument/2006/relationships/image" Target="media/image3.png"/><Relationship Id="rId5" Type="http://schemas.openxmlformats.org/officeDocument/2006/relationships/image" Target="media/image2.png"/><Relationship Id="rId4" Type="http://schemas.openxmlformats.org/officeDocument/2006/relationships/image" Target="media/image1.png"/><Relationship Id="rId3" Type="http://schemas.openxmlformats.org/officeDocument/2006/relationships/theme" Target="theme/theme1.xml"/><Relationship Id="rId2" Type="http://schemas.openxmlformats.org/officeDocument/2006/relationships/settings" Target="settings.xml"/><Relationship Id="rId14" Type="http://schemas.openxmlformats.org/officeDocument/2006/relationships/fontTable" Target="fontTable.xml"/><Relationship Id="rId13" Type="http://schemas.openxmlformats.org/officeDocument/2006/relationships/numbering" Target="numbering.xml"/><Relationship Id="rId12" Type="http://schemas.openxmlformats.org/officeDocument/2006/relationships/image" Target="media/image9.png"/><Relationship Id="rId11" Type="http://schemas.openxmlformats.org/officeDocument/2006/relationships/image" Target="media/image8.png"/><Relationship Id="rId10" Type="http://schemas.openxmlformats.org/officeDocument/2006/relationships/image" Target="media/image7.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Pages>23</Pages>
  <Words>9609</Words>
  <Characters>10609</Characters>
  <Lines>0</Lines>
  <Paragraphs>0</Paragraphs>
  <TotalTime>13</TotalTime>
  <ScaleCrop>false</ScaleCrop>
  <LinksUpToDate>false</LinksUpToDate>
  <CharactersWithSpaces>10632</CharactersWithSpaces>
  <Application>WPS Office_11.8.2.10972_F1E327BC-269C-435d-A152-05C5408002CA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2025-08-14T04:03:00Z</dcterms:created>
  <dc:creator>Administrator</dc:creator>
  <cp:lastModifiedBy>lenovo</cp:lastModifiedBy>
  <dcterms:modified xsi:type="dcterms:W3CDTF">2025-09-02T08:12:03Z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2052-11.8.2.10972</vt:lpwstr>
  </property>
  <property fmtid="{D5CDD505-2E9C-101B-9397-08002B2CF9AE}" pid="3" name="ICV">
    <vt:lpwstr>C3FCACF3AE6948B3AE7CA654A1CADD0C</vt:lpwstr>
  </property>
</Properties>
</file>