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color w:val="auto"/>
          <w:sz w:val="32"/>
          <w:szCs w:val="32"/>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color w:val="auto"/>
          <w:kern w:val="2"/>
          <w:sz w:val="44"/>
          <w:szCs w:val="44"/>
          <w:highlight w:val="none"/>
          <w:lang w:val="en-US" w:eastAsia="zh-CN" w:bidi="ar-SA"/>
        </w:rPr>
      </w:pPr>
      <w:r>
        <w:rPr>
          <w:rFonts w:hint="eastAsia" w:ascii="方正小标宋_GBK" w:hAnsi="宋体" w:eastAsia="方正小标宋_GBK" w:cs="Times New Roman"/>
          <w:color w:val="auto"/>
          <w:kern w:val="2"/>
          <w:sz w:val="44"/>
          <w:szCs w:val="44"/>
          <w:highlight w:val="none"/>
          <w:lang w:val="en-US" w:eastAsia="zh-CN" w:bidi="ar-SA"/>
        </w:rPr>
        <w:t>库尔勒市退役军人事务局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color w:val="auto"/>
          <w:kern w:val="2"/>
          <w:sz w:val="44"/>
          <w:szCs w:val="44"/>
          <w:highlight w:val="none"/>
          <w:lang w:val="en-US" w:eastAsia="zh-CN" w:bidi="ar-SA"/>
        </w:rPr>
      </w:pPr>
      <w:r>
        <w:rPr>
          <w:rFonts w:hint="eastAsia" w:ascii="方正小标宋_GBK" w:hAnsi="宋体" w:eastAsia="方正小标宋_GBK" w:cs="Times New Roman"/>
          <w:color w:val="auto"/>
          <w:kern w:val="2"/>
          <w:sz w:val="44"/>
          <w:szCs w:val="44"/>
          <w:highlight w:val="none"/>
          <w:lang w:val="en-US" w:eastAsia="zh-CN" w:bidi="ar-SA"/>
        </w:rPr>
        <w:t>2024年度部门决算公开说明</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目录</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第一部分部门概况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二、机构设置及人员情况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（一）组织实施退役军人思想政治、管理保障和安置优抚等工作政策法规，褒扬彰显退役军人为党、国家和人民牺牲奉献的精神风范和价值导向，发挥退役军人在新疆社会稳定和长治久安总目标中的作用。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（二）负责军队转业干部、复员干部、离退休干部、退役士兵和无军籍退休退职职工的移交安置工作和自主择业、就业退役军人服务管理工作；组织实施退役军人留库尔勒市安置优惠优待政策。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（三）组织指导开展退役军人教育培训工作；协调扶持退役军人和随军随调家属就业创业。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（四）会同有关部门拟定退役军人特殊保障政策并组织落实。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（五）组织落实移交地方的离休退休军人、符合条件的其他退役军人和无军籍退休退职职工的住房保障，以及退役军人医疗保障、社会保险等待遇保障工作。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（六）组织指导伤病残退役军人服务管理和抚恤工作，指导并落实有关退役军人医疗、疗养、养老等机构的规划政策；承担不适宜继续服役的伤病残军人相关工作。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（七）组织指导拥军优属工作。负责现役军人、退役军人、军队文职人员和军属优待、抚恤等工作，落实国民党抗战老兵等有关人员优待政策并指导实施。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八）负责烈士及退役军人荣誉奖励、军人公墓规划建设、管理维护、纪念活动等工作；依法承担英雄烈士保护相关工作；审核拟列入全国和自治区重点保护单位的烈士纪念建筑物名录；总结表彰和宣扬退役军人、退役军人工作单位先进典型事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（九）指导并监督检查退役军人相关法律法规和政策措施的落实；组织指导退役军人权益维护和有关人员的帮扶援助工作。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（十）完成市党委、市人民政府交办的其他事项。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库尔勒市退役军人事务局2024年度，实有人数26人，其中：在职人员20人，减少1人；离休人员0人，较上年无变化；退休人员6人，增加5人。</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从部门决算单位构成看，库尔勒市退役军人事务局部门决算包括：库尔勒市退役军人事务局本级决算及所属单位决算。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Times New Roman" w:hAnsi="Times New Roman" w:eastAsia="仿宋_GB2312" w:cs="宋体"/>
          <w:bCs/>
          <w:color w:val="auto"/>
          <w:sz w:val="32"/>
          <w:szCs w:val="32"/>
          <w:highlight w:val="none"/>
          <w:lang w:val="en-US" w:eastAsia="zh-CN"/>
        </w:rPr>
        <w:t>库尔勒市退役军人事务局本级下设</w:t>
      </w:r>
      <w:r>
        <w:rPr>
          <w:rFonts w:hint="eastAsia" w:ascii="仿宋_GB2312" w:hAnsi="Times New Roman" w:eastAsia="仿宋_GB2312" w:cs="Times New Roman"/>
          <w:color w:val="auto"/>
          <w:spacing w:val="0"/>
          <w:sz w:val="32"/>
          <w:szCs w:val="32"/>
          <w:highlight w:val="none"/>
          <w:lang w:val="en-US" w:eastAsia="zh-CN"/>
        </w:rPr>
        <w:t>下设4个处室，分别是：市双拥办公室、优抚办公室、军队转业干部安置办公室、库尔勒烈士陵园管理办公室。</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纳入库尔勒市退役军人事务局2024年度部门决算编制范围的下属预算单位包括：</w:t>
      </w:r>
    </w:p>
    <w:p>
      <w:pPr>
        <w:widowControl/>
        <w:numPr>
          <w:ilvl w:val="0"/>
          <w:numId w:val="0"/>
        </w:numPr>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hint="eastAsia" w:ascii="仿宋_GB2312" w:eastAsia="仿宋_GB2312"/>
          <w:b w:val="0"/>
          <w:color w:val="auto"/>
          <w:sz w:val="32"/>
          <w:szCs w:val="32"/>
          <w:lang w:val="en-US" w:eastAsia="zh-CN"/>
        </w:rPr>
        <w:t>1.</w:t>
      </w:r>
      <w:r>
        <w:rPr>
          <w:rFonts w:ascii="仿宋_GB2312" w:eastAsia="仿宋_GB2312"/>
          <w:b w:val="0"/>
          <w:color w:val="auto"/>
          <w:sz w:val="32"/>
          <w:szCs w:val="32"/>
        </w:rPr>
        <w:t>库尔勒市退役军人事务局</w:t>
      </w:r>
    </w:p>
    <w:p>
      <w:pPr>
        <w:widowControl/>
        <w:numPr>
          <w:ilvl w:val="0"/>
          <w:numId w:val="0"/>
        </w:numPr>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hint="eastAsia" w:ascii="仿宋_GB2312" w:eastAsia="仿宋_GB2312"/>
          <w:b w:val="0"/>
          <w:color w:val="auto"/>
          <w:sz w:val="32"/>
          <w:szCs w:val="32"/>
          <w:lang w:val="en-US" w:eastAsia="zh-CN"/>
        </w:rPr>
        <w:t>2.</w:t>
      </w:r>
      <w:r>
        <w:rPr>
          <w:rFonts w:ascii="仿宋_GB2312" w:eastAsia="仿宋_GB2312"/>
          <w:b w:val="0"/>
          <w:color w:val="auto"/>
          <w:sz w:val="32"/>
          <w:szCs w:val="32"/>
        </w:rPr>
        <w:t>库尔勒市军队离退休干部休养所</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2024年度收入总计9,329.51万元，</w:t>
      </w:r>
      <w:r>
        <w:rPr>
          <w:rFonts w:ascii="Times New Roman" w:hAnsi="Times New Roman" w:eastAsia="仿宋_GB2312"/>
          <w:b w:val="0"/>
          <w:color w:val="auto"/>
          <w:sz w:val="32"/>
          <w:szCs w:val="32"/>
        </w:rPr>
        <w:t>其中：本年收入合计9,118.64万元，使用非财政拨款结余（含专用结余）0.00万元，年初结转和结余210.87万元。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2024年度支出总计9,329.51万元，</w:t>
      </w:r>
      <w:r>
        <w:rPr>
          <w:rFonts w:ascii="Times New Roman" w:hAnsi="Times New Roman" w:eastAsia="仿宋_GB2312"/>
          <w:b w:val="0"/>
          <w:color w:val="auto"/>
          <w:sz w:val="32"/>
          <w:szCs w:val="32"/>
        </w:rPr>
        <w:t>其中：本年支出合计9,153.35万元，结余分配0.00万元，年末结转和结余176.16万元。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b/>
          <w:bCs/>
          <w:color w:val="auto"/>
          <w:sz w:val="32"/>
          <w:szCs w:val="32"/>
        </w:rPr>
        <w:t>收入支出总体与上年相比，</w:t>
      </w:r>
      <w:r>
        <w:rPr>
          <w:rFonts w:ascii="Times New Roman" w:hAnsi="Times New Roman" w:eastAsia="仿宋_GB2312"/>
          <w:b w:val="0"/>
          <w:color w:val="auto"/>
          <w:sz w:val="32"/>
          <w:szCs w:val="32"/>
        </w:rPr>
        <w:t>减少1,702.76万元，下降15.43%，</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sz w:val="32"/>
          <w:szCs w:val="32"/>
          <w:highlight w:val="none"/>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本年收入9,118.64万元，</w:t>
      </w:r>
      <w:r>
        <w:rPr>
          <w:rFonts w:ascii="Times New Roman" w:hAnsi="Times New Roman" w:eastAsia="仿宋_GB2312"/>
          <w:b w:val="0"/>
          <w:color w:val="auto"/>
          <w:sz w:val="32"/>
          <w:szCs w:val="32"/>
        </w:rPr>
        <w:t>其中：财政拨款收入9,118.64万元,占100.00%；上级补助收入0.00万元,占0.00%；事业收入0.00万元，占0.00%；经营收入0.00万元,占0.00%；附属单位上缴收入0.00万元，占0.00%；其他收入0.00万元，占0.00%。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本年支出9,153.35万元，</w:t>
      </w:r>
      <w:r>
        <w:rPr>
          <w:rFonts w:ascii="Times New Roman" w:hAnsi="Times New Roman" w:eastAsia="仿宋_GB2312"/>
          <w:b w:val="0"/>
          <w:color w:val="auto"/>
          <w:sz w:val="32"/>
          <w:szCs w:val="32"/>
        </w:rPr>
        <w:t>其中：基本支出405.56万元，占4.43%；项目支出8,747.79万元，占95.57%；上缴上级支出0.00万元，占0.00%；经营支出0.00万元，占0.00%；对附属单位补助支出0.00万元，占0.00%。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2024年度财政拨款收入总计9,118.64万元，</w:t>
      </w:r>
      <w:r>
        <w:rPr>
          <w:rFonts w:ascii="Times New Roman" w:hAnsi="Times New Roman" w:eastAsia="仿宋_GB2312"/>
          <w:b w:val="0"/>
          <w:color w:val="auto"/>
          <w:sz w:val="32"/>
          <w:szCs w:val="32"/>
        </w:rPr>
        <w:t>其中：年初财政拨款结转和结余0.00万元，本年财政拨款收入9,118.64万元。</w:t>
      </w:r>
      <w:r>
        <w:rPr>
          <w:rFonts w:ascii="Times New Roman" w:hAnsi="Times New Roman" w:eastAsia="仿宋_GB2312"/>
          <w:b/>
          <w:bCs/>
          <w:color w:val="auto"/>
          <w:sz w:val="32"/>
          <w:szCs w:val="32"/>
        </w:rPr>
        <w:t>财政拨款支出总计9,118.64万元，</w:t>
      </w:r>
      <w:r>
        <w:rPr>
          <w:rFonts w:ascii="Times New Roman" w:hAnsi="Times New Roman" w:eastAsia="仿宋_GB2312"/>
          <w:b w:val="0"/>
          <w:color w:val="auto"/>
          <w:sz w:val="32"/>
          <w:szCs w:val="32"/>
        </w:rPr>
        <w:t>其中：年末财政拨款结转和结余0.00万元，本年财政拨款支出9,118.64万元。</w:t>
      </w:r>
    </w:p>
    <w:p>
      <w:pPr>
        <w:pStyle w:val="2"/>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color w:val="auto"/>
          <w:sz w:val="32"/>
          <w:szCs w:val="32"/>
        </w:rPr>
      </w:pPr>
      <w:r>
        <w:rPr>
          <w:rFonts w:ascii="Times New Roman" w:hAnsi="Times New Roman" w:eastAsia="仿宋_GB2312"/>
          <w:b/>
          <w:bCs/>
          <w:color w:val="auto"/>
          <w:sz w:val="32"/>
          <w:szCs w:val="32"/>
        </w:rPr>
        <w:t>财政拨款收入支出总体与上年相比，</w:t>
      </w:r>
      <w:r>
        <w:rPr>
          <w:rFonts w:ascii="Times New Roman" w:hAnsi="Times New Roman" w:eastAsia="仿宋_GB2312"/>
          <w:b w:val="0"/>
          <w:color w:val="auto"/>
          <w:sz w:val="32"/>
          <w:szCs w:val="32"/>
        </w:rPr>
        <w:t>减少1,239.43万元，下降11.97%，</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sz w:val="32"/>
          <w:szCs w:val="32"/>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r>
        <w:rPr>
          <w:rFonts w:ascii="Times New Roman" w:hAnsi="Times New Roman" w:eastAsia="仿宋_GB2312"/>
          <w:b w:val="0"/>
          <w:color w:val="auto"/>
          <w:sz w:val="32"/>
          <w:szCs w:val="32"/>
        </w:rPr>
        <w:t>。</w:t>
      </w:r>
      <w:r>
        <w:rPr>
          <w:rFonts w:ascii="Times New Roman" w:hAnsi="Times New Roman" w:eastAsia="仿宋_GB2312"/>
          <w:b/>
          <w:bCs/>
          <w:color w:val="auto"/>
          <w:sz w:val="32"/>
          <w:szCs w:val="32"/>
        </w:rPr>
        <w:t>与年初预算相比，</w:t>
      </w:r>
      <w:r>
        <w:rPr>
          <w:rFonts w:ascii="Times New Roman" w:hAnsi="Times New Roman" w:eastAsia="仿宋_GB2312"/>
          <w:b w:val="0"/>
          <w:color w:val="auto"/>
          <w:sz w:val="32"/>
          <w:szCs w:val="32"/>
        </w:rPr>
        <w:t>年初预算数10,632.66万元，决算数9,118.64万元，预决算差异率-14.24%，</w:t>
      </w:r>
      <w:r>
        <w:rPr>
          <w:rFonts w:hint="eastAsia" w:ascii="Times New Roman" w:hAnsi="Times New Roman" w:eastAsia="仿宋_GB2312"/>
          <w:b w:val="0"/>
          <w:color w:val="auto"/>
          <w:sz w:val="32"/>
          <w:szCs w:val="32"/>
          <w:lang w:eastAsia="zh-CN"/>
        </w:rPr>
        <w:t>主要原因是</w:t>
      </w:r>
      <w:r>
        <w:rPr>
          <w:rFonts w:hint="eastAsia" w:ascii="Times New Roman" w:hAnsi="Times New Roman" w:eastAsia="仿宋_GB2312" w:cs="Times New Roman"/>
          <w:color w:val="auto"/>
          <w:sz w:val="32"/>
          <w:szCs w:val="32"/>
          <w:lang w:eastAsia="zh-CN"/>
        </w:rPr>
        <w:t>一为退休人员满足医保退休缴费年限后，基本医疗保险、大额以及公补不再缴费，本年度对无军籍退休职工以及自主择业干部退休人员满足此条件人员不再进行医保缴费，此部分资金执行数较预算数减少；二为退役士兵一次性经济补助人员执行数较预算数减少</w:t>
      </w:r>
      <w:r>
        <w:rPr>
          <w:rFonts w:ascii="Times New Roman" w:hAnsi="Times New Roman"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2024年度一般公共预算财政拨款支出8,745.91万元，</w:t>
      </w:r>
      <w:r>
        <w:rPr>
          <w:rFonts w:ascii="Times New Roman" w:hAnsi="Times New Roman" w:eastAsia="仿宋_GB2312"/>
          <w:b w:val="0"/>
          <w:color w:val="auto"/>
          <w:sz w:val="32"/>
          <w:szCs w:val="32"/>
        </w:rPr>
        <w:t>占本年支出合计的95.55%。</w:t>
      </w:r>
      <w:r>
        <w:rPr>
          <w:rFonts w:ascii="Times New Roman" w:hAnsi="Times New Roman" w:eastAsia="仿宋_GB2312"/>
          <w:b/>
          <w:bCs/>
          <w:color w:val="auto"/>
          <w:sz w:val="32"/>
          <w:szCs w:val="32"/>
        </w:rPr>
        <w:t>与上年相比，</w:t>
      </w:r>
      <w:r>
        <w:rPr>
          <w:rFonts w:ascii="Times New Roman" w:hAnsi="Times New Roman" w:eastAsia="仿宋_GB2312"/>
          <w:b w:val="0"/>
          <w:color w:val="auto"/>
          <w:sz w:val="32"/>
          <w:szCs w:val="32"/>
        </w:rPr>
        <w:t>减少1,326.33万元，下降13.17%，</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sz w:val="32"/>
          <w:szCs w:val="32"/>
          <w:lang w:eastAsia="zh-CN"/>
        </w:rPr>
        <w:t>一为上年度烈士王欲海死亡抚恤金及褒扬金，本年无此资金；二为退休人员满足医保退休缴费年限后，基本医疗保险、大额以及公补不再缴费，本年度对无军籍退休职工以及自主择业干部退休人员满足此条件人员不再进行医保缴费；三为上年度对2022年疫情期间未领取退役士兵一次性经济补助人员进行补发，而本年度正常进行发放导致此资金较上年度减少</w:t>
      </w:r>
      <w:r>
        <w:rPr>
          <w:rFonts w:ascii="Times New Roman" w:hAnsi="Times New Roman" w:eastAsia="仿宋_GB2312"/>
          <w:b w:val="0"/>
          <w:color w:val="auto"/>
          <w:sz w:val="32"/>
          <w:szCs w:val="32"/>
        </w:rPr>
        <w:t>。</w:t>
      </w:r>
      <w:r>
        <w:rPr>
          <w:rFonts w:ascii="Times New Roman" w:hAnsi="Times New Roman" w:eastAsia="仿宋_GB2312"/>
          <w:b/>
          <w:bCs/>
          <w:color w:val="auto"/>
          <w:sz w:val="32"/>
          <w:szCs w:val="32"/>
        </w:rPr>
        <w:t>与年初预算相比，</w:t>
      </w:r>
      <w:r>
        <w:rPr>
          <w:rFonts w:ascii="Times New Roman" w:hAnsi="Times New Roman" w:eastAsia="仿宋_GB2312"/>
          <w:b w:val="0"/>
          <w:color w:val="auto"/>
          <w:sz w:val="32"/>
          <w:szCs w:val="32"/>
        </w:rPr>
        <w:t>年初预算数10,218.49万元，决算数8,745.91万元，预决算差异率-14.41%，</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sz w:val="32"/>
          <w:szCs w:val="32"/>
          <w:lang w:eastAsia="zh-CN"/>
        </w:rPr>
        <w:t>一为退休人员满足医保退休缴费年限后，基本医疗保险、大额以及公补不再缴费，本年度对无军籍退休职工以及自主择业干部退休人员满足此条件人员不再进行医保缴费，此部分资金执行数较预算数减少；二为退役士兵一次性经济补助人员执行数较预算数减少</w:t>
      </w:r>
      <w:r>
        <w:rPr>
          <w:rFonts w:ascii="Times New Roman" w:hAnsi="Times New Roman"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hint="eastAsia" w:ascii="Times New Roman" w:hAnsi="Times New Roman" w:eastAsia="仿宋_GB2312"/>
          <w:b w:val="0"/>
          <w:color w:val="auto"/>
          <w:sz w:val="32"/>
          <w:szCs w:val="32"/>
          <w:lang w:val="en-US" w:eastAsia="zh-CN"/>
        </w:rPr>
        <w:t>1.</w:t>
      </w:r>
      <w:r>
        <w:rPr>
          <w:rFonts w:ascii="Times New Roman" w:hAnsi="Times New Roman" w:eastAsia="仿宋_GB2312"/>
          <w:b w:val="0"/>
          <w:color w:val="auto"/>
          <w:sz w:val="32"/>
          <w:szCs w:val="32"/>
        </w:rPr>
        <w:t>一般公共服务支出（类）3.40万元，占0.04%。</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hint="eastAsia" w:ascii="Times New Roman" w:hAnsi="Times New Roman" w:eastAsia="仿宋_GB2312"/>
          <w:b w:val="0"/>
          <w:color w:val="auto"/>
          <w:sz w:val="32"/>
          <w:szCs w:val="32"/>
          <w:lang w:val="en-US" w:eastAsia="zh-CN"/>
        </w:rPr>
        <w:t>2.</w:t>
      </w:r>
      <w:r>
        <w:rPr>
          <w:rFonts w:ascii="Times New Roman" w:hAnsi="Times New Roman" w:eastAsia="仿宋_GB2312"/>
          <w:b w:val="0"/>
          <w:color w:val="auto"/>
          <w:sz w:val="32"/>
          <w:szCs w:val="32"/>
        </w:rPr>
        <w:t>教育支出（类）0.59万元，占0.01%。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hint="eastAsia" w:ascii="Times New Roman" w:hAnsi="Times New Roman" w:eastAsia="仿宋_GB2312"/>
          <w:b w:val="0"/>
          <w:color w:val="auto"/>
          <w:sz w:val="32"/>
          <w:szCs w:val="32"/>
          <w:lang w:val="en-US" w:eastAsia="zh-CN"/>
        </w:rPr>
        <w:t>3.</w:t>
      </w:r>
      <w:r>
        <w:rPr>
          <w:rFonts w:ascii="Times New Roman" w:hAnsi="Times New Roman" w:eastAsia="仿宋_GB2312"/>
          <w:b w:val="0"/>
          <w:color w:val="auto"/>
          <w:sz w:val="32"/>
          <w:szCs w:val="32"/>
        </w:rPr>
        <w:t>社会保障和就业支出（类）8,672.25万元，占99.16%。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hint="eastAsia" w:ascii="Times New Roman" w:hAnsi="Times New Roman" w:eastAsia="仿宋_GB2312"/>
          <w:b w:val="0"/>
          <w:color w:val="auto"/>
          <w:sz w:val="32"/>
          <w:szCs w:val="32"/>
          <w:lang w:val="en-US" w:eastAsia="zh-CN"/>
        </w:rPr>
        <w:t>4.</w:t>
      </w:r>
      <w:r>
        <w:rPr>
          <w:rFonts w:ascii="Times New Roman" w:hAnsi="Times New Roman" w:eastAsia="仿宋_GB2312"/>
          <w:b w:val="0"/>
          <w:color w:val="auto"/>
          <w:sz w:val="32"/>
          <w:szCs w:val="32"/>
        </w:rPr>
        <w:t>卫生健康支出（类）50.50万元，占0.58%。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hint="eastAsia" w:ascii="Times New Roman" w:hAnsi="Times New Roman" w:eastAsia="仿宋_GB2312"/>
          <w:b w:val="0"/>
          <w:color w:val="auto"/>
          <w:sz w:val="32"/>
          <w:szCs w:val="32"/>
          <w:lang w:val="en-US" w:eastAsia="zh-CN"/>
        </w:rPr>
        <w:t>5.</w:t>
      </w:r>
      <w:r>
        <w:rPr>
          <w:rFonts w:ascii="Times New Roman" w:hAnsi="Times New Roman" w:eastAsia="仿宋_GB2312"/>
          <w:b w:val="0"/>
          <w:color w:val="auto"/>
          <w:sz w:val="32"/>
          <w:szCs w:val="32"/>
        </w:rPr>
        <w:t>住房保障支出（类）19.16万元，占0.22%。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1.</w:t>
      </w:r>
      <w:r>
        <w:rPr>
          <w:rFonts w:ascii="Times New Roman" w:hAnsi="Times New Roman" w:eastAsia="仿宋_GB2312"/>
          <w:b w:val="0"/>
          <w:color w:val="auto"/>
          <w:sz w:val="32"/>
          <w:szCs w:val="32"/>
        </w:rPr>
        <w:t>一般公共服务支出（类）组织事务（款）其他组织事务支出（项）：支出决算数为3.40万元，比上年决算增加3.40万元，增长100.00%，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2024年工作队为民办实事经费支出较上年增加。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2.</w:t>
      </w:r>
      <w:r>
        <w:rPr>
          <w:rFonts w:ascii="Times New Roman" w:hAnsi="Times New Roman" w:eastAsia="仿宋_GB2312"/>
          <w:b w:val="0"/>
          <w:color w:val="auto"/>
          <w:sz w:val="32"/>
          <w:szCs w:val="32"/>
        </w:rPr>
        <w:t>教育支出（类）进修及培训（款）培训支出（项）：支出决算数为0.59万元，比上年决算减少0.20万元，下降25.32%，</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2024年参加退役军人事务系统培训次数较上年减少，相关支出减少。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3.</w:t>
      </w:r>
      <w:r>
        <w:rPr>
          <w:rFonts w:ascii="Times New Roman" w:hAnsi="Times New Roman" w:eastAsia="仿宋_GB2312"/>
          <w:b w:val="0"/>
          <w:color w:val="auto"/>
          <w:sz w:val="32"/>
          <w:szCs w:val="32"/>
        </w:rPr>
        <w:t>社会保障和就业支出（类）行政事业单位养老支出（款）行政单位离退休（项）：支出决算数为0.40万元，比上年决算增加0.40万元，增长100.00%，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2024年发放1名</w:t>
      </w:r>
      <w:r>
        <w:rPr>
          <w:rFonts w:hint="eastAsia" w:ascii="Times New Roman" w:hAnsi="Times New Roman" w:eastAsia="仿宋_GB2312"/>
          <w:b w:val="0"/>
          <w:color w:val="auto"/>
          <w:sz w:val="32"/>
          <w:szCs w:val="32"/>
        </w:rPr>
        <w:t>退休</w:t>
      </w:r>
      <w:r>
        <w:rPr>
          <w:rFonts w:hint="eastAsia" w:ascii="Times New Roman" w:hAnsi="Times New Roman" w:eastAsia="仿宋_GB2312"/>
          <w:b w:val="0"/>
          <w:color w:val="auto"/>
          <w:sz w:val="32"/>
          <w:szCs w:val="32"/>
          <w:lang w:eastAsia="zh-CN"/>
        </w:rPr>
        <w:t>人员</w:t>
      </w:r>
      <w:r>
        <w:rPr>
          <w:rFonts w:hint="eastAsia" w:ascii="Times New Roman" w:hAnsi="Times New Roman" w:eastAsia="仿宋_GB2312"/>
          <w:b w:val="0"/>
          <w:color w:val="auto"/>
          <w:sz w:val="32"/>
          <w:szCs w:val="32"/>
          <w:lang w:val="en-US" w:eastAsia="zh-CN"/>
        </w:rPr>
        <w:t>2023年</w:t>
      </w:r>
      <w:r>
        <w:rPr>
          <w:rFonts w:hint="eastAsia" w:ascii="Times New Roman" w:hAnsi="Times New Roman" w:eastAsia="仿宋_GB2312"/>
          <w:b w:val="0"/>
          <w:color w:val="auto"/>
          <w:sz w:val="32"/>
          <w:szCs w:val="32"/>
        </w:rPr>
        <w:t>绩效考核奖</w:t>
      </w:r>
      <w:r>
        <w:rPr>
          <w:rFonts w:hint="eastAsia" w:ascii="Times New Roman" w:hAnsi="Times New Roman" w:eastAsia="仿宋_GB2312"/>
          <w:b w:val="0"/>
          <w:color w:val="auto"/>
          <w:sz w:val="32"/>
          <w:szCs w:val="32"/>
          <w:lang w:eastAsia="zh-CN"/>
        </w:rPr>
        <w:t>，</w:t>
      </w:r>
      <w:r>
        <w:rPr>
          <w:rFonts w:hint="eastAsia" w:ascii="Times New Roman" w:hAnsi="Times New Roman" w:eastAsia="仿宋_GB2312"/>
          <w:b w:val="0"/>
          <w:color w:val="auto"/>
          <w:sz w:val="32"/>
          <w:szCs w:val="32"/>
          <w:lang w:val="en-US" w:eastAsia="zh-CN"/>
        </w:rPr>
        <w:t>2023年无此支出。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4.</w:t>
      </w:r>
      <w:r>
        <w:rPr>
          <w:rFonts w:ascii="Times New Roman" w:hAnsi="Times New Roman" w:eastAsia="仿宋_GB2312"/>
          <w:b w:val="0"/>
          <w:color w:val="auto"/>
          <w:sz w:val="32"/>
          <w:szCs w:val="32"/>
        </w:rPr>
        <w:t>社会保障和就业支出（类）行政事业单位养老支出（款）机关事业单位基本养老保险缴费支出（项）：支出决算数为25.17万元，比上年决算增加1.50万元，增长6.34%，</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2024机关事业单位基本养老保险缴费基数增加，决算数增加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b w:val="0"/>
          <w:color w:val="auto"/>
          <w:sz w:val="32"/>
          <w:szCs w:val="32"/>
          <w:lang w:val="en-US" w:eastAsia="zh-CN"/>
        </w:rPr>
        <w:t>5.</w:t>
      </w:r>
      <w:r>
        <w:rPr>
          <w:rFonts w:ascii="Times New Roman" w:hAnsi="Times New Roman" w:eastAsia="仿宋_GB2312"/>
          <w:b w:val="0"/>
          <w:color w:val="auto"/>
          <w:sz w:val="32"/>
          <w:szCs w:val="32"/>
        </w:rPr>
        <w:t>社会保障和就业支出（类）行政事业单位养老支出（款）机关事业单位职业年金缴费支出（项）：</w:t>
      </w:r>
      <w:r>
        <w:rPr>
          <w:rFonts w:ascii="Times New Roman" w:hAnsi="Times New Roman" w:eastAsia="仿宋_GB2312"/>
          <w:b w:val="0"/>
          <w:color w:val="auto"/>
          <w:sz w:val="32"/>
          <w:szCs w:val="32"/>
          <w:highlight w:val="none"/>
        </w:rPr>
        <w:t>支出决算数为0.00万元，比上年决算减少6.04万元，下降100.00%，</w:t>
      </w:r>
      <w:r>
        <w:rPr>
          <w:rFonts w:hint="eastAsia" w:ascii="Times New Roman" w:hAnsi="Times New Roman" w:eastAsia="仿宋_GB2312"/>
          <w:b w:val="0"/>
          <w:color w:val="auto"/>
          <w:sz w:val="32"/>
          <w:szCs w:val="32"/>
          <w:highlight w:val="none"/>
          <w:lang w:eastAsia="zh-CN"/>
        </w:rPr>
        <w:t>主要原因是</w:t>
      </w:r>
      <w:r>
        <w:rPr>
          <w:rFonts w:ascii="Times New Roman" w:hAnsi="Times New Roman" w:eastAsia="仿宋_GB2312"/>
          <w:b w:val="0"/>
          <w:color w:val="auto"/>
          <w:sz w:val="32"/>
          <w:szCs w:val="32"/>
          <w:highlight w:val="none"/>
        </w:rPr>
        <w:t>：</w:t>
      </w:r>
      <w:r>
        <w:rPr>
          <w:rFonts w:hint="eastAsia" w:ascii="Times New Roman" w:hAnsi="Times New Roman" w:eastAsia="仿宋_GB2312"/>
          <w:color w:val="auto"/>
          <w:sz w:val="32"/>
          <w:szCs w:val="32"/>
          <w:highlight w:val="none"/>
          <w:lang w:val="en-US" w:eastAsia="zh-CN"/>
        </w:rPr>
        <w:t>2024年本单位无退休人员。所以，当年职业年金缴费数为零。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b w:val="0"/>
          <w:color w:val="auto"/>
          <w:sz w:val="32"/>
          <w:szCs w:val="32"/>
          <w:lang w:val="zh-CN" w:eastAsia="zh-CN"/>
        </w:rPr>
      </w:pPr>
      <w:r>
        <w:rPr>
          <w:rFonts w:hint="eastAsia" w:ascii="Times New Roman" w:hAnsi="Times New Roman" w:eastAsia="仿宋_GB2312"/>
          <w:b w:val="0"/>
          <w:color w:val="auto"/>
          <w:sz w:val="32"/>
          <w:szCs w:val="32"/>
          <w:lang w:val="en-US" w:eastAsia="zh-CN"/>
        </w:rPr>
        <w:t>6.</w:t>
      </w:r>
      <w:r>
        <w:rPr>
          <w:rFonts w:ascii="Times New Roman" w:hAnsi="Times New Roman" w:eastAsia="仿宋_GB2312"/>
          <w:b w:val="0"/>
          <w:color w:val="auto"/>
          <w:sz w:val="32"/>
          <w:szCs w:val="32"/>
        </w:rPr>
        <w:t>社会保障和就业支出（类）抚恤（款）死亡抚恤（项）：支出决算数为94.80万元，比上年决算减少397.18万元，下降80.73%，</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b w:val="0"/>
          <w:color w:val="auto"/>
          <w:sz w:val="32"/>
          <w:szCs w:val="32"/>
          <w:lang w:val="en-US" w:eastAsia="zh-CN"/>
        </w:rPr>
        <w:t>2023年支出</w:t>
      </w:r>
      <w:r>
        <w:rPr>
          <w:rFonts w:hint="eastAsia" w:ascii="Times New Roman" w:hAnsi="Times New Roman" w:eastAsia="仿宋_GB2312" w:cs="Times New Roman"/>
          <w:b w:val="0"/>
          <w:color w:val="auto"/>
          <w:sz w:val="32"/>
          <w:szCs w:val="32"/>
          <w:lang w:val="zh-CN" w:eastAsia="zh-CN"/>
        </w:rPr>
        <w:t>王裕海烈士褒扬金及死亡抚恤金，</w:t>
      </w:r>
      <w:r>
        <w:rPr>
          <w:rFonts w:hint="eastAsia" w:ascii="Times New Roman" w:hAnsi="Times New Roman" w:eastAsia="仿宋_GB2312" w:cs="Times New Roman"/>
          <w:b w:val="0"/>
          <w:color w:val="auto"/>
          <w:sz w:val="32"/>
          <w:szCs w:val="32"/>
          <w:lang w:val="en-US" w:eastAsia="zh-CN"/>
        </w:rPr>
        <w:t>2024年无此支出</w:t>
      </w:r>
      <w:r>
        <w:rPr>
          <w:rFonts w:hint="eastAsia" w:ascii="Times New Roman" w:hAnsi="Times New Roman" w:eastAsia="仿宋_GB2312" w:cs="Times New Roman"/>
          <w:b w:val="0"/>
          <w:color w:val="auto"/>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7.</w:t>
      </w:r>
      <w:r>
        <w:rPr>
          <w:rFonts w:ascii="Times New Roman" w:hAnsi="Times New Roman" w:eastAsia="仿宋_GB2312"/>
          <w:b w:val="0"/>
          <w:color w:val="auto"/>
          <w:sz w:val="32"/>
          <w:szCs w:val="32"/>
        </w:rPr>
        <w:t>社会保障和就业支出（类）抚恤（款）伤残抚恤（项）：支出决算数为1,773.01万元，比上年决算增加1,546.03万元，增长681.13%，</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eastAsia="zh-CN"/>
        </w:rPr>
        <w:t>一为</w:t>
      </w:r>
      <w:r>
        <w:rPr>
          <w:rFonts w:hint="eastAsia" w:ascii="Times New Roman" w:hAnsi="Times New Roman" w:eastAsia="仿宋_GB2312" w:cs="Times New Roman"/>
          <w:color w:val="auto"/>
          <w:kern w:val="2"/>
          <w:sz w:val="32"/>
          <w:szCs w:val="32"/>
          <w:highlight w:val="none"/>
          <w:lang w:val="en-US" w:eastAsia="zh-CN" w:bidi="ar-SA"/>
        </w:rPr>
        <w:t>2024年优抚对象生活补助资金调标所致，二为2024年优抚对象生活补助资金调标所致在此科目下核算，2023年优抚对象生活补助资金在社会保障和就业支出（类）抚恤（款）其他优抚支出（项）科目下核算</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8.</w:t>
      </w:r>
      <w:r>
        <w:rPr>
          <w:rFonts w:ascii="Times New Roman" w:hAnsi="Times New Roman" w:eastAsia="仿宋_GB2312"/>
          <w:b w:val="0"/>
          <w:color w:val="auto"/>
          <w:sz w:val="32"/>
          <w:szCs w:val="32"/>
        </w:rPr>
        <w:t>社会保障和就业支出（类）抚恤（款）义务兵优待（项）：支出决算数为309.64万元，比上年决算减少85.59万元，下降21.66%，</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仿宋_GB2312"/>
          <w:color w:val="auto"/>
          <w:kern w:val="0"/>
          <w:sz w:val="32"/>
          <w:szCs w:val="32"/>
          <w:highlight w:val="none"/>
          <w:lang w:val="en-US" w:eastAsia="zh-CN"/>
        </w:rPr>
        <w:t>2024年领取义务兵家庭优待金人数较上年度减少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9.</w:t>
      </w:r>
      <w:r>
        <w:rPr>
          <w:rFonts w:ascii="Times New Roman" w:hAnsi="Times New Roman" w:eastAsia="仿宋_GB2312"/>
          <w:b w:val="0"/>
          <w:color w:val="auto"/>
          <w:sz w:val="32"/>
          <w:szCs w:val="32"/>
        </w:rPr>
        <w:t>社会保障和就业支出（类）抚恤（款）褒扬纪念（项）：支出决算数为1.35万元，比上年决算减少17.13万元，下降92.69%，</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kern w:val="2"/>
          <w:sz w:val="32"/>
          <w:szCs w:val="32"/>
          <w:highlight w:val="none"/>
          <w:lang w:val="en-US" w:eastAsia="zh-CN" w:bidi="ar-SA"/>
        </w:rPr>
        <w:t>2024年烈士纪念设施管理维护费用降低</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10.</w:t>
      </w:r>
      <w:r>
        <w:rPr>
          <w:rFonts w:ascii="Times New Roman" w:hAnsi="Times New Roman" w:eastAsia="仿宋_GB2312"/>
          <w:b w:val="0"/>
          <w:color w:val="auto"/>
          <w:sz w:val="32"/>
          <w:szCs w:val="32"/>
        </w:rPr>
        <w:t>社会保障和就业支出（类）抚恤（款）其他优抚支出（项）：支出决算数为57.28万元，比上年决算减少1,720.45万元，下降96.78%，</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kern w:val="2"/>
          <w:sz w:val="32"/>
          <w:szCs w:val="32"/>
          <w:highlight w:val="none"/>
          <w:lang w:val="en-US" w:eastAsia="zh-CN" w:bidi="ar-SA"/>
        </w:rPr>
        <w:t>2024年优抚对象生活补助资金调标所致在</w:t>
      </w:r>
      <w:r>
        <w:rPr>
          <w:rFonts w:ascii="Times New Roman" w:hAnsi="Times New Roman" w:eastAsia="仿宋_GB2312"/>
          <w:b w:val="0"/>
          <w:color w:val="auto"/>
          <w:sz w:val="32"/>
          <w:szCs w:val="32"/>
        </w:rPr>
        <w:t>社会保障和就业支出（类）抚恤（款）伤残抚恤（项）</w:t>
      </w:r>
      <w:r>
        <w:rPr>
          <w:rFonts w:hint="eastAsia" w:ascii="Times New Roman" w:hAnsi="Times New Roman" w:eastAsia="仿宋_GB2312" w:cs="Times New Roman"/>
          <w:color w:val="auto"/>
          <w:kern w:val="2"/>
          <w:sz w:val="32"/>
          <w:szCs w:val="32"/>
          <w:highlight w:val="none"/>
          <w:lang w:val="en-US" w:eastAsia="zh-CN" w:bidi="ar-SA"/>
        </w:rPr>
        <w:t>科目下核算，2023年优抚对象生活补助资金在社会保障和就业支出（类）抚恤（款）其他优抚支出（项）科目下核算，科目调整所致</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11.</w:t>
      </w:r>
      <w:r>
        <w:rPr>
          <w:rFonts w:ascii="Times New Roman" w:hAnsi="Times New Roman" w:eastAsia="仿宋_GB2312"/>
          <w:b w:val="0"/>
          <w:color w:val="auto"/>
          <w:sz w:val="32"/>
          <w:szCs w:val="32"/>
        </w:rPr>
        <w:t>社会保障和就业支出（类）退役安置（款）退役士兵安置（项）：支出决算数为360.50万元，比上年决算减少351.60万元，下降49.38%，</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2023年</w:t>
      </w:r>
      <w:r>
        <w:rPr>
          <w:rFonts w:hint="eastAsia" w:ascii="Times New Roman" w:hAnsi="Times New Roman" w:eastAsia="仿宋_GB2312" w:cs="Times New Roman"/>
          <w:color w:val="auto"/>
          <w:kern w:val="2"/>
          <w:sz w:val="32"/>
          <w:szCs w:val="32"/>
          <w:highlight w:val="none"/>
          <w:lang w:val="en-US" w:eastAsia="zh-CN" w:bidi="ar-SA"/>
        </w:rPr>
        <w:t>对2022年因疫情原因未及时领取</w:t>
      </w:r>
      <w:r>
        <w:rPr>
          <w:rFonts w:hint="eastAsia" w:ascii="Times New Roman" w:hAnsi="Times New Roman" w:eastAsia="仿宋_GB2312" w:cs="Times New Roman"/>
          <w:color w:val="auto"/>
          <w:kern w:val="2"/>
          <w:sz w:val="32"/>
          <w:szCs w:val="32"/>
          <w:highlight w:val="none"/>
          <w:lang w:val="zh-CN" w:eastAsia="zh-CN" w:bidi="ar-SA"/>
        </w:rPr>
        <w:t>一次性就业经济补助金的退役士兵于</w:t>
      </w:r>
      <w:r>
        <w:rPr>
          <w:rFonts w:hint="eastAsia" w:ascii="Times New Roman" w:hAnsi="Times New Roman" w:eastAsia="仿宋_GB2312" w:cs="Times New Roman"/>
          <w:color w:val="auto"/>
          <w:kern w:val="2"/>
          <w:sz w:val="32"/>
          <w:szCs w:val="32"/>
          <w:highlight w:val="none"/>
          <w:lang w:val="en-US" w:eastAsia="zh-CN" w:bidi="ar-SA"/>
        </w:rPr>
        <w:t>2023年进行补发，导致2023年</w:t>
      </w:r>
      <w:r>
        <w:rPr>
          <w:rFonts w:hint="eastAsia" w:ascii="Times New Roman" w:hAnsi="Times New Roman" w:eastAsia="仿宋_GB2312" w:cs="Times New Roman"/>
          <w:color w:val="auto"/>
          <w:kern w:val="2"/>
          <w:sz w:val="32"/>
          <w:szCs w:val="32"/>
          <w:highlight w:val="none"/>
          <w:lang w:val="zh-CN" w:eastAsia="zh-CN" w:bidi="ar-SA"/>
        </w:rPr>
        <w:t>补助金支出金额较大，而</w:t>
      </w:r>
      <w:r>
        <w:rPr>
          <w:rFonts w:hint="eastAsia" w:ascii="Times New Roman" w:hAnsi="Times New Roman" w:eastAsia="仿宋_GB2312" w:cs="Times New Roman"/>
          <w:color w:val="auto"/>
          <w:kern w:val="2"/>
          <w:sz w:val="32"/>
          <w:szCs w:val="32"/>
          <w:highlight w:val="none"/>
          <w:lang w:val="en-US" w:eastAsia="zh-CN" w:bidi="ar-SA"/>
        </w:rPr>
        <w:t>2024年正常发放，无补发因素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default"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b w:val="0"/>
          <w:color w:val="auto"/>
          <w:sz w:val="32"/>
          <w:szCs w:val="32"/>
          <w:lang w:val="en-US" w:eastAsia="zh-CN"/>
        </w:rPr>
        <w:t>12.</w:t>
      </w:r>
      <w:r>
        <w:rPr>
          <w:rFonts w:ascii="Times New Roman" w:hAnsi="Times New Roman" w:eastAsia="仿宋_GB2312"/>
          <w:b w:val="0"/>
          <w:color w:val="auto"/>
          <w:sz w:val="32"/>
          <w:szCs w:val="32"/>
        </w:rPr>
        <w:t>社会保障和就业支出（类）退役安置（款）军队移交政府的离退休人员安置（项）：支出决算数为2,776.52万元，比上年决算增加2,773.43万元，增长89,755.02%，</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仿宋_GB2312"/>
          <w:color w:val="auto"/>
          <w:kern w:val="0"/>
          <w:sz w:val="32"/>
          <w:szCs w:val="32"/>
          <w:highlight w:val="none"/>
          <w:lang w:val="en-US" w:eastAsia="zh-CN"/>
        </w:rPr>
        <w:t>2024年军休干部以及无军籍职工退休工资支出在此功能科目下体现，而2023年在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2"/>
          <w:szCs w:val="32"/>
          <w:highlight w:val="none"/>
          <w:lang w:val="en-US" w:eastAsia="zh-CN"/>
        </w:rPr>
        <w:t>科目下反映，科目调整所致。</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13.</w:t>
      </w:r>
      <w:r>
        <w:rPr>
          <w:rFonts w:ascii="Times New Roman" w:hAnsi="Times New Roman" w:eastAsia="仿宋_GB2312"/>
          <w:b w:val="0"/>
          <w:color w:val="auto"/>
          <w:sz w:val="32"/>
          <w:szCs w:val="32"/>
        </w:rPr>
        <w:t>社会保障和就业支出（类）退役安置（款）军队移交政府离退休干部管理机构（项）：支出决算数为136.43万元，比上年决算增加57.44万元，增长72.72%，</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本年度军休机构新增办公设备及办公大楼设备维修更换。</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14.</w:t>
      </w:r>
      <w:r>
        <w:rPr>
          <w:rFonts w:ascii="Times New Roman" w:hAnsi="Times New Roman" w:eastAsia="仿宋_GB2312"/>
          <w:b w:val="0"/>
          <w:color w:val="auto"/>
          <w:sz w:val="32"/>
          <w:szCs w:val="32"/>
        </w:rPr>
        <w:t>社会保障和就业支出（类）退役安置（款）退役士兵管理教育（项）：支出决算数为6.46万元，比上年决算增加6.46万元，增长100.00%，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2024年对退役士兵开展职业技能培训支出较上年增加。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val="0"/>
          <w:color w:val="auto"/>
          <w:sz w:val="32"/>
          <w:szCs w:val="32"/>
          <w:lang w:val="en-US" w:eastAsia="zh-CN"/>
        </w:rPr>
        <w:t>15.</w:t>
      </w:r>
      <w:r>
        <w:rPr>
          <w:rFonts w:ascii="Times New Roman" w:hAnsi="Times New Roman" w:eastAsia="仿宋_GB2312"/>
          <w:b w:val="0"/>
          <w:color w:val="auto"/>
          <w:sz w:val="32"/>
          <w:szCs w:val="32"/>
        </w:rPr>
        <w:t>社会保障和就业支出（类）退役安置（款）军队转业干部安置（项）：支出决算数为219.54万元，比上年决算增加114.23万元，增长108.47%，</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2024年</w:t>
      </w:r>
      <w:r>
        <w:rPr>
          <w:rFonts w:hint="eastAsia" w:ascii="Times New Roman" w:hAnsi="Times New Roman" w:eastAsia="仿宋_GB2312"/>
          <w:b w:val="0"/>
          <w:color w:val="auto"/>
          <w:sz w:val="32"/>
          <w:szCs w:val="32"/>
          <w:lang w:eastAsia="zh-CN"/>
        </w:rPr>
        <w:t>自主择业干部服务管理活动支出较上年增加所致。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b w:val="0"/>
          <w:color w:val="auto"/>
          <w:sz w:val="32"/>
          <w:szCs w:val="32"/>
          <w:lang w:val="en-US" w:eastAsia="zh-CN"/>
        </w:rPr>
        <w:t>16.</w:t>
      </w:r>
      <w:r>
        <w:rPr>
          <w:rFonts w:ascii="Times New Roman" w:hAnsi="Times New Roman" w:eastAsia="仿宋_GB2312"/>
          <w:b w:val="0"/>
          <w:color w:val="auto"/>
          <w:sz w:val="32"/>
          <w:szCs w:val="32"/>
        </w:rPr>
        <w:t>社会保障和就业支出（类）退役安置（款）其他退役安置支出（项）：支出决算数为403.46万元，比上年决算减少5,526.49万元，下降93.20%，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仿宋_GB2312"/>
          <w:color w:val="auto"/>
          <w:kern w:val="0"/>
          <w:sz w:val="32"/>
          <w:szCs w:val="32"/>
          <w:highlight w:val="none"/>
          <w:lang w:val="en-US" w:eastAsia="zh-CN"/>
        </w:rPr>
        <w:t>2024年军休干部和无军籍职工退休工资支出在</w:t>
      </w:r>
      <w:r>
        <w:rPr>
          <w:rFonts w:ascii="Times New Roman" w:hAnsi="Times New Roman" w:eastAsia="仿宋_GB2312"/>
          <w:b w:val="0"/>
          <w:color w:val="auto"/>
          <w:sz w:val="32"/>
          <w:szCs w:val="32"/>
        </w:rPr>
        <w:t>军队移交政府的离退休人员安置</w:t>
      </w:r>
      <w:r>
        <w:rPr>
          <w:rFonts w:hint="eastAsia" w:ascii="Times New Roman" w:hAnsi="Times New Roman" w:eastAsia="仿宋_GB2312" w:cs="仿宋_GB2312"/>
          <w:color w:val="auto"/>
          <w:kern w:val="0"/>
          <w:sz w:val="32"/>
          <w:szCs w:val="32"/>
          <w:highlight w:val="none"/>
          <w:lang w:val="en-US" w:eastAsia="zh-CN"/>
        </w:rPr>
        <w:t>功能科目下体现，自主择业干部医保金在</w:t>
      </w:r>
      <w:r>
        <w:rPr>
          <w:rFonts w:ascii="Times New Roman" w:hAnsi="Times New Roman" w:eastAsia="仿宋_GB2312"/>
          <w:b w:val="0"/>
          <w:color w:val="auto"/>
          <w:sz w:val="32"/>
          <w:szCs w:val="32"/>
        </w:rPr>
        <w:t>其他退役军人事务管理支出</w:t>
      </w:r>
      <w:r>
        <w:rPr>
          <w:rFonts w:hint="eastAsia" w:ascii="Times New Roman" w:hAnsi="Times New Roman" w:eastAsia="仿宋_GB2312" w:cs="仿宋_GB2312"/>
          <w:color w:val="auto"/>
          <w:kern w:val="0"/>
          <w:sz w:val="32"/>
          <w:szCs w:val="32"/>
          <w:highlight w:val="none"/>
          <w:lang w:val="en-US" w:eastAsia="zh-CN"/>
        </w:rPr>
        <w:t>功能科目下体现，而2023年以上项目在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2"/>
          <w:szCs w:val="32"/>
          <w:highlight w:val="none"/>
          <w:lang w:val="en-US" w:eastAsia="zh-CN"/>
        </w:rPr>
        <w:t>科目下反映，科目调整所致。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b w:val="0"/>
          <w:color w:val="auto"/>
          <w:sz w:val="32"/>
          <w:szCs w:val="32"/>
          <w:lang w:val="en-US" w:eastAsia="zh-CN"/>
        </w:rPr>
        <w:t>17.</w:t>
      </w:r>
      <w:r>
        <w:rPr>
          <w:rFonts w:ascii="Times New Roman" w:hAnsi="Times New Roman" w:eastAsia="仿宋_GB2312"/>
          <w:b w:val="0"/>
          <w:color w:val="auto"/>
          <w:sz w:val="32"/>
          <w:szCs w:val="32"/>
        </w:rPr>
        <w:t>社会保障和就业支出（类）退役军人管理事务（款）行政运行（项）：支出决算数为185.26万元，比上年决算减少22.22万元，下降10.71%，</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eastAsia="zh-CN"/>
        </w:rPr>
        <w:t>一为</w:t>
      </w:r>
      <w:r>
        <w:rPr>
          <w:rFonts w:hint="eastAsia" w:ascii="Times New Roman" w:hAnsi="Times New Roman" w:eastAsia="仿宋_GB2312"/>
          <w:b w:val="0"/>
          <w:color w:val="auto"/>
          <w:sz w:val="32"/>
          <w:szCs w:val="32"/>
          <w:lang w:val="en-US" w:eastAsia="zh-CN"/>
        </w:rPr>
        <w:t>2023年补发了2020年绩效考核奖，2024年无此支出；二为厉行节约，压缩一般开支所致。</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default" w:ascii="Times New Roman" w:hAnsi="Times New Roman" w:eastAsia="仿宋_GB2312"/>
          <w:color w:val="auto"/>
          <w:sz w:val="32"/>
          <w:szCs w:val="32"/>
          <w:lang w:val="en-US"/>
        </w:rPr>
      </w:pPr>
      <w:r>
        <w:rPr>
          <w:rFonts w:hint="eastAsia" w:ascii="Times New Roman" w:hAnsi="Times New Roman" w:eastAsia="仿宋_GB2312"/>
          <w:b w:val="0"/>
          <w:color w:val="auto"/>
          <w:sz w:val="32"/>
          <w:szCs w:val="32"/>
          <w:lang w:val="en-US" w:eastAsia="zh-CN"/>
        </w:rPr>
        <w:t>18.</w:t>
      </w:r>
      <w:r>
        <w:rPr>
          <w:rFonts w:ascii="Times New Roman" w:hAnsi="Times New Roman" w:eastAsia="仿宋_GB2312"/>
          <w:b w:val="0"/>
          <w:color w:val="auto"/>
          <w:sz w:val="32"/>
          <w:szCs w:val="32"/>
        </w:rPr>
        <w:t>社会保障和就业支出（类）退役军人管理事务（款）拥军优属（项）：支出决算数为41.73万元，比上年决算减少12.19万元，下降22.61%，</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kern w:val="2"/>
          <w:sz w:val="32"/>
          <w:szCs w:val="32"/>
          <w:highlight w:val="none"/>
          <w:lang w:val="en-US" w:eastAsia="zh-CN" w:bidi="ar-SA"/>
        </w:rPr>
        <w:t>2023年进行了双拥展厅建设和专题片制作，2024年无此支出。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b w:val="0"/>
          <w:color w:val="auto"/>
          <w:sz w:val="32"/>
          <w:szCs w:val="32"/>
          <w:lang w:val="en-US" w:eastAsia="zh-CN"/>
        </w:rPr>
        <w:t>19.</w:t>
      </w:r>
      <w:r>
        <w:rPr>
          <w:rFonts w:ascii="Times New Roman" w:hAnsi="Times New Roman" w:eastAsia="仿宋_GB2312"/>
          <w:b w:val="0"/>
          <w:color w:val="auto"/>
          <w:sz w:val="32"/>
          <w:szCs w:val="32"/>
        </w:rPr>
        <w:t>社会保障和就业支出（类）退役军人管理事务（款）其他退役军人事务管理支出（项）：支出决算数为2,280.68万元，比上年决算增加2,280.68万元，增长100.00%，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2</w:t>
      </w:r>
      <w:r>
        <w:rPr>
          <w:rFonts w:hint="eastAsia" w:ascii="Times New Roman" w:hAnsi="Times New Roman" w:eastAsia="仿宋_GB2312" w:cs="仿宋_GB2312"/>
          <w:color w:val="auto"/>
          <w:kern w:val="0"/>
          <w:sz w:val="32"/>
          <w:szCs w:val="32"/>
          <w:highlight w:val="none"/>
          <w:lang w:val="en-US" w:eastAsia="zh-CN"/>
        </w:rPr>
        <w:t>024年自主择业干部医保金在</w:t>
      </w:r>
      <w:r>
        <w:rPr>
          <w:rFonts w:ascii="Times New Roman" w:hAnsi="Times New Roman" w:eastAsia="仿宋_GB2312"/>
          <w:b w:val="0"/>
          <w:color w:val="auto"/>
          <w:sz w:val="32"/>
          <w:szCs w:val="32"/>
        </w:rPr>
        <w:t>其他退役军人事务管理支出</w:t>
      </w:r>
      <w:r>
        <w:rPr>
          <w:rFonts w:hint="eastAsia" w:ascii="Times New Roman" w:hAnsi="Times New Roman" w:eastAsia="仿宋_GB2312" w:cs="仿宋_GB2312"/>
          <w:color w:val="auto"/>
          <w:kern w:val="0"/>
          <w:sz w:val="32"/>
          <w:szCs w:val="32"/>
          <w:highlight w:val="none"/>
          <w:lang w:val="en-US" w:eastAsia="zh-CN"/>
        </w:rPr>
        <w:t>功能科目下体现，而2023年以上项目在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2"/>
          <w:szCs w:val="32"/>
          <w:highlight w:val="none"/>
          <w:lang w:val="en-US" w:eastAsia="zh-CN"/>
        </w:rPr>
        <w:t>科目下反映，科目调整所致。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20.</w:t>
      </w:r>
      <w:r>
        <w:rPr>
          <w:rFonts w:ascii="Times New Roman" w:hAnsi="Times New Roman" w:eastAsia="仿宋_GB2312"/>
          <w:b w:val="0"/>
          <w:color w:val="auto"/>
          <w:sz w:val="32"/>
          <w:szCs w:val="32"/>
        </w:rPr>
        <w:t>卫生健康支出（类）行政事业单位医疗（款）行政单位医疗（项）：支出决算数为11.62万元，比上年决算增加0.66万元，增长6.02%，</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2024年行</w:t>
      </w:r>
      <w:r>
        <w:rPr>
          <w:rFonts w:hint="eastAsia" w:ascii="Times New Roman" w:hAnsi="Times New Roman" w:eastAsia="仿宋_GB2312" w:cs="仿宋_GB2312"/>
          <w:b w:val="0"/>
          <w:bCs w:val="0"/>
          <w:color w:val="auto"/>
          <w:kern w:val="0"/>
          <w:sz w:val="32"/>
          <w:szCs w:val="32"/>
          <w:highlight w:val="none"/>
          <w:lang w:val="en-US" w:eastAsia="zh-CN" w:bidi="ar-SA"/>
        </w:rPr>
        <w:t>政单位医疗缴费基数调整，决算数增加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21.</w:t>
      </w:r>
      <w:r>
        <w:rPr>
          <w:rFonts w:ascii="Times New Roman" w:hAnsi="Times New Roman" w:eastAsia="仿宋_GB2312"/>
          <w:b w:val="0"/>
          <w:color w:val="auto"/>
          <w:sz w:val="32"/>
          <w:szCs w:val="32"/>
        </w:rPr>
        <w:t>卫生健康支出（类）行政事业单位医疗（款）公务员医疗补助（项）：支出决算数为2.26万元，比上年决算增加0.21万元，增长10.24%，</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2024年</w:t>
      </w:r>
      <w:r>
        <w:rPr>
          <w:rFonts w:ascii="Times New Roman" w:hAnsi="Times New Roman" w:eastAsia="仿宋_GB2312"/>
          <w:b w:val="0"/>
          <w:color w:val="auto"/>
          <w:sz w:val="32"/>
          <w:szCs w:val="32"/>
        </w:rPr>
        <w:t>公务员医疗补助</w:t>
      </w:r>
      <w:r>
        <w:rPr>
          <w:rFonts w:hint="eastAsia" w:ascii="Times New Roman" w:hAnsi="Times New Roman" w:eastAsia="仿宋_GB2312" w:cs="仿宋_GB2312"/>
          <w:b w:val="0"/>
          <w:bCs w:val="0"/>
          <w:color w:val="auto"/>
          <w:kern w:val="0"/>
          <w:sz w:val="32"/>
          <w:szCs w:val="32"/>
          <w:highlight w:val="none"/>
          <w:lang w:val="en-US" w:eastAsia="zh-CN" w:bidi="ar-SA"/>
        </w:rPr>
        <w:t>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val="0"/>
          <w:color w:val="auto"/>
          <w:sz w:val="32"/>
          <w:szCs w:val="32"/>
          <w:lang w:val="en-US" w:eastAsia="zh-CN"/>
        </w:rPr>
        <w:t>22.</w:t>
      </w:r>
      <w:r>
        <w:rPr>
          <w:rFonts w:ascii="Times New Roman" w:hAnsi="Times New Roman" w:eastAsia="仿宋_GB2312"/>
          <w:b w:val="0"/>
          <w:color w:val="auto"/>
          <w:sz w:val="32"/>
          <w:szCs w:val="32"/>
        </w:rPr>
        <w:t>卫生健康支出（类）优抚对象医疗（款）优抚对象医疗补助（项）：支出决算数为36.62万元，比上年决算增加36.62万元，增长100.00%，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kern w:val="2"/>
          <w:sz w:val="32"/>
          <w:szCs w:val="32"/>
          <w:highlight w:val="none"/>
          <w:lang w:val="en-US" w:eastAsia="zh-CN" w:bidi="ar-SA"/>
        </w:rPr>
        <w:t>2024年优抚对象医疗报销人数及金额较2023年增加，且2023年优抚对象医疗报销在</w:t>
      </w:r>
      <w:r>
        <w:rPr>
          <w:rFonts w:ascii="Times New Roman" w:hAnsi="Times New Roman" w:eastAsia="仿宋_GB2312"/>
          <w:b w:val="0"/>
          <w:color w:val="auto"/>
          <w:sz w:val="32"/>
          <w:szCs w:val="32"/>
        </w:rPr>
        <w:t>其他优抚对象医疗支出</w:t>
      </w:r>
      <w:r>
        <w:rPr>
          <w:rFonts w:hint="eastAsia" w:ascii="Times New Roman" w:hAnsi="Times New Roman" w:eastAsia="仿宋_GB2312"/>
          <w:b w:val="0"/>
          <w:color w:val="auto"/>
          <w:sz w:val="32"/>
          <w:szCs w:val="32"/>
          <w:lang w:eastAsia="zh-CN"/>
        </w:rPr>
        <w:t>科目下体现，</w:t>
      </w:r>
      <w:r>
        <w:rPr>
          <w:rFonts w:hint="eastAsia" w:ascii="Times New Roman" w:hAnsi="Times New Roman" w:eastAsia="仿宋_GB2312"/>
          <w:b w:val="0"/>
          <w:color w:val="auto"/>
          <w:sz w:val="32"/>
          <w:szCs w:val="32"/>
          <w:lang w:val="en-US" w:eastAsia="zh-CN"/>
        </w:rPr>
        <w:t>2024年</w:t>
      </w:r>
      <w:r>
        <w:rPr>
          <w:rFonts w:hint="eastAsia" w:ascii="Times New Roman" w:hAnsi="Times New Roman" w:eastAsia="仿宋_GB2312"/>
          <w:b w:val="0"/>
          <w:color w:val="auto"/>
          <w:sz w:val="32"/>
          <w:szCs w:val="32"/>
          <w:lang w:eastAsia="zh-CN"/>
        </w:rPr>
        <w:t>调整至</w:t>
      </w:r>
      <w:r>
        <w:rPr>
          <w:rFonts w:ascii="Times New Roman" w:hAnsi="Times New Roman" w:eastAsia="仿宋_GB2312"/>
          <w:b w:val="0"/>
          <w:color w:val="auto"/>
          <w:sz w:val="32"/>
          <w:szCs w:val="32"/>
        </w:rPr>
        <w:t>优抚对象医疗补助</w:t>
      </w:r>
      <w:r>
        <w:rPr>
          <w:rFonts w:hint="eastAsia" w:ascii="Times New Roman" w:hAnsi="Times New Roman" w:eastAsia="仿宋_GB2312"/>
          <w:b w:val="0"/>
          <w:color w:val="auto"/>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val="0"/>
          <w:color w:val="auto"/>
          <w:sz w:val="32"/>
          <w:szCs w:val="32"/>
          <w:lang w:val="en-US" w:eastAsia="zh-CN"/>
        </w:rPr>
        <w:t>23.</w:t>
      </w:r>
      <w:r>
        <w:rPr>
          <w:rFonts w:ascii="Times New Roman" w:hAnsi="Times New Roman" w:eastAsia="仿宋_GB2312"/>
          <w:b w:val="0"/>
          <w:color w:val="auto"/>
          <w:sz w:val="32"/>
          <w:szCs w:val="32"/>
        </w:rPr>
        <w:t>卫生健康支出（类）优抚对象医疗（款）其他优抚对象医疗支出（项）：支出决算数为0.00万元，比上年决算减少9.23万元，下降100.00%，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kern w:val="2"/>
          <w:sz w:val="32"/>
          <w:szCs w:val="32"/>
          <w:highlight w:val="none"/>
          <w:lang w:val="en-US" w:eastAsia="zh-CN" w:bidi="ar-SA"/>
        </w:rPr>
        <w:t>2023年优抚对象医疗报销在</w:t>
      </w:r>
      <w:r>
        <w:rPr>
          <w:rFonts w:ascii="Times New Roman" w:hAnsi="Times New Roman" w:eastAsia="仿宋_GB2312"/>
          <w:b w:val="0"/>
          <w:color w:val="auto"/>
          <w:sz w:val="32"/>
          <w:szCs w:val="32"/>
        </w:rPr>
        <w:t>其他优抚对象医疗支出</w:t>
      </w:r>
      <w:r>
        <w:rPr>
          <w:rFonts w:hint="eastAsia" w:ascii="Times New Roman" w:hAnsi="Times New Roman" w:eastAsia="仿宋_GB2312"/>
          <w:b w:val="0"/>
          <w:color w:val="auto"/>
          <w:sz w:val="32"/>
          <w:szCs w:val="32"/>
          <w:lang w:eastAsia="zh-CN"/>
        </w:rPr>
        <w:t>科目下体现，</w:t>
      </w:r>
      <w:r>
        <w:rPr>
          <w:rFonts w:hint="eastAsia" w:ascii="Times New Roman" w:hAnsi="Times New Roman" w:eastAsia="仿宋_GB2312"/>
          <w:b w:val="0"/>
          <w:color w:val="auto"/>
          <w:sz w:val="32"/>
          <w:szCs w:val="32"/>
          <w:lang w:val="en-US" w:eastAsia="zh-CN"/>
        </w:rPr>
        <w:t>2024年</w:t>
      </w:r>
      <w:r>
        <w:rPr>
          <w:rFonts w:hint="eastAsia" w:ascii="Times New Roman" w:hAnsi="Times New Roman" w:eastAsia="仿宋_GB2312"/>
          <w:b w:val="0"/>
          <w:color w:val="auto"/>
          <w:sz w:val="32"/>
          <w:szCs w:val="32"/>
          <w:lang w:eastAsia="zh-CN"/>
        </w:rPr>
        <w:t>调整至</w:t>
      </w:r>
      <w:r>
        <w:rPr>
          <w:rFonts w:ascii="Times New Roman" w:hAnsi="Times New Roman" w:eastAsia="仿宋_GB2312"/>
          <w:b w:val="0"/>
          <w:color w:val="auto"/>
          <w:sz w:val="32"/>
          <w:szCs w:val="32"/>
        </w:rPr>
        <w:t>优抚对象医疗补助</w:t>
      </w:r>
      <w:r>
        <w:rPr>
          <w:rFonts w:hint="eastAsia" w:ascii="Times New Roman" w:hAnsi="Times New Roman" w:eastAsia="仿宋_GB2312"/>
          <w:b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b w:val="0"/>
          <w:color w:val="auto"/>
          <w:sz w:val="32"/>
          <w:szCs w:val="32"/>
          <w:lang w:val="en-US" w:eastAsia="zh-CN"/>
        </w:rPr>
        <w:t>24.</w:t>
      </w:r>
      <w:r>
        <w:rPr>
          <w:rFonts w:ascii="Times New Roman" w:hAnsi="Times New Roman" w:eastAsia="仿宋_GB2312"/>
          <w:b w:val="0"/>
          <w:color w:val="auto"/>
          <w:sz w:val="32"/>
          <w:szCs w:val="32"/>
        </w:rPr>
        <w:t>住房保障支出（类）住房改革支出（款）住房公积金（项）：支出决算数为19.16万元，比上年决算增加0.93万元，增长5.10%，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lang w:val="zh-CN"/>
        </w:rPr>
        <w:t>因工资调标，</w:t>
      </w:r>
      <w:r>
        <w:rPr>
          <w:rFonts w:hint="eastAsia" w:ascii="Times New Roman" w:hAnsi="Times New Roman" w:eastAsia="仿宋_GB2312" w:cs="仿宋_GB2312"/>
          <w:b w:val="0"/>
          <w:bCs w:val="0"/>
          <w:color w:val="auto"/>
          <w:kern w:val="0"/>
          <w:sz w:val="32"/>
          <w:szCs w:val="32"/>
          <w:highlight w:val="none"/>
          <w:lang w:val="en-US" w:eastAsia="zh-CN" w:bidi="ar-SA"/>
        </w:rPr>
        <w:t>2024年住房公积金缴费基数调整，决算数增加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2024年度一般公共预算财政拨款基本支出405.56万元，其中：</w:t>
      </w:r>
      <w:r>
        <w:rPr>
          <w:rFonts w:ascii="Times New Roman" w:hAnsi="Times New Roman" w:eastAsia="仿宋_GB2312"/>
          <w:b/>
          <w:bCs/>
          <w:color w:val="auto"/>
          <w:sz w:val="32"/>
          <w:szCs w:val="32"/>
        </w:rPr>
        <w:t>人员经费386.69万元，</w:t>
      </w:r>
      <w:r>
        <w:rPr>
          <w:rFonts w:ascii="Times New Roman" w:hAnsi="Times New Roman" w:eastAsia="仿宋_GB2312"/>
          <w:b w:val="0"/>
          <w:color w:val="auto"/>
          <w:sz w:val="32"/>
          <w:szCs w:val="32"/>
        </w:rPr>
        <w:t>包括：基本工资、津贴补贴、奖金、绩效工资、机关事业单位基本养老保险缴费、职工基本医疗保险缴费、公务员医疗补助缴费、其他社会保障缴费、住房公积金、退休费、抚恤金和奖励金。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公用经费18.87万元，</w:t>
      </w:r>
      <w:r>
        <w:rPr>
          <w:rFonts w:ascii="Times New Roman" w:hAnsi="Times New Roman" w:eastAsia="仿宋_GB2312"/>
          <w:b w:val="0"/>
          <w:color w:val="auto"/>
          <w:sz w:val="32"/>
          <w:szCs w:val="32"/>
        </w:rPr>
        <w:t>包括：办公费、水费、电费、取暖费、差旅费、维修（护）费、培训费、劳务费、委托业务费、工会经费、福利费和公务用车运行维护费。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2024年度政府性基金预算财政拨款收入总计372.73万元，</w:t>
      </w:r>
      <w:r>
        <w:rPr>
          <w:rFonts w:ascii="Times New Roman" w:hAnsi="Times New Roman" w:eastAsia="仿宋_GB2312"/>
          <w:b w:val="0"/>
          <w:color w:val="auto"/>
          <w:sz w:val="32"/>
          <w:szCs w:val="32"/>
        </w:rPr>
        <w:t>其中：年初结转和结余0.00万元，本年收入372.73万元。</w:t>
      </w:r>
      <w:r>
        <w:rPr>
          <w:rFonts w:ascii="Times New Roman" w:hAnsi="Times New Roman" w:eastAsia="仿宋_GB2312"/>
          <w:b/>
          <w:bCs/>
          <w:color w:val="auto"/>
          <w:sz w:val="32"/>
          <w:szCs w:val="32"/>
        </w:rPr>
        <w:t>政府性基金预算财政拨款支出总计372.73万元，</w:t>
      </w:r>
      <w:r>
        <w:rPr>
          <w:rFonts w:ascii="Times New Roman" w:hAnsi="Times New Roman" w:eastAsia="仿宋_GB2312"/>
          <w:b w:val="0"/>
          <w:color w:val="auto"/>
          <w:sz w:val="32"/>
          <w:szCs w:val="32"/>
        </w:rPr>
        <w:t>其中：年末结转和结余0.00万元，本年支出372.73万元。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3" w:firstLineChars="200"/>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政府性基金预算财政拨款收入支出总体与上年相比，</w:t>
      </w:r>
      <w:r>
        <w:rPr>
          <w:rFonts w:ascii="Times New Roman" w:hAnsi="Times New Roman" w:eastAsia="仿宋_GB2312"/>
          <w:b w:val="0"/>
          <w:color w:val="auto"/>
          <w:sz w:val="32"/>
          <w:szCs w:val="32"/>
        </w:rPr>
        <w:t>增加86.90万元，增长30.40%，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rPr>
        <w:t>库尔勒烈士陵园建设项目本年进行竣工财务决算后，除质保金外，项目资金全部进行支付，较上年资金增加。</w:t>
      </w:r>
      <w:r>
        <w:rPr>
          <w:rFonts w:ascii="Times New Roman" w:hAnsi="Times New Roman" w:eastAsia="仿宋_GB2312"/>
          <w:b/>
          <w:bCs/>
          <w:color w:val="auto"/>
          <w:sz w:val="32"/>
          <w:szCs w:val="32"/>
        </w:rPr>
        <w:t>与年初预算相比，</w:t>
      </w:r>
      <w:r>
        <w:rPr>
          <w:rFonts w:ascii="Times New Roman" w:hAnsi="Times New Roman" w:eastAsia="仿宋_GB2312"/>
          <w:b w:val="0"/>
          <w:color w:val="auto"/>
          <w:sz w:val="32"/>
          <w:szCs w:val="32"/>
        </w:rPr>
        <w:t>年初预算数414.17万元，决算数372.73万元，预决算差异率-10.01%，</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rPr>
        <w:t>库尔勒烈士陵园建设项目本年进行竣工财务决算后，除质保金外，项目资金全部进行支付，较上年资金增加。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b/>
          <w:bCs/>
          <w:color w:val="auto"/>
          <w:sz w:val="32"/>
          <w:szCs w:val="32"/>
        </w:rPr>
      </w:pPr>
      <w:r>
        <w:rPr>
          <w:rFonts w:ascii="Times New Roman" w:hAnsi="Times New Roman" w:eastAsia="仿宋_GB2312"/>
          <w:b/>
          <w:bCs/>
          <w:color w:val="auto"/>
          <w:sz w:val="32"/>
          <w:szCs w:val="32"/>
        </w:rPr>
        <w:t>政府性基金预算财政拨款支出372.73万元。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其他支出（类）彩票公益金安排的支出（款）用于社会福利的彩票公益金支出（项）：支出决算数为372.73万元，比上年决算增加86.90万元，增长30.40%，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rPr>
        <w:t>库尔勒烈士陵园建设项目本年进行竣工财务决算后，除质保金外，项目资金全部进行支付，较上年资金增加。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本部门本年度无国有资本经营预算财政拨款收入、支出及结转和结余，国有资本经营预算财政拨款收入支出决算表为空表。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2024年度财政拨款“三公”经费支出3.41万元，</w:t>
      </w:r>
      <w:r>
        <w:rPr>
          <w:rFonts w:ascii="Times New Roman" w:hAnsi="Times New Roman" w:eastAsia="仿宋_GB2312"/>
          <w:b w:val="0"/>
          <w:color w:val="auto"/>
          <w:sz w:val="32"/>
          <w:szCs w:val="32"/>
        </w:rPr>
        <w:t>比上年减少3.79万元，下降52.64%，</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rPr>
        <w:t>本单位车辆严重老化，使用次数较少，故车辆运行费较上年减少较多</w:t>
      </w:r>
      <w:r>
        <w:rPr>
          <w:rFonts w:ascii="Times New Roman" w:hAnsi="Times New Roman" w:eastAsia="仿宋_GB2312"/>
          <w:b w:val="0"/>
          <w:color w:val="auto"/>
          <w:sz w:val="32"/>
          <w:szCs w:val="32"/>
        </w:rPr>
        <w:t>。其中：因公出国（境）费支出0.00万元,占0.00%，与上年相比无变化，</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我单位无</w:t>
      </w:r>
      <w:r>
        <w:rPr>
          <w:rFonts w:hint="eastAsia" w:ascii="Times New Roman" w:hAnsi="Times New Roman" w:eastAsia="仿宋_GB2312"/>
          <w:color w:val="auto"/>
          <w:sz w:val="32"/>
          <w:szCs w:val="32"/>
          <w:highlight w:val="none"/>
          <w:lang w:val="zh-CN" w:eastAsia="zh-CN"/>
        </w:rPr>
        <w:t>因公出国（境）费支出，</w:t>
      </w:r>
      <w:r>
        <w:rPr>
          <w:rFonts w:hint="eastAsia" w:ascii="Times New Roman" w:hAnsi="Times New Roman" w:eastAsia="仿宋_GB2312"/>
          <w:color w:val="auto"/>
          <w:sz w:val="32"/>
          <w:szCs w:val="32"/>
          <w:highlight w:val="none"/>
        </w:rPr>
        <w:t>与上年相比无变</w:t>
      </w:r>
      <w:r>
        <w:rPr>
          <w:rFonts w:hint="eastAsia" w:ascii="Times New Roman" w:hAnsi="Times New Roman" w:eastAsia="仿宋_GB2312"/>
          <w:color w:val="auto"/>
          <w:sz w:val="32"/>
          <w:szCs w:val="32"/>
          <w:highlight w:val="none"/>
          <w:lang w:eastAsia="zh-CN"/>
        </w:rPr>
        <w:t>动</w:t>
      </w:r>
      <w:r>
        <w:rPr>
          <w:rFonts w:ascii="Times New Roman" w:hAnsi="Times New Roman" w:eastAsia="仿宋_GB2312"/>
          <w:b w:val="0"/>
          <w:color w:val="auto"/>
          <w:sz w:val="32"/>
          <w:szCs w:val="32"/>
        </w:rPr>
        <w:t>；公务用车购置及运行维护费支出3.41万元，占100.00%，比上年减少3.79万元，下降52.64%，</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rPr>
        <w:t>本单位车辆严重老化，使用次数较少，故车辆运行费较上年减少较多</w:t>
      </w:r>
      <w:r>
        <w:rPr>
          <w:rFonts w:ascii="Times New Roman" w:hAnsi="Times New Roman" w:eastAsia="仿宋_GB2312"/>
          <w:b w:val="0"/>
          <w:color w:val="auto"/>
          <w:sz w:val="32"/>
          <w:szCs w:val="32"/>
        </w:rPr>
        <w:t>；公务接待费支出0.00万元，占0.00%，与上年相比无变化，</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我单位无</w:t>
      </w:r>
      <w:r>
        <w:rPr>
          <w:rFonts w:hint="eastAsia" w:ascii="Times New Roman" w:hAnsi="Times New Roman" w:eastAsia="仿宋_GB2312"/>
          <w:color w:val="auto"/>
          <w:sz w:val="32"/>
          <w:szCs w:val="32"/>
          <w:highlight w:val="none"/>
          <w:lang w:val="zh-CN" w:eastAsia="zh-CN"/>
        </w:rPr>
        <w:t>公务接待费支出，</w:t>
      </w:r>
      <w:r>
        <w:rPr>
          <w:rFonts w:hint="eastAsia" w:ascii="Times New Roman" w:hAnsi="Times New Roman" w:eastAsia="仿宋_GB2312"/>
          <w:color w:val="auto"/>
          <w:sz w:val="32"/>
          <w:szCs w:val="32"/>
          <w:highlight w:val="none"/>
        </w:rPr>
        <w:t>与上年相比无变</w:t>
      </w:r>
      <w:r>
        <w:rPr>
          <w:rFonts w:hint="eastAsia" w:ascii="Times New Roman" w:hAnsi="Times New Roman" w:eastAsia="仿宋_GB2312"/>
          <w:color w:val="auto"/>
          <w:sz w:val="32"/>
          <w:szCs w:val="32"/>
          <w:highlight w:val="none"/>
          <w:lang w:eastAsia="zh-CN"/>
        </w:rPr>
        <w:t>动</w:t>
      </w:r>
      <w:r>
        <w:rPr>
          <w:rFonts w:ascii="Times New Roman" w:hAnsi="Times New Roman"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b/>
          <w:bCs/>
          <w:color w:val="auto"/>
          <w:sz w:val="32"/>
          <w:szCs w:val="32"/>
        </w:rPr>
      </w:pPr>
      <w:r>
        <w:rPr>
          <w:rFonts w:ascii="Times New Roman" w:hAnsi="Times New Roman" w:eastAsia="仿宋_GB2312"/>
          <w:b/>
          <w:bCs/>
          <w:color w:val="auto"/>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公务用车购置及运行维护费3.41万元，其中：公务用车购置费0.00万元，公务用车运行维护费3.41万元。公务用车运行维护费开支内容包括。公务用车购置数0辆，公务用车保有量3辆。国有资产占用情况中固定资产车辆3辆，与公务用车保有量差异原因是：。</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both"/>
        <w:textAlignment w:val="auto"/>
        <w:rPr>
          <w:rFonts w:ascii="Times New Roman" w:hAnsi="Times New Roman" w:eastAsia="仿宋_GB2312"/>
          <w:color w:val="auto"/>
          <w:sz w:val="32"/>
          <w:szCs w:val="32"/>
        </w:rPr>
      </w:pPr>
      <w:r>
        <w:rPr>
          <w:rFonts w:ascii="Times New Roman" w:hAnsi="Times New Roman" w:eastAsia="仿宋_GB2312"/>
          <w:b/>
          <w:bCs/>
          <w:color w:val="auto"/>
          <w:sz w:val="32"/>
          <w:szCs w:val="32"/>
        </w:rPr>
        <w:t>与全年预算相比，</w:t>
      </w:r>
      <w:r>
        <w:rPr>
          <w:rFonts w:ascii="Times New Roman" w:hAnsi="Times New Roman" w:eastAsia="仿宋_GB2312"/>
          <w:b w:val="0"/>
          <w:color w:val="auto"/>
          <w:sz w:val="32"/>
          <w:szCs w:val="32"/>
        </w:rPr>
        <w:t>财政拨款“三公”经费支出全年预算数3.41万元，决算数3.41万元，预决算差异率0.00%，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预决算无差异</w:t>
      </w:r>
      <w:r>
        <w:rPr>
          <w:rFonts w:ascii="Times New Roman" w:hAnsi="Times New Roman" w:eastAsia="仿宋_GB2312"/>
          <w:b w:val="0"/>
          <w:color w:val="auto"/>
          <w:sz w:val="32"/>
          <w:szCs w:val="32"/>
        </w:rPr>
        <w:t>。其中：因公出国（境）费全年预算数0.00万元，决算数0.00万元，预决算差异率0.00%，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预决算无差异</w:t>
      </w:r>
      <w:r>
        <w:rPr>
          <w:rFonts w:ascii="Times New Roman" w:hAnsi="Times New Roman" w:eastAsia="仿宋_GB2312"/>
          <w:b w:val="0"/>
          <w:color w:val="auto"/>
          <w:sz w:val="32"/>
          <w:szCs w:val="32"/>
        </w:rPr>
        <w:t>。公务用车购置费全年预算数0.00万元，决算数0.00万元，预决算差异率0.00%，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预决算无差异</w:t>
      </w:r>
      <w:r>
        <w:rPr>
          <w:rFonts w:ascii="Times New Roman" w:hAnsi="Times New Roman" w:eastAsia="仿宋_GB2312"/>
          <w:b w:val="0"/>
          <w:color w:val="auto"/>
          <w:sz w:val="32"/>
          <w:szCs w:val="32"/>
        </w:rPr>
        <w:t>。公务用车运行维护费全年预算数3.41万元，决算数3.41万元，预决算差异率0.00%，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预决算无差异</w:t>
      </w:r>
      <w:r>
        <w:rPr>
          <w:rFonts w:ascii="Times New Roman" w:hAnsi="Times New Roman" w:eastAsia="仿宋_GB2312"/>
          <w:b w:val="0"/>
          <w:color w:val="auto"/>
          <w:sz w:val="32"/>
          <w:szCs w:val="32"/>
        </w:rPr>
        <w:t>。公务接待费全年预算数0.00万元，决算数0.00万元，预决算差异率0.00%，</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olor w:val="auto"/>
          <w:sz w:val="32"/>
          <w:szCs w:val="32"/>
          <w:highlight w:val="none"/>
          <w:lang w:eastAsia="zh-CN"/>
        </w:rPr>
        <w:t>预决算无差异</w:t>
      </w:r>
      <w:r>
        <w:rPr>
          <w:rFonts w:ascii="Times New Roman" w:hAnsi="Times New Roman"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（一）机关运行经费及公用经费支出情况</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ascii="Times New Roman" w:hAnsi="Times New Roman" w:eastAsia="仿宋_GB2312"/>
          <w:b w:val="0"/>
          <w:color w:val="auto"/>
          <w:sz w:val="32"/>
          <w:szCs w:val="32"/>
        </w:rPr>
        <w:t>2024年度库尔勒市退役军人事务局部门机关运行经费支出11.67万元，比上年减少8.35万元，下降41.71%，</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cs="Times New Roman"/>
          <w:color w:val="auto"/>
          <w:sz w:val="32"/>
          <w:szCs w:val="32"/>
          <w:highlight w:val="none"/>
          <w:lang w:val="en-US" w:eastAsia="zh-CN"/>
        </w:rPr>
        <w:t>落实过紧日子要求，厉行节约，压减机关运行经费开支。</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2024年度公用经费支出7.20万元，比上年减少40.33万元，下降538.45%，</w:t>
      </w:r>
      <w:r>
        <w:rPr>
          <w:rFonts w:hint="eastAsia" w:ascii="Times New Roman" w:hAnsi="Times New Roman" w:eastAsia="仿宋_GB2312"/>
          <w:b w:val="0"/>
          <w:color w:val="auto"/>
          <w:sz w:val="32"/>
          <w:szCs w:val="32"/>
          <w:lang w:eastAsia="zh-CN"/>
        </w:rPr>
        <w:t>主要原因是</w:t>
      </w:r>
      <w:r>
        <w:rPr>
          <w:rFonts w:ascii="Times New Roman" w:hAnsi="Times New Roman" w:eastAsia="仿宋_GB2312"/>
          <w:b w:val="0"/>
          <w:color w:val="auto"/>
          <w:sz w:val="32"/>
          <w:szCs w:val="32"/>
        </w:rPr>
        <w:t>：</w:t>
      </w:r>
      <w:r>
        <w:rPr>
          <w:rFonts w:hint="eastAsia" w:ascii="Times New Roman" w:hAnsi="Times New Roman" w:eastAsia="仿宋_GB2312"/>
          <w:b w:val="0"/>
          <w:color w:val="auto"/>
          <w:sz w:val="32"/>
          <w:szCs w:val="32"/>
          <w:lang w:val="en-US" w:eastAsia="zh-CN"/>
        </w:rPr>
        <w:t>本年度军队离退休干部休养所办公经费支出较上年度减少</w:t>
      </w:r>
      <w:r>
        <w:rPr>
          <w:rFonts w:ascii="Times New Roman" w:hAnsi="Times New Roman" w:eastAsia="仿宋_GB2312"/>
          <w:b w:val="0"/>
          <w:color w:val="auto"/>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2024年度政府采购支出总额235.05万元，其中：政府采购货物支出55.38万元、政府采购工程支出45.37万元、政府采购服务支出134.30万元。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授予中小企业合同金额233.70万元，占政府采购支出总额的99.43%，其中：授予小微企业合同金额108.62万元，占政府采购支出总额的46.21%。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Times New Roman" w:hAnsi="Times New Roman" w:eastAsia="仿宋_GB2312"/>
          <w:color w:val="auto"/>
          <w:sz w:val="32"/>
          <w:szCs w:val="32"/>
        </w:rPr>
      </w:pPr>
      <w:r>
        <w:rPr>
          <w:rFonts w:ascii="Times New Roman" w:hAnsi="Times New Roman" w:eastAsia="仿宋_GB2312"/>
          <w:b/>
          <w:color w:val="auto"/>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color w:val="auto"/>
          <w:sz w:val="32"/>
          <w:szCs w:val="32"/>
        </w:rPr>
      </w:pPr>
      <w:r>
        <w:rPr>
          <w:rFonts w:ascii="Times New Roman" w:hAnsi="Times New Roman" w:eastAsia="仿宋_GB2312"/>
          <w:b w:val="0"/>
          <w:color w:val="auto"/>
          <w:sz w:val="32"/>
          <w:szCs w:val="32"/>
        </w:rPr>
        <w:t>截至2024年12月31日，房屋0.00平方米，价值0.00万元。车辆3辆，价值31.72万元，其中：副部（省）级及以上领导用车0辆、主要负责人用车0辆、机要通信用车0辆、应急保障用车0辆、执法执勤用车0辆、特种专业技术用车0辆、离退休干部服务用车0辆、其他用车3辆，其他用车主要是：</w:t>
      </w:r>
      <w:r>
        <w:rPr>
          <w:rFonts w:hint="eastAsia" w:ascii="Times New Roman" w:hAnsi="Times New Roman" w:eastAsia="仿宋_GB2312"/>
          <w:color w:val="auto"/>
          <w:sz w:val="32"/>
          <w:szCs w:val="32"/>
          <w:highlight w:val="none"/>
          <w:lang w:eastAsia="zh-CN"/>
        </w:rPr>
        <w:t>单位办公用车辆</w:t>
      </w:r>
      <w:r>
        <w:rPr>
          <w:rFonts w:hint="eastAsia" w:ascii="Times New Roman" w:hAnsi="Times New Roman" w:eastAsia="仿宋_GB2312"/>
          <w:color w:val="auto"/>
          <w:sz w:val="32"/>
          <w:szCs w:val="32"/>
          <w:highlight w:val="none"/>
          <w:lang w:val="en-US" w:eastAsia="zh-CN"/>
        </w:rPr>
        <w:t>3辆</w:t>
      </w:r>
      <w:r>
        <w:rPr>
          <w:rFonts w:ascii="Times New Roman" w:hAnsi="Times New Roman" w:eastAsia="仿宋_GB2312"/>
          <w:b w:val="0"/>
          <w:color w:val="auto"/>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十一、预算绩效的情况说明</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24" w:firstLineChars="200"/>
        <w:jc w:val="left"/>
        <w:textAlignment w:val="auto"/>
        <w:rPr>
          <w:rFonts w:hint="eastAsia" w:ascii="Times New Roman" w:hAnsi="Times New Roman"/>
          <w:color w:val="auto"/>
          <w:sz w:val="32"/>
          <w:szCs w:val="32"/>
        </w:rPr>
      </w:pPr>
      <w:r>
        <w:rPr>
          <w:rStyle w:val="5"/>
          <w:rFonts w:hint="eastAsia" w:ascii="Times New Roman" w:hAnsi="Times New Roman" w:eastAsia="方正仿宋_GBK" w:cs="方正仿宋_GBK"/>
          <w:b w:val="0"/>
          <w:color w:val="auto"/>
          <w:spacing w:val="-4"/>
          <w:sz w:val="32"/>
          <w:szCs w:val="32"/>
        </w:rPr>
        <w:t>根据预算绩效管理要求，我部门2024年度预算绩效管理整体支出绩效自评表</w:t>
      </w:r>
      <w:bookmarkStart w:id="0" w:name="_GoBack"/>
      <w:r>
        <w:rPr>
          <w:rStyle w:val="5"/>
          <w:rFonts w:hint="eastAsia" w:ascii="Times New Roman" w:hAnsi="Times New Roman" w:eastAsia="方正仿宋_GBK" w:cs="方正仿宋_GBK"/>
          <w:b w:val="0"/>
          <w:color w:val="auto"/>
          <w:spacing w:val="-4"/>
          <w:sz w:val="32"/>
          <w:szCs w:val="32"/>
          <w:highlight w:val="none"/>
        </w:rPr>
        <w:t>0个，全年预算总额0.00万元，实际执行总额0.00万元；预算绩效评价项目</w:t>
      </w:r>
      <w:r>
        <w:rPr>
          <w:rStyle w:val="5"/>
          <w:rFonts w:hint="eastAsia" w:ascii="Times New Roman" w:hAnsi="Times New Roman" w:eastAsia="方正仿宋_GBK" w:cs="方正仿宋_GBK"/>
          <w:b w:val="0"/>
          <w:color w:val="auto"/>
          <w:spacing w:val="-4"/>
          <w:sz w:val="32"/>
          <w:szCs w:val="32"/>
          <w:highlight w:val="none"/>
          <w:lang w:val="en-US" w:eastAsia="zh-CN"/>
        </w:rPr>
        <w:t>33</w:t>
      </w:r>
      <w:r>
        <w:rPr>
          <w:rStyle w:val="5"/>
          <w:rFonts w:hint="eastAsia" w:ascii="Times New Roman" w:hAnsi="Times New Roman" w:eastAsia="方正仿宋_GBK" w:cs="方正仿宋_GBK"/>
          <w:b w:val="0"/>
          <w:color w:val="auto"/>
          <w:spacing w:val="-4"/>
          <w:sz w:val="32"/>
          <w:szCs w:val="32"/>
          <w:highlight w:val="none"/>
        </w:rPr>
        <w:t>个，全</w:t>
      </w:r>
      <w:bookmarkEnd w:id="0"/>
      <w:r>
        <w:rPr>
          <w:rStyle w:val="5"/>
          <w:rFonts w:hint="eastAsia" w:ascii="Times New Roman" w:hAnsi="Times New Roman" w:eastAsia="方正仿宋_GBK" w:cs="方正仿宋_GBK"/>
          <w:b w:val="0"/>
          <w:color w:val="auto"/>
          <w:spacing w:val="-4"/>
          <w:sz w:val="32"/>
          <w:szCs w:val="32"/>
        </w:rPr>
        <w:t>年预算数</w:t>
      </w:r>
      <w:r>
        <w:rPr>
          <w:rStyle w:val="5"/>
          <w:rFonts w:hint="eastAsia" w:ascii="Times New Roman" w:hAnsi="Times New Roman" w:eastAsia="方正仿宋_GBK" w:cs="方正仿宋_GBK"/>
          <w:b w:val="0"/>
          <w:color w:val="auto"/>
          <w:spacing w:val="-4"/>
          <w:sz w:val="32"/>
          <w:szCs w:val="32"/>
          <w:lang w:val="en-US" w:eastAsia="zh-CN"/>
        </w:rPr>
        <w:t>9419.04</w:t>
      </w:r>
      <w:r>
        <w:rPr>
          <w:rStyle w:val="5"/>
          <w:rFonts w:hint="eastAsia" w:ascii="Times New Roman" w:hAnsi="Times New Roman" w:eastAsia="方正仿宋_GBK" w:cs="方正仿宋_GBK"/>
          <w:b w:val="0"/>
          <w:color w:val="auto"/>
          <w:spacing w:val="-4"/>
          <w:sz w:val="32"/>
          <w:szCs w:val="32"/>
        </w:rPr>
        <w:t>万元，全年执行数</w:t>
      </w:r>
      <w:r>
        <w:rPr>
          <w:rStyle w:val="5"/>
          <w:rFonts w:hint="eastAsia" w:ascii="Times New Roman" w:hAnsi="Times New Roman" w:eastAsia="方正仿宋_GBK" w:cs="方正仿宋_GBK"/>
          <w:b w:val="0"/>
          <w:color w:val="auto"/>
          <w:spacing w:val="-4"/>
          <w:sz w:val="32"/>
          <w:szCs w:val="32"/>
          <w:lang w:val="en-US" w:eastAsia="zh-CN"/>
        </w:rPr>
        <w:t>8516.82</w:t>
      </w:r>
      <w:r>
        <w:rPr>
          <w:rStyle w:val="5"/>
          <w:rFonts w:hint="eastAsia" w:ascii="Times New Roman" w:hAnsi="Times New Roman" w:eastAsia="方正仿宋_GBK" w:cs="方正仿宋_GBK"/>
          <w:b w:val="0"/>
          <w:color w:val="auto"/>
          <w:spacing w:val="-4"/>
          <w:sz w:val="32"/>
          <w:szCs w:val="32"/>
        </w:rPr>
        <w:t>万元。</w:t>
      </w:r>
      <w:r>
        <w:rPr>
          <w:rStyle w:val="5"/>
          <w:rFonts w:hint="eastAsia" w:ascii="Times New Roman" w:hAnsi="Times New Roman" w:eastAsia="方正仿宋_GBK" w:cs="方正仿宋_GBK"/>
          <w:b w:val="0"/>
          <w:color w:val="auto"/>
          <w:spacing w:val="-4"/>
          <w:sz w:val="32"/>
          <w:szCs w:val="32"/>
          <w:lang w:eastAsia="zh-CN"/>
        </w:rPr>
        <w:t>预算绩效管理取得的成效：</w:t>
      </w:r>
      <w:r>
        <w:rPr>
          <w:rStyle w:val="5"/>
          <w:rFonts w:hint="eastAsia" w:ascii="Times New Roman" w:hAnsi="Times New Roman" w:eastAsia="方正仿宋_GBK" w:cs="方正仿宋_GBK"/>
          <w:b w:val="0"/>
          <w:color w:val="auto"/>
          <w:spacing w:val="-4"/>
          <w:sz w:val="32"/>
          <w:szCs w:val="32"/>
          <w:lang w:val="en-US" w:eastAsia="zh-CN"/>
        </w:rPr>
        <w:t xml:space="preserve"> 一是促使单位树立了正确的绩效项目资金申报观念，减少了部门无效率的项目申请；二是把绩效评价工作</w:t>
      </w:r>
      <w:r>
        <w:rPr>
          <w:rFonts w:hint="eastAsia" w:ascii="Times New Roman" w:hAnsi="Times New Roman" w:eastAsia="仿宋_GB2312" w:cs="Times New Roman"/>
          <w:color w:val="auto"/>
          <w:sz w:val="32"/>
          <w:szCs w:val="32"/>
          <w:highlight w:val="none"/>
          <w:lang w:val="en-US" w:eastAsia="zh-CN"/>
        </w:rPr>
        <w:t>纳入年度工作计划，并加大对绩效评价工作重要性和必要性的宣传力度，提高了项目资金使用的绩效意识。</w:t>
      </w:r>
      <w:r>
        <w:rPr>
          <w:rFonts w:hint="eastAsia" w:ascii="Times New Roman" w:hAnsi="Times New Roman" w:eastAsia="仿宋_GB2312" w:cs="Times New Roman"/>
          <w:color w:val="auto"/>
          <w:sz w:val="32"/>
          <w:szCs w:val="32"/>
          <w:highlight w:val="none"/>
          <w:lang w:eastAsia="zh-CN"/>
        </w:rPr>
        <w:t>发现的问题及原因：</w:t>
      </w:r>
      <w:r>
        <w:rPr>
          <w:rFonts w:hint="eastAsia" w:ascii="Times New Roman" w:hAnsi="Times New Roman" w:eastAsia="仿宋_GB2312" w:cs="Times New Roman"/>
          <w:color w:val="auto"/>
          <w:sz w:val="32"/>
          <w:szCs w:val="32"/>
          <w:highlight w:val="none"/>
          <w:lang w:val="en-US" w:eastAsia="zh-CN"/>
        </w:rPr>
        <w:t>一是</w:t>
      </w:r>
      <w:r>
        <w:rPr>
          <w:rStyle w:val="5"/>
          <w:rFonts w:hint="eastAsia" w:ascii="Times New Roman" w:hAnsi="Times New Roman" w:eastAsia="方正仿宋_GBK" w:cs="方正仿宋_GBK"/>
          <w:b w:val="0"/>
          <w:color w:val="auto"/>
          <w:spacing w:val="-4"/>
          <w:sz w:val="32"/>
          <w:szCs w:val="32"/>
          <w:highlight w:val="none"/>
        </w:rPr>
        <w:t>在日</w:t>
      </w:r>
      <w:r>
        <w:rPr>
          <w:rStyle w:val="5"/>
          <w:rFonts w:hint="eastAsia" w:ascii="Times New Roman" w:hAnsi="Times New Roman" w:eastAsia="方正仿宋_GBK" w:cs="方正仿宋_GBK"/>
          <w:b w:val="0"/>
          <w:color w:val="auto"/>
          <w:spacing w:val="-4"/>
          <w:sz w:val="32"/>
          <w:szCs w:val="32"/>
        </w:rPr>
        <w:t>常绩效工作中存在着一定程度的“重分配、轻管理、重支出、轻绩效”的情况，造成该问题的主要原因是业务科室人员自身绩效理念较薄弱，单位绩效目标编制仍有缺失，需要进一步加强对资金绩效管理的重视</w:t>
      </w:r>
      <w:r>
        <w:rPr>
          <w:rStyle w:val="5"/>
          <w:rFonts w:hint="eastAsia" w:ascii="Times New Roman" w:hAnsi="Times New Roman" w:eastAsia="方正仿宋_GBK" w:cs="方正仿宋_GBK"/>
          <w:b w:val="0"/>
          <w:color w:val="auto"/>
          <w:spacing w:val="-4"/>
          <w:sz w:val="32"/>
          <w:szCs w:val="32"/>
          <w:highlight w:val="none"/>
        </w:rPr>
        <w:t>程度</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二是</w:t>
      </w:r>
      <w:r>
        <w:rPr>
          <w:rStyle w:val="5"/>
          <w:rFonts w:hint="eastAsia" w:ascii="Times New Roman" w:hAnsi="Times New Roman" w:eastAsia="方正仿宋_GBK" w:cs="方正仿宋_GBK"/>
          <w:b w:val="0"/>
          <w:color w:val="auto"/>
          <w:spacing w:val="-4"/>
          <w:sz w:val="32"/>
          <w:szCs w:val="32"/>
          <w:highlight w:val="none"/>
          <w:lang w:val="en-US" w:eastAsia="zh-CN"/>
        </w:rPr>
        <w:t>财</w:t>
      </w:r>
      <w:r>
        <w:rPr>
          <w:rStyle w:val="5"/>
          <w:rFonts w:hint="eastAsia" w:ascii="Times New Roman" w:hAnsi="Times New Roman" w:eastAsia="方正仿宋_GBK" w:cs="方正仿宋_GBK"/>
          <w:b w:val="0"/>
          <w:color w:val="auto"/>
          <w:spacing w:val="-4"/>
          <w:sz w:val="32"/>
          <w:szCs w:val="32"/>
          <w:lang w:val="en-US" w:eastAsia="zh-CN"/>
        </w:rPr>
        <w:t>务人员面对当前项目绩效管理工作既没有实际的经验可供借鉴，没有参与项目，又缺乏专业性很强的技能储备，只能是边工作、边学习、边积累，与业务科室协调沟通不恰当，绩效评价工作只能停留在表面，难以做到程序规范、管理科学，难以满足当前绩效管理要求。</w:t>
      </w:r>
      <w:r>
        <w:rPr>
          <w:rFonts w:hint="eastAsia" w:ascii="Times New Roman" w:hAnsi="Times New Roman" w:eastAsia="仿宋_GB2312"/>
          <w:color w:val="auto"/>
          <w:sz w:val="32"/>
          <w:szCs w:val="32"/>
          <w:highlight w:val="none"/>
          <w:lang w:eastAsia="zh-CN"/>
        </w:rPr>
        <w:t>下一步改进措施：一是</w:t>
      </w:r>
      <w:r>
        <w:rPr>
          <w:rStyle w:val="5"/>
          <w:rFonts w:hint="eastAsia" w:ascii="Times New Roman" w:hAnsi="Times New Roman" w:eastAsia="方正仿宋_GBK" w:cs="方正仿宋_GBK"/>
          <w:b w:val="0"/>
          <w:color w:val="auto"/>
          <w:spacing w:val="-4"/>
          <w:sz w:val="32"/>
          <w:szCs w:val="32"/>
          <w:lang w:val="en-US" w:eastAsia="zh-CN"/>
        </w:rPr>
        <w:t>加强对人员的绩效管理培训，做好财务人员和项目科室人员的之间的沟通和协调，做到绩效管理的整体性，融合性和一致性，进一步增强业务人员的项目绩效整体管理水平，做好项目绩效申报、监控、评价工作，做到绩效管理程序规范、科学</w:t>
      </w:r>
      <w:r>
        <w:rPr>
          <w:rFonts w:hint="eastAsia" w:ascii="Times New Roman" w:hAnsi="Times New Roman" w:eastAsia="仿宋_GB2312"/>
          <w:color w:val="auto"/>
          <w:sz w:val="32"/>
          <w:szCs w:val="32"/>
          <w:highlight w:val="none"/>
          <w:lang w:eastAsia="zh-CN"/>
        </w:rPr>
        <w:t>；二是</w:t>
      </w:r>
      <w:r>
        <w:rPr>
          <w:rStyle w:val="5"/>
          <w:rFonts w:hint="eastAsia" w:ascii="Times New Roman" w:hAnsi="Times New Roman" w:eastAsia="方正仿宋_GBK" w:cs="方正仿宋_GBK"/>
          <w:b w:val="0"/>
          <w:color w:val="auto"/>
          <w:spacing w:val="-4"/>
          <w:kern w:val="2"/>
          <w:sz w:val="32"/>
          <w:szCs w:val="32"/>
          <w:highlight w:val="none"/>
          <w:lang w:val="en-US" w:eastAsia="zh-CN" w:bidi="ar-SA"/>
        </w:rPr>
        <w:t>加强财政资金使用效益跟踪“回头看”，反馈业务科室针对资金绩效运行状况，及时预控、查找资金使用和管理过程中的薄弱环节，提出纠偏措施，同时继续加强项目实时监控，严格按照相关要求对相关项目的资金进行使用，确保资金使用及时有效。</w:t>
      </w:r>
      <w:r>
        <w:rPr>
          <w:rFonts w:hint="eastAsia" w:ascii="Times New Roman" w:hAnsi="Times New Roman" w:eastAsia="仿宋_GB2312"/>
          <w:color w:val="auto"/>
          <w:sz w:val="32"/>
          <w:szCs w:val="32"/>
          <w:highlight w:val="none"/>
          <w:lang w:eastAsia="zh-CN"/>
        </w:rPr>
        <w:t>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十二、其他需说明的事项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24" w:firstLineChars="200"/>
        <w:jc w:val="left"/>
        <w:textAlignment w:val="auto"/>
        <w:rPr>
          <w:rStyle w:val="5"/>
          <w:rFonts w:hint="eastAsia" w:ascii="Times New Roman" w:hAnsi="Times New Roman" w:eastAsia="方正仿宋_GBK" w:cs="方正仿宋_GBK"/>
          <w:b w:val="0"/>
          <w:color w:val="auto"/>
          <w:spacing w:val="-4"/>
          <w:sz w:val="32"/>
          <w:szCs w:val="32"/>
          <w:lang w:val="en-US" w:eastAsia="zh-CN"/>
        </w:rPr>
      </w:pPr>
      <w:r>
        <w:rPr>
          <w:rStyle w:val="5"/>
          <w:rFonts w:hint="eastAsia" w:ascii="Times New Roman" w:hAnsi="Times New Roman" w:eastAsia="方正仿宋_GBK" w:cs="方正仿宋_GBK"/>
          <w:b w:val="0"/>
          <w:color w:val="auto"/>
          <w:spacing w:val="-4"/>
          <w:sz w:val="32"/>
          <w:szCs w:val="32"/>
          <w:lang w:val="en-US" w:eastAsia="zh-CN"/>
        </w:rPr>
        <w:t>根据预算绩效管理要求，我部门2024年度预算绩效管理整体支出绩效自评表0个，全年预算总额0万元，实际执行总额0万元。我部门整体绩效自评表，由各单位自行编制并公开。</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24" w:firstLineChars="200"/>
        <w:jc w:val="left"/>
        <w:textAlignment w:val="auto"/>
        <w:rPr>
          <w:rStyle w:val="5"/>
          <w:rFonts w:hint="eastAsia" w:ascii="Times New Roman" w:hAnsi="Times New Roman" w:eastAsia="方正仿宋_GBK" w:cs="方正仿宋_GBK"/>
          <w:b w:val="0"/>
          <w:color w:val="auto"/>
          <w:spacing w:val="-4"/>
          <w:sz w:val="32"/>
          <w:szCs w:val="32"/>
          <w:lang w:val="en-US" w:eastAsia="zh-CN"/>
        </w:rPr>
      </w:pP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b w:val="0"/>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b w:val="0"/>
          <w:color w:val="auto"/>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b w:val="0"/>
          <w:color w:val="auto"/>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b w:val="0"/>
          <w:color w:val="auto"/>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b w:val="0"/>
          <w:color w:val="auto"/>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b w:val="0"/>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b w:val="0"/>
          <w:color w:val="auto"/>
          <w:sz w:val="32"/>
          <w:szCs w:val="32"/>
        </w:rPr>
        <w:t>行政单位和参照公务员法管理的事业单位财政拨款基本支出中的公用经费支出。</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r>
        <w:rPr>
          <w:rFonts w:ascii="仿宋_GB2312" w:eastAsia="仿宋_GB2312"/>
          <w:b w:val="0"/>
          <w:color w:val="auto"/>
          <w:sz w:val="32"/>
          <w:szCs w:val="32"/>
        </w:rPr>
        <w:t>九、《财政拨款“三公”经费支出决算表》</w:t>
      </w: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pStyle w:val="2"/>
        <w:rPr>
          <w:rFonts w:ascii="仿宋_GB2312" w:eastAsia="仿宋_GB2312"/>
          <w:b w:val="0"/>
          <w:color w:val="auto"/>
          <w:sz w:val="32"/>
          <w:szCs w:val="32"/>
        </w:rPr>
      </w:pPr>
    </w:p>
    <w:p>
      <w:pPr>
        <w:rPr>
          <w:rFonts w:ascii="仿宋_GB2312" w:eastAsia="仿宋_GB2312"/>
          <w:b w:val="0"/>
          <w:color w:val="auto"/>
          <w:sz w:val="32"/>
          <w:szCs w:val="32"/>
        </w:rPr>
      </w:pPr>
    </w:p>
    <w:p>
      <w:pPr>
        <w:rPr>
          <w:color w:val="auto"/>
        </w:rPr>
      </w:pPr>
      <w:r>
        <w:drawing>
          <wp:anchor distT="0" distB="0" distL="114300" distR="114300" simplePos="0" relativeHeight="251659264" behindDoc="0" locked="0" layoutInCell="1" allowOverlap="1">
            <wp:simplePos x="0" y="0"/>
            <wp:positionH relativeFrom="column">
              <wp:posOffset>-28575</wp:posOffset>
            </wp:positionH>
            <wp:positionV relativeFrom="paragraph">
              <wp:posOffset>118745</wp:posOffset>
            </wp:positionV>
            <wp:extent cx="5479415" cy="4791710"/>
            <wp:effectExtent l="0" t="0" r="6985"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9415" cy="4791710"/>
                    </a:xfrm>
                    <a:prstGeom prst="rect">
                      <a:avLst/>
                    </a:prstGeom>
                    <a:noFill/>
                    <a:ln>
                      <a:noFill/>
                    </a:ln>
                  </pic:spPr>
                </pic:pic>
              </a:graphicData>
            </a:graphic>
          </wp:anchor>
        </w:drawing>
      </w:r>
    </w:p>
    <w:p>
      <w:pPr>
        <w:pStyle w:val="2"/>
        <w:rPr>
          <w:color w:val="auto"/>
        </w:rPr>
      </w:pPr>
    </w:p>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r>
        <w:drawing>
          <wp:inline distT="0" distB="0" distL="114300" distR="114300">
            <wp:extent cx="5480050" cy="530796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80050" cy="530796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inline distT="0" distB="0" distL="114300" distR="114300">
            <wp:extent cx="5481320" cy="69437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1320" cy="694372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r>
        <w:drawing>
          <wp:inline distT="0" distB="0" distL="114300" distR="114300">
            <wp:extent cx="5483860" cy="4396740"/>
            <wp:effectExtent l="0" t="0" r="254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3860" cy="439674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r>
        <w:drawing>
          <wp:inline distT="0" distB="0" distL="114300" distR="114300">
            <wp:extent cx="5483225" cy="7947025"/>
            <wp:effectExtent l="0" t="0" r="3175"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3225" cy="7947025"/>
                    </a:xfrm>
                    <a:prstGeom prst="rect">
                      <a:avLst/>
                    </a:prstGeom>
                    <a:noFill/>
                    <a:ln>
                      <a:noFill/>
                    </a:ln>
                  </pic:spPr>
                </pic:pic>
              </a:graphicData>
            </a:graphic>
          </wp:inline>
        </w:drawing>
      </w:r>
    </w:p>
    <w:p>
      <w:pPr>
        <w:pStyle w:val="2"/>
      </w:pPr>
    </w:p>
    <w:p>
      <w:r>
        <w:drawing>
          <wp:inline distT="0" distB="0" distL="114300" distR="114300">
            <wp:extent cx="5483225" cy="4728210"/>
            <wp:effectExtent l="0" t="0" r="3175"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3225" cy="472821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inline distT="0" distB="0" distL="114300" distR="114300">
            <wp:extent cx="5482590" cy="1938655"/>
            <wp:effectExtent l="0" t="0" r="381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2590" cy="193865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0288" behindDoc="0" locked="0" layoutInCell="1" allowOverlap="1">
            <wp:simplePos x="0" y="0"/>
            <wp:positionH relativeFrom="column">
              <wp:posOffset>95250</wp:posOffset>
            </wp:positionH>
            <wp:positionV relativeFrom="paragraph">
              <wp:posOffset>63500</wp:posOffset>
            </wp:positionV>
            <wp:extent cx="5482590" cy="2563495"/>
            <wp:effectExtent l="0" t="0" r="3810" b="825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2563495"/>
                    </a:xfrm>
                    <a:prstGeom prst="rect">
                      <a:avLst/>
                    </a:prstGeom>
                    <a:noFill/>
                    <a:ln>
                      <a:noFill/>
                    </a:ln>
                  </pic:spPr>
                </pic:pic>
              </a:graphicData>
            </a:graphic>
          </wp:anchor>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rPr>
          <w:color w:val="auto"/>
        </w:rPr>
      </w:pPr>
    </w:p>
    <w:p>
      <w:pPr>
        <w:rPr>
          <w:color w:val="auto"/>
        </w:rPr>
      </w:pPr>
    </w:p>
    <w:p>
      <w:pPr>
        <w:pStyle w:val="2"/>
        <w:rPr>
          <w:color w:val="auto"/>
        </w:rPr>
      </w:pPr>
    </w:p>
    <w:p>
      <w:pPr>
        <w:rPr>
          <w:color w:val="auto"/>
        </w:rPr>
      </w:pPr>
    </w:p>
    <w:p>
      <w:pPr>
        <w:pStyle w:val="2"/>
        <w:rPr>
          <w:color w:val="auto"/>
        </w:rPr>
      </w:pPr>
    </w:p>
    <w:p>
      <w:pPr>
        <w:pStyle w:val="2"/>
        <w:rPr>
          <w:color w:val="auto"/>
        </w:rPr>
      </w:pPr>
    </w:p>
    <w:p>
      <w:pPr>
        <w:rPr>
          <w:color w:val="auto"/>
        </w:rPr>
      </w:pPr>
    </w:p>
    <w:p>
      <w:pPr>
        <w:pStyle w:val="2"/>
        <w:rPr>
          <w:color w:val="auto"/>
        </w:rPr>
      </w:pPr>
    </w:p>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r>
        <w:drawing>
          <wp:inline distT="0" distB="0" distL="114300" distR="114300">
            <wp:extent cx="5486400" cy="18002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486400" cy="1800225"/>
                    </a:xfrm>
                    <a:prstGeom prst="rect">
                      <a:avLst/>
                    </a:prstGeom>
                    <a:noFill/>
                    <a:ln>
                      <a:noFill/>
                    </a:ln>
                  </pic:spPr>
                </pic:pic>
              </a:graphicData>
            </a:graphic>
          </wp:inline>
        </w:drawing>
      </w: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rPr>
          <w:color w:val="auto"/>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compat>
    <w:useFELayout/>
    <w:splitPgBreakAndParaMark/>
    <w:compatSetting w:name="compatibilityMode" w:uri="http://schemas.microsoft.com/office/word" w:val="12"/>
  </w:compat>
  <w:rsids>
    <w:rsidRoot w:val="00000000"/>
    <w:rsid w:val="0A3920BF"/>
    <w:rsid w:val="25AA2F7D"/>
    <w:rsid w:val="345F2A2D"/>
    <w:rsid w:val="3EA76808"/>
    <w:rsid w:val="51F034DF"/>
    <w:rsid w:val="77E317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2025-08-15T05:25:00Z</dcterms:created>
  <dc:creator>Administrator</dc:creator>
  <cp:lastModifiedBy>lenovo</cp:lastModifiedBy>
  <dcterms:modified xsi:type="dcterms:W3CDTF">2025-08-18T04:37:21Z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FC0E7B7B0DD1422D94EA2475BA4F02F8</vt:lpwstr>
  </property>
</Properties>
</file>