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库尔勒市军队离退休干部休养所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1.贯彻落实党和国家关于老干部在一系列路线、方针、政策， 做好思想政治工作，开展好各项政治活动。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2.统筹安排和具体承担对老干部的服务管理工作。落实好老干部在政治待遇和生活待遇，保证老干部在利益不受损害。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3.及时发现并反映老干部生活中出现在可能出现的问题，及时 向上级领导反馈信息，定期组织老干部外出参观旅游。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4.认识、研究做好老干部工作的规律，开展老干部工作理论研究，制定和完善相关规章制度，使各项工作能够得到健康有序的开展。</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库尔勒市军队离退休干部休养所2024年度，实有人数10人，其中：在职人员5人，较上年无变化；离休人员0人，较上年无变化；退休人员5人，增加5人。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eastAsia="zh-CN"/>
        </w:rPr>
      </w:pPr>
      <w:r>
        <w:rPr>
          <w:rFonts w:ascii="仿宋_GB2312" w:eastAsia="仿宋_GB2312"/>
          <w:b w:val="0"/>
          <w:sz w:val="32"/>
          <w:szCs w:val="32"/>
        </w:rPr>
        <w:t>库尔勒市军队离退休干部休养所无下属预算单位，</w:t>
      </w:r>
      <w:r>
        <w:rPr>
          <w:rFonts w:hint="eastAsia" w:ascii="仿宋_GB2312" w:hAnsi="黑体" w:eastAsia="仿宋_GB2312" w:cs="宋体"/>
          <w:bCs/>
          <w:color w:val="auto"/>
          <w:kern w:val="0"/>
          <w:sz w:val="32"/>
          <w:szCs w:val="32"/>
          <w:highlight w:val="none"/>
        </w:rPr>
        <w:t>下设 3 个处室，分别是：行政办公室、 财务室、物业管理办公室</w:t>
      </w:r>
      <w:r>
        <w:rPr>
          <w:rFonts w:hint="eastAsia" w:ascii="仿宋_GB2312" w:hAnsi="黑体" w:eastAsia="仿宋_GB2312" w:cs="宋体"/>
          <w:bCs/>
          <w:color w:val="auto"/>
          <w:kern w:val="0"/>
          <w:sz w:val="32"/>
          <w:szCs w:val="32"/>
          <w:highlight w:val="none"/>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2024年度收入总计3,154.44万元，其中：本年收入合计2,943.56万元，使用非财政拨款结余（含专用结余）0.00万元，年初结转和结余210.87万元。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2024年度支出总计3,154.44万元，其中：本年支出合计2,978.27万元，结余分配0.00万元，年末结转和结余176.16万元。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收入支出总体与上年相比，减少606.86万元，下降16.13%，主要原因是：</w:t>
      </w:r>
      <w:r>
        <w:rPr>
          <w:rFonts w:hint="eastAsia" w:ascii="仿宋_GB2312" w:eastAsia="仿宋_GB2312"/>
          <w:b w:val="0"/>
          <w:sz w:val="32"/>
          <w:szCs w:val="32"/>
        </w:rPr>
        <w:t>本年度使用上级资金增加，财政拨款比率下降，导致支出下降</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本年收入2,943.56万元，其中：财政拨款收入2,943.56万元,占100.00%；上级补助收入0.00万元,占0.00%；事业收入0.00万元，占0.00%；经营收入0.00万元,占0.00%；附属单位上缴收入0.00万元，占0.00%；其他收入0.00万元，占0.00%。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本年支出2,978.27万元，其中：基本支出144.85万元，占4.86%；项目支出2,833.43万元，占95.14%；上缴上级支出0.00万元，占0.00%；经营支出0.00万元，占0.00%；对附属单位补助支出0.00万元，占0.00%。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2,943.56万元，其中：年初财政拨款结转和结余0.00万元，本年财政拨款收入2,943.56万元。财政拨款支出总计2,943.56万元，其中：年末财政拨款结转和结余0.00万元，本年财政拨款支出2,943.56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财政拨款收入支出总体与上年相比，减少143.54万元，下降4.65%，主要原因是：</w:t>
      </w:r>
      <w:r>
        <w:rPr>
          <w:rFonts w:hint="eastAsia" w:ascii="仿宋_GB2312" w:eastAsia="仿宋_GB2312"/>
          <w:b w:val="0"/>
          <w:sz w:val="32"/>
          <w:szCs w:val="32"/>
        </w:rPr>
        <w:t>本年度使用上级资金增加，财政拨款比率下降，导致</w:t>
      </w:r>
      <w:r>
        <w:rPr>
          <w:rFonts w:hint="eastAsia" w:ascii="仿宋_GB2312" w:eastAsia="仿宋_GB2312"/>
          <w:b w:val="0"/>
          <w:sz w:val="32"/>
          <w:szCs w:val="32"/>
          <w:lang w:val="en-US" w:eastAsia="zh-CN"/>
        </w:rPr>
        <w:t>支出</w:t>
      </w:r>
      <w:r>
        <w:rPr>
          <w:rFonts w:hint="eastAsia" w:ascii="仿宋_GB2312" w:eastAsia="仿宋_GB2312"/>
          <w:b w:val="0"/>
          <w:sz w:val="32"/>
          <w:szCs w:val="32"/>
        </w:rPr>
        <w:t>下降</w:t>
      </w:r>
      <w:r>
        <w:rPr>
          <w:rFonts w:ascii="仿宋_GB2312" w:eastAsia="仿宋_GB2312"/>
          <w:b w:val="0"/>
          <w:sz w:val="32"/>
          <w:szCs w:val="32"/>
        </w:rPr>
        <w:t>。与年初预算相比，年初预算数3,508.37万元，决算数2,943.56万元，预决算差异率-16.10%，主要原因是：</w:t>
      </w:r>
      <w:r>
        <w:rPr>
          <w:rFonts w:hint="eastAsia" w:ascii="仿宋_GB2312" w:eastAsia="仿宋_GB2312"/>
          <w:b w:val="0"/>
          <w:sz w:val="32"/>
          <w:szCs w:val="32"/>
        </w:rPr>
        <w:t>本年度使用上级资金增加，财政拨款比率下降</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2024年度一般公共预算财政拨款支出2,943.56万元，占本年支出合计的98.83%。与上年相比，减少143.54万元，下降4.65%，主要原因是：</w:t>
      </w:r>
      <w:r>
        <w:rPr>
          <w:rFonts w:hint="eastAsia" w:ascii="仿宋_GB2312" w:eastAsia="仿宋_GB2312"/>
          <w:b w:val="0"/>
          <w:sz w:val="32"/>
          <w:szCs w:val="32"/>
        </w:rPr>
        <w:t>本年度使用上级资金增加，财政拨款比率下降，导致</w:t>
      </w:r>
      <w:r>
        <w:rPr>
          <w:rFonts w:hint="eastAsia" w:ascii="仿宋_GB2312" w:eastAsia="仿宋_GB2312"/>
          <w:b w:val="0"/>
          <w:sz w:val="32"/>
          <w:szCs w:val="32"/>
          <w:lang w:val="en-US" w:eastAsia="zh-CN"/>
        </w:rPr>
        <w:t>支出</w:t>
      </w:r>
      <w:r>
        <w:rPr>
          <w:rFonts w:hint="eastAsia" w:ascii="仿宋_GB2312" w:eastAsia="仿宋_GB2312"/>
          <w:b w:val="0"/>
          <w:sz w:val="32"/>
          <w:szCs w:val="32"/>
        </w:rPr>
        <w:t>下降</w:t>
      </w:r>
      <w:r>
        <w:rPr>
          <w:rFonts w:ascii="仿宋_GB2312" w:eastAsia="仿宋_GB2312"/>
          <w:b w:val="0"/>
          <w:sz w:val="32"/>
          <w:szCs w:val="32"/>
        </w:rPr>
        <w:t>。与年初预算相比，年初预算数3,508.37万元，决算数2,943.56万元，预决算差异率-16.10%，主要原因是：</w:t>
      </w:r>
      <w:r>
        <w:rPr>
          <w:rFonts w:hint="eastAsia" w:ascii="仿宋_GB2312" w:eastAsia="仿宋_GB2312"/>
          <w:b w:val="0"/>
          <w:sz w:val="32"/>
          <w:szCs w:val="32"/>
        </w:rPr>
        <w:t>本年度使用上级资金增加，财政拨款比率下降</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社会保障和就业支出（类）2,943.56万元，占100.00%。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sz w:val="32"/>
          <w:szCs w:val="32"/>
          <w:lang w:val="en-US" w:eastAsia="zh-CN"/>
        </w:rPr>
      </w:pPr>
      <w:r>
        <w:rPr>
          <w:rFonts w:ascii="仿宋_GB2312" w:eastAsia="仿宋_GB2312"/>
          <w:b w:val="0"/>
          <w:sz w:val="32"/>
          <w:szCs w:val="32"/>
        </w:rPr>
        <w:t>社会保障和就业支出（类）抚恤（款）死亡抚恤（项）：支出决算数为55.75万元，比上年决算减少140.63万元，下降71.61%，主要原因是：</w:t>
      </w:r>
      <w:r>
        <w:rPr>
          <w:rFonts w:hint="eastAsia" w:ascii="仿宋_GB2312" w:eastAsia="仿宋_GB2312"/>
          <w:b w:val="0"/>
          <w:sz w:val="32"/>
          <w:szCs w:val="32"/>
          <w:lang w:val="en-US" w:eastAsia="zh-CN"/>
        </w:rPr>
        <w:t>2024年度退役军人离世人员较上年度减少。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社会保障和就业支出（类）退役安置（款）军队移交政府的离退休人员安置（项）：支出决算数为2,420.49万元，比上年决算增加2,417.67万元，增长85,732.98%，主要原因是：</w:t>
      </w:r>
      <w:r>
        <w:rPr>
          <w:rFonts w:hint="eastAsia" w:ascii="仿宋_GB2312" w:eastAsia="仿宋_GB2312"/>
          <w:b w:val="0"/>
          <w:sz w:val="32"/>
          <w:szCs w:val="32"/>
          <w:lang w:val="en-US" w:eastAsia="zh-CN"/>
        </w:rPr>
        <w:t>本年度新增9名退役军人。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社会保障和就业支出（类）退役安置（款）军队移交政府离退休干部管理机构（项）：支出决算数为128.52万元，比上年决算增加49.53万元，增长62.70%，主要原因是：</w:t>
      </w:r>
      <w:r>
        <w:rPr>
          <w:rFonts w:hint="eastAsia" w:ascii="仿宋_GB2312" w:eastAsia="仿宋_GB2312"/>
          <w:b w:val="0"/>
          <w:sz w:val="32"/>
          <w:szCs w:val="32"/>
          <w:lang w:val="en-US" w:eastAsia="zh-CN"/>
        </w:rPr>
        <w:t>本年度新增办公设备及办公大楼设备维修更换。</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社会保障和就业支出（类）退役安置（款）其他退役安置支出（项）：支出决算数为338.80万元，比上年决算减少2,470.12万元，下降87.94%，主要原因是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上年度退休费因决算口径调整至其他退役安置支出，本年度</w:t>
      </w:r>
      <w:r>
        <w:rPr>
          <w:rFonts w:hint="eastAsia" w:ascii="Times New Roman" w:hAnsi="Times New Roman" w:eastAsia="仿宋_GB2312" w:cs="Times New Roman"/>
          <w:color w:val="auto"/>
          <w:kern w:val="2"/>
          <w:sz w:val="32"/>
          <w:szCs w:val="32"/>
          <w:highlight w:val="none"/>
          <w:lang w:val="en-US" w:eastAsia="zh-CN" w:bidi="ar-SA"/>
        </w:rPr>
        <w:t>军队移交政府的离退休人员安置科目中退休费未调整口径。</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144.85万元，其中：人员经费137.66万元，包括：基本工资、津贴补贴、奖金、绩效工资、机关事业单位基本养老保险缴费、职工基本医疗保险缴费、其他社会保障缴费、住房公积金、退休费、抚恤金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公用经费7.19万元，包括：办公费、取暖费、差旅费、工会经费、福利费和公务用车运行维护费。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2024年度财政拨款“三公”经费支出2.40万元，与上年相比无变化，主要原因是：</w:t>
      </w:r>
      <w:r>
        <w:rPr>
          <w:rFonts w:hint="eastAsia" w:ascii="仿宋_GB2312" w:eastAsia="仿宋_GB2312"/>
          <w:b w:val="0"/>
          <w:sz w:val="32"/>
          <w:szCs w:val="32"/>
          <w:lang w:val="en-US" w:eastAsia="zh-CN"/>
        </w:rPr>
        <w:t>我单位严格按照年初预算执行公务用车运行维护费，严格控制三公经费支出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我单位无因公出国（境）费支出</w:t>
      </w:r>
      <w:r>
        <w:rPr>
          <w:rFonts w:ascii="仿宋_GB2312" w:eastAsia="仿宋_GB2312"/>
          <w:b w:val="0"/>
          <w:sz w:val="32"/>
          <w:szCs w:val="32"/>
        </w:rPr>
        <w:t>；公务用车购置及运行维护费支出2.40万元，占100.00%，与上年相比无变化，主要原因是：</w:t>
      </w:r>
      <w:r>
        <w:rPr>
          <w:rFonts w:hint="eastAsia" w:ascii="仿宋_GB2312" w:eastAsia="仿宋_GB2312"/>
          <w:b w:val="0"/>
          <w:sz w:val="32"/>
          <w:szCs w:val="32"/>
          <w:lang w:val="en-US" w:eastAsia="zh-CN"/>
        </w:rPr>
        <w:t>我单位严格按照年初预算执行公务用车运行维护费，严格控制三公经费支出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我单位无公务接待费支出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color w:val="auto"/>
          <w:sz w:val="32"/>
          <w:szCs w:val="32"/>
          <w:highlight w:val="none"/>
          <w:lang w:val="zh-CN" w:eastAsia="zh-CN"/>
        </w:rPr>
        <w:t>本年度未安排因公出国（境）费支出，无开支内容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w:t>
      </w:r>
      <w:r>
        <w:rPr>
          <w:rFonts w:hint="eastAsia" w:ascii="仿宋_GB2312" w:eastAsia="仿宋_GB2312"/>
          <w:color w:val="auto"/>
          <w:sz w:val="32"/>
          <w:szCs w:val="32"/>
          <w:highlight w:val="none"/>
          <w:lang w:val="zh-CN" w:eastAsia="zh-CN"/>
        </w:rPr>
        <w:t>车辆保险、车辆维修保养、油料费</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b w:val="0"/>
          <w:sz w:val="32"/>
          <w:szCs w:val="32"/>
          <w:lang w:val="en-US" w:eastAsia="zh-CN"/>
        </w:rPr>
        <w:t>与公务用车无差异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w:t>
      </w:r>
      <w:r>
        <w:rPr>
          <w:rFonts w:hint="eastAsia" w:ascii="仿宋_GB2312" w:eastAsia="仿宋_GB2312"/>
          <w:b w:val="0"/>
          <w:sz w:val="32"/>
          <w:szCs w:val="32"/>
          <w:lang w:val="en-US" w:eastAsia="zh-CN"/>
        </w:rPr>
        <w:t>我单位严格按照年初预算执行公务用车运行维护费，严格控制三公经费支出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w:t>
      </w:r>
      <w:r>
        <w:rPr>
          <w:rFonts w:ascii="仿宋_GB2312" w:eastAsia="仿宋_GB2312"/>
          <w:b w:val="0"/>
          <w:sz w:val="32"/>
          <w:szCs w:val="32"/>
        </w:rPr>
        <w:t>。公务用车运行维护费全年预算数2.40万元，决算数2.40万元，预决算差异率0.00%，主要原因是：</w:t>
      </w:r>
      <w:r>
        <w:rPr>
          <w:rFonts w:hint="eastAsia" w:ascii="仿宋_GB2312" w:eastAsia="仿宋_GB2312"/>
          <w:b w:val="0"/>
          <w:sz w:val="32"/>
          <w:szCs w:val="32"/>
          <w:lang w:val="en-US" w:eastAsia="zh-CN"/>
        </w:rPr>
        <w:t>我单位严格按照年初预算执行公务用车运行维护费，严格控制三公经费支出</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2024年度公用经费支出7.19万元，比上年减少0.30万元，下降4.01%，主要原因是：</w:t>
      </w:r>
      <w:r>
        <w:rPr>
          <w:rFonts w:hint="eastAsia" w:ascii="仿宋_GB2312" w:eastAsia="仿宋_GB2312"/>
          <w:b w:val="0"/>
          <w:sz w:val="32"/>
          <w:szCs w:val="32"/>
          <w:lang w:val="en-US" w:eastAsia="zh-CN"/>
        </w:rPr>
        <w:t>本年度办公经费支出较上年度减少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2024年度政府采购支出总额102.50万元，其中：政府采购货物支出8.55万元、政府采购工程支出0.00万元、政府采购服务支出93.95万元。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授予中小企业合同金额102.50万元，占政府采购支出总额的100.00%，其中：授予小微企业合同金额3.07万元，占政府采购支出总额的3.00%。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2.00万元，其中：副部（省）级及以上领导用车0辆、主要负责人用车0辆、机要通信用车0辆、应急保障用车0辆、执法执勤用车0辆、特种专业技术用车0辆、离退休干部服务用车0辆、其他用车1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3154.44</w:t>
      </w:r>
      <w:r>
        <w:rPr>
          <w:rFonts w:ascii="仿宋_GB2312" w:eastAsia="仿宋_GB2312"/>
          <w:b w:val="0"/>
          <w:sz w:val="32"/>
          <w:szCs w:val="32"/>
        </w:rPr>
        <w:t>万元，实际执行总额</w:t>
      </w:r>
      <w:r>
        <w:rPr>
          <w:rFonts w:hint="eastAsia" w:ascii="仿宋_GB2312" w:eastAsia="仿宋_GB2312"/>
          <w:b w:val="0"/>
          <w:sz w:val="32"/>
          <w:szCs w:val="32"/>
          <w:lang w:val="en-US" w:eastAsia="zh-CN"/>
        </w:rPr>
        <w:t>2978.27</w:t>
      </w:r>
      <w:r>
        <w:rPr>
          <w:rFonts w:ascii="仿宋_GB2312" w:eastAsia="仿宋_GB2312"/>
          <w:b w:val="0"/>
          <w:sz w:val="32"/>
          <w:szCs w:val="32"/>
        </w:rPr>
        <w:t>万元；预算绩效评价</w:t>
      </w:r>
      <w:r>
        <w:rPr>
          <w:rFonts w:hint="eastAsia" w:ascii="仿宋_GB2312" w:eastAsia="仿宋_GB2312"/>
          <w:b w:val="0"/>
          <w:sz w:val="32"/>
          <w:szCs w:val="32"/>
          <w:lang w:val="en-US" w:eastAsia="zh-CN"/>
        </w:rPr>
        <w:t>涉密</w:t>
      </w:r>
      <w:r>
        <w:rPr>
          <w:rFonts w:ascii="仿宋_GB2312" w:eastAsia="仿宋_GB2312"/>
          <w:b w:val="0"/>
          <w:sz w:val="32"/>
          <w:szCs w:val="32"/>
        </w:rPr>
        <w:t>项目</w:t>
      </w:r>
      <w:r>
        <w:rPr>
          <w:rFonts w:hint="eastAsia" w:ascii="仿宋_GB2312" w:eastAsia="仿宋_GB2312"/>
          <w:b w:val="0"/>
          <w:sz w:val="32"/>
          <w:szCs w:val="32"/>
          <w:lang w:val="en-US" w:eastAsia="zh-CN"/>
        </w:rPr>
        <w:t>4</w:t>
      </w:r>
      <w:r>
        <w:rPr>
          <w:rFonts w:ascii="仿宋_GB2312" w:eastAsia="仿宋_GB2312"/>
          <w:b w:val="0"/>
          <w:sz w:val="32"/>
          <w:szCs w:val="32"/>
        </w:rPr>
        <w:t>个，</w:t>
      </w:r>
      <w:r>
        <w:rPr>
          <w:rFonts w:hint="eastAsia" w:ascii="仿宋_GB2312" w:eastAsia="仿宋_GB2312"/>
          <w:b w:val="0"/>
          <w:sz w:val="32"/>
          <w:szCs w:val="32"/>
          <w:lang w:val="en-US" w:eastAsia="zh-CN"/>
        </w:rPr>
        <w:t>涉密金额2794.1万元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单位2024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w:t>
      </w:r>
      <w:r>
        <w:rPr>
          <w:rFonts w:hint="eastAsia" w:ascii="仿宋_GB2312" w:hAnsi="仿宋_GB2312" w:eastAsia="仿宋_GB2312" w:cs="仿宋_GB2312"/>
          <w:color w:val="auto"/>
          <w:kern w:val="0"/>
          <w:sz w:val="32"/>
          <w:szCs w:val="32"/>
          <w:highlight w:val="none"/>
          <w:lang w:val="en-US" w:eastAsia="zh-CN"/>
        </w:rPr>
        <w:t>评价涉密项目4个，</w:t>
      </w:r>
      <w:r>
        <w:rPr>
          <w:rFonts w:hint="eastAsia" w:ascii="仿宋_GB2312" w:eastAsia="仿宋_GB2312"/>
          <w:color w:val="auto"/>
          <w:sz w:val="32"/>
          <w:szCs w:val="32"/>
          <w:highlight w:val="none"/>
          <w:lang w:val="en-US" w:eastAsia="zh-CN"/>
        </w:rPr>
        <w:t>涉密金额2794.1万元。其中包括巴财社（2023）64号关于提前下达2024年中央财政退役安置补助经费预算的通知，涉密金额2578.4万元，巴财社（2022）133号关于提前下达2023年中央财政退役安置补助经费预算的通知(军干所经费），涉密金额2.51万元，巴财社（2023）52号、新财社（2023）142号关于提前下达2023年中央财政退役安置补助经费预算（第二批）的通知，涉密金额73.79万元。巴财社[2024]41号关于下达2024年中央财政退役安置补助经费，涉密金额139.4万元。</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sect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59264" behindDoc="0" locked="0" layoutInCell="1" allowOverlap="1">
            <wp:simplePos x="0" y="0"/>
            <wp:positionH relativeFrom="column">
              <wp:posOffset>-36195</wp:posOffset>
            </wp:positionH>
            <wp:positionV relativeFrom="paragraph">
              <wp:posOffset>469265</wp:posOffset>
            </wp:positionV>
            <wp:extent cx="5767705" cy="6309995"/>
            <wp:effectExtent l="0" t="0" r="4445" b="146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67705" cy="630999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0288" behindDoc="0" locked="0" layoutInCell="1" allowOverlap="1">
            <wp:simplePos x="0" y="0"/>
            <wp:positionH relativeFrom="column">
              <wp:posOffset>-92075</wp:posOffset>
            </wp:positionH>
            <wp:positionV relativeFrom="paragraph">
              <wp:posOffset>428625</wp:posOffset>
            </wp:positionV>
            <wp:extent cx="6001385" cy="3603625"/>
            <wp:effectExtent l="0" t="0" r="18415" b="1587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001385" cy="360362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1312" behindDoc="0" locked="0" layoutInCell="1" allowOverlap="1">
            <wp:simplePos x="0" y="0"/>
            <wp:positionH relativeFrom="column">
              <wp:posOffset>-160655</wp:posOffset>
            </wp:positionH>
            <wp:positionV relativeFrom="paragraph">
              <wp:posOffset>400685</wp:posOffset>
            </wp:positionV>
            <wp:extent cx="5974715" cy="3550920"/>
            <wp:effectExtent l="0" t="0" r="6985" b="1143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974715" cy="355092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2336" behindDoc="0" locked="0" layoutInCell="1" allowOverlap="1">
            <wp:simplePos x="0" y="0"/>
            <wp:positionH relativeFrom="column">
              <wp:posOffset>4445</wp:posOffset>
            </wp:positionH>
            <wp:positionV relativeFrom="paragraph">
              <wp:posOffset>234950</wp:posOffset>
            </wp:positionV>
            <wp:extent cx="5622925" cy="5777230"/>
            <wp:effectExtent l="0" t="0" r="15875" b="139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22925" cy="577723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3360" behindDoc="0" locked="0" layoutInCell="1" allowOverlap="1">
            <wp:simplePos x="0" y="0"/>
            <wp:positionH relativeFrom="column">
              <wp:posOffset>-243205</wp:posOffset>
            </wp:positionH>
            <wp:positionV relativeFrom="paragraph">
              <wp:posOffset>248285</wp:posOffset>
            </wp:positionV>
            <wp:extent cx="5965190" cy="4523105"/>
            <wp:effectExtent l="0" t="0" r="16510" b="1079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965190" cy="452310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4384" behindDoc="0" locked="0" layoutInCell="1" allowOverlap="1">
            <wp:simplePos x="0" y="0"/>
            <wp:positionH relativeFrom="column">
              <wp:posOffset>-147320</wp:posOffset>
            </wp:positionH>
            <wp:positionV relativeFrom="paragraph">
              <wp:posOffset>772795</wp:posOffset>
            </wp:positionV>
            <wp:extent cx="5895975" cy="5844540"/>
            <wp:effectExtent l="0" t="0" r="9525" b="381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895975" cy="58445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6432" behindDoc="0" locked="0" layoutInCell="1" allowOverlap="1">
            <wp:simplePos x="0" y="0"/>
            <wp:positionH relativeFrom="column">
              <wp:posOffset>-106045</wp:posOffset>
            </wp:positionH>
            <wp:positionV relativeFrom="paragraph">
              <wp:posOffset>551815</wp:posOffset>
            </wp:positionV>
            <wp:extent cx="6036310" cy="4234815"/>
            <wp:effectExtent l="0" t="0" r="2540" b="13335"/>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0"/>
                    <a:stretch>
                      <a:fillRect/>
                    </a:stretch>
                  </pic:blipFill>
                  <pic:spPr>
                    <a:xfrm>
                      <a:off x="0" y="0"/>
                      <a:ext cx="6036310" cy="42348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bookmarkStart w:id="0" w:name="_GoBack"/>
      <w:r>
        <w:drawing>
          <wp:anchor distT="0" distB="0" distL="114300" distR="114300" simplePos="0" relativeHeight="251667456" behindDoc="0" locked="0" layoutInCell="1" allowOverlap="1">
            <wp:simplePos x="0" y="0"/>
            <wp:positionH relativeFrom="column">
              <wp:posOffset>-76835</wp:posOffset>
            </wp:positionH>
            <wp:positionV relativeFrom="paragraph">
              <wp:posOffset>455930</wp:posOffset>
            </wp:positionV>
            <wp:extent cx="5978525" cy="4262755"/>
            <wp:effectExtent l="0" t="0" r="3175" b="4445"/>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5978525" cy="4262755"/>
                    </a:xfrm>
                    <a:prstGeom prst="rect">
                      <a:avLst/>
                    </a:prstGeom>
                    <a:noFill/>
                    <a:ln>
                      <a:noFill/>
                    </a:ln>
                  </pic:spPr>
                </pic:pic>
              </a:graphicData>
            </a:graphic>
          </wp:anchor>
        </w:drawing>
      </w:r>
      <w:bookmarkEnd w:id="0"/>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-201930</wp:posOffset>
            </wp:positionH>
            <wp:positionV relativeFrom="paragraph">
              <wp:posOffset>482600</wp:posOffset>
            </wp:positionV>
            <wp:extent cx="6136640" cy="3383280"/>
            <wp:effectExtent l="0" t="0" r="16510" b="762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136640" cy="3383280"/>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ocumentProtection w:enforcement="0"/>
  <w:compat>
    <w:useFELayout/>
    <w:splitPgBreakAndParaMark/>
    <w:compatSetting w:name="compatibilityMode" w:uri="http://schemas.microsoft.com/office/word" w:val="12"/>
  </w:compat>
  <w:rsids>
    <w:rsidRoot w:val="00000000"/>
    <w:rsid w:val="1B1A7424"/>
    <w:rsid w:val="34212A3C"/>
    <w:rsid w:val="60F50749"/>
    <w:rsid w:val="741D0A55"/>
    <w:rsid w:val="78B846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2025-08-15T05:21:00Z</dcterms:created>
  <dc:creator>Administrator</dc:creator>
  <cp:lastModifiedBy>Administrator</cp:lastModifiedBy>
  <dcterms:modified xsi:type="dcterms:W3CDTF">2025-08-20T05:11:55Z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