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库尔勒市迎宾街道办事处</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eastAsia="zh-CN"/>
        </w:rPr>
        <w:t>单位</w:t>
      </w:r>
      <w:r>
        <w:rPr>
          <w:rFonts w:ascii="仿宋_GB2312" w:eastAsia="仿宋_GB2312"/>
          <w:b/>
          <w:sz w:val="32"/>
          <w:szCs w:val="32"/>
        </w:rPr>
        <w:t>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eastAsia="zh-CN"/>
        </w:rPr>
        <w:t>单位</w:t>
      </w:r>
      <w:r>
        <w:rPr>
          <w:rFonts w:ascii="黑体" w:eastAsia="黑体"/>
          <w:b w:val="0"/>
          <w:sz w:val="32"/>
          <w:szCs w:val="32"/>
        </w:rPr>
        <w:t>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1）加强党的建设。落实基层党建工作责任制，加强党员队伍的思想建设、组织建设、作风建设、制度建设和党风廉政建设；做好党员管理、发展工作，改善党员队伍结构。提高党员素质；加强非公有制经济组织和社会组织党建工作，实现党的组织和工作全覆盖；宣传贯彻党的路线方针政策和法律法规，加强党对意识形态和统－战线工作的领导；指导工会、共青团、妇联等群团工作。坚持党管武装的基本原则和制度，协调各方力量，对行政区人民武装工作实行统一管理。</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统筹区域发展。指导、监督行政区各单位认真执行市委、市人民政府的各项决议、确保市委、市人民政府各项工作总体部署和工作任务的全面落实。坚持依法行政，推进民主政治，加强基础设施建设；制定街道经济发展、社区建设、社区服务等工作规划和年度计划，并组织实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（3）组织公共服务。加强公共设施建设，开展就业和社会保障等服务。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4）实施公共管理。推进政务、居务公开，抓好卫生健康、人口计划生育工作，实施一票否决制，保障妇女儿童合法权益；开展行政区内的普法教育，完善人民调解组织，为居民提供法律服务；加强居民的文明教育、文化教育，加强流动人口管理，增强居民的文化意识和城市意识。保障残疾人合法权益不受侵犯；负责辖区内统计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5）维护公共安全。承担辖区内社会治安综合治理、信访、平安建设、应急管理、安全生产等有关工作；对辖区内各单位综合治理工作实行一票否决权；强化法治宣传教育、畅通诉求渠道、调解民事纠纷、化解社会矛盾，处理群众性突发事件，做好社会安置帮教、社区矫正和特殊群体帮教帮扶，维护社会秩序和社会稳定；组织抢险救灾，及时上报和处置重大社情、疫情、险情等，保护人民群众的生命财产安全；承担民兵预备役、征兵、退役军人服务、拥军优属工作。</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（6）监督执法管理。协助有关部门加强对行政区内的文化娱乐等场所的管理及监督工作，对辖区内各类行政执法工作进行统筹协调，依法依规行使行政处罚权，组织开展群众监督和社会监督。</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（7）动员社会参与。动员辖区内各类单位、社会组织、社区居民等社会力量参与社会治理，为城市发展服务。（8）指导居民委员会建设，健全居民自治平台，组织驻街道单位和居民参与社区建设、管理。</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（9）按照管理权限，负责机关和事业单位工作人员的教育、培养、选拔、考核和监督工作；协助管理好派驻单位工作人员。</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（10）依法依规承担下放的经济社会管理权限和行政执法事项。（11）完成市委、市人民政府交办的其他事项。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库尔勒市迎宾街道办事处2024年度，实有人数38人，其中：在职人员37人，较上年无变化；离休人员0人，较上年无变化；退休人员1人，较上年无变化；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库尔勒市迎宾街道办事处本级下设7个科室，分别是：党建工作办公室、综合执法办公室、综合协调办公室、迎宾街道办事处经济发展中心、迎宾街道办事处党群服务中心、迎宾街道办事处社会服务中心（退役军人服务站）、迎宾街道办事处综治和网格化服务中心。。</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2024年度收入总计1,324.51万元，其中：本年收入合计1,324.51万元，使用非财政拨款结余（含专用结余）0.00万元，年初结转和结余0.00万元。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2024年度支出总计1,324.51万元，其中：本年支出合计1,324.51万元，结余分配0.00万元，年末结转和结余0.00万元。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收入支出总体与上年相比，增加189.00万元，增长16.64%，主要原因是：</w:t>
      </w:r>
      <w:r>
        <w:rPr>
          <w:rFonts w:hint="eastAsia" w:ascii="仿宋_GB2312" w:eastAsia="仿宋_GB2312"/>
          <w:b w:val="0"/>
          <w:sz w:val="32"/>
          <w:szCs w:val="32"/>
        </w:rPr>
        <w:t>2024年</w:t>
      </w:r>
      <w:r>
        <w:rPr>
          <w:rFonts w:hint="eastAsia" w:ascii="仿宋_GB2312" w:eastAsia="仿宋_GB2312"/>
          <w:b w:val="0"/>
          <w:sz w:val="32"/>
          <w:szCs w:val="32"/>
          <w:lang w:val="en-US" w:eastAsia="zh-CN"/>
        </w:rPr>
        <w:t>新增了</w:t>
      </w:r>
      <w:r>
        <w:rPr>
          <w:rFonts w:hint="eastAsia" w:ascii="仿宋_GB2312" w:eastAsia="仿宋_GB2312"/>
          <w:b w:val="0"/>
          <w:sz w:val="32"/>
          <w:szCs w:val="32"/>
        </w:rPr>
        <w:t>冠农社区基层组织建设资金</w:t>
      </w:r>
      <w:r>
        <w:rPr>
          <w:rFonts w:hint="eastAsia" w:ascii="仿宋_GB2312" w:eastAsia="仿宋_GB2312"/>
          <w:b w:val="0"/>
          <w:sz w:val="32"/>
          <w:szCs w:val="32"/>
          <w:lang w:val="en-US" w:eastAsia="zh-CN"/>
        </w:rPr>
        <w:t>,下达困难群众纾困救助资金,新时代廉洁文化建设经费等</w:t>
      </w:r>
      <w:r>
        <w:rPr>
          <w:rFonts w:ascii="仿宋_GB2312" w:eastAsia="仿宋_GB2312"/>
          <w:b w:val="0"/>
          <w:sz w:val="32"/>
          <w:szCs w:val="32"/>
        </w:rPr>
        <w:t>项目收入，单位人员工资及社保基数增加，整体收入增加。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本年收入1,324.51万元，其中：财政拨款收入1,256.50万元,占94.87%；上级补助收入0.00万元,占0.00%；事业收入0.00万元，占0.00%；经营收入0.00万元,占0.00%；附属单位上缴收入0.00万元，占0.00%；其他收入68.02万元，占5.14%。</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本年支出1,324.51万元，其中：基本支出1,246.59万元，占94.12%；项目支出77.92万元，占5.88%；上缴上级支出0.00万元，占0.00%；经营支出0.00万元，占0.00%；对附属单位补助支出0.00万元，占0.00%。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1,256.50万元，其中：年初财政拨款结转和结余0.00万元，本年财政拨款收入1,256.50万元。财政拨款支出总计1,256.50万元，其中：年末财政拨款结转和结余0.00万元，本年财政拨款支出1,256.50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财政拨款收入支出总体与上年相比，增加120.99万元，增长10.66%，主要原因是：</w:t>
      </w:r>
      <w:r>
        <w:rPr>
          <w:rFonts w:hint="eastAsia" w:ascii="仿宋_GB2312" w:eastAsia="仿宋_GB2312"/>
          <w:b w:val="0"/>
          <w:sz w:val="32"/>
          <w:szCs w:val="32"/>
        </w:rPr>
        <w:t>2024年</w:t>
      </w:r>
      <w:r>
        <w:rPr>
          <w:rFonts w:hint="eastAsia" w:ascii="仿宋_GB2312" w:eastAsia="仿宋_GB2312"/>
          <w:b w:val="0"/>
          <w:sz w:val="32"/>
          <w:szCs w:val="32"/>
          <w:lang w:val="en-US" w:eastAsia="zh-CN"/>
        </w:rPr>
        <w:t>新增了</w:t>
      </w:r>
      <w:r>
        <w:rPr>
          <w:rFonts w:hint="eastAsia" w:ascii="仿宋_GB2312" w:eastAsia="仿宋_GB2312"/>
          <w:b w:val="0"/>
          <w:sz w:val="32"/>
          <w:szCs w:val="32"/>
        </w:rPr>
        <w:t>冠农社区基层组织建设资金</w:t>
      </w:r>
      <w:r>
        <w:rPr>
          <w:rFonts w:hint="eastAsia" w:ascii="仿宋_GB2312" w:eastAsia="仿宋_GB2312"/>
          <w:b w:val="0"/>
          <w:sz w:val="32"/>
          <w:szCs w:val="32"/>
          <w:lang w:val="en-US" w:eastAsia="zh-CN"/>
        </w:rPr>
        <w:t>,下达困难群众纾困救助资金,新时代廉洁文化建设经费等</w:t>
      </w:r>
      <w:r>
        <w:rPr>
          <w:rFonts w:ascii="仿宋_GB2312" w:eastAsia="仿宋_GB2312"/>
          <w:b w:val="0"/>
          <w:sz w:val="32"/>
          <w:szCs w:val="32"/>
        </w:rPr>
        <w:t>项目收入，单位人员工资及社保基数增加，整体收入增加。与年初预算相比，年初预算数1,559.52万元，决算数1,256.50万元，预决算差异率-19.43%，主要原因是：</w:t>
      </w:r>
      <w:r>
        <w:rPr>
          <w:rFonts w:hint="eastAsia" w:ascii="仿宋_GB2312" w:eastAsia="仿宋_GB2312"/>
          <w:b w:val="0"/>
          <w:sz w:val="32"/>
          <w:szCs w:val="32"/>
          <w:lang w:eastAsia="zh-CN"/>
        </w:rPr>
        <w:t>本年度缩减办公支出及为民办实事等</w:t>
      </w:r>
      <w:r>
        <w:rPr>
          <w:rFonts w:ascii="仿宋_GB2312" w:eastAsia="仿宋_GB2312"/>
          <w:b w:val="0"/>
          <w:sz w:val="32"/>
          <w:szCs w:val="32"/>
        </w:rPr>
        <w:t>厉行节约，严格控制支出。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2024年度一般公共预算财政拨款支出1,246.59万元，占本年支出合计的94.12%。与上年相比，增加135.33万元，增长12.18%，主要原因是：</w:t>
      </w:r>
      <w:r>
        <w:rPr>
          <w:rFonts w:hint="eastAsia" w:ascii="仿宋_GB2312" w:eastAsia="仿宋_GB2312"/>
          <w:b w:val="0"/>
          <w:sz w:val="32"/>
          <w:szCs w:val="32"/>
        </w:rPr>
        <w:t>2024年</w:t>
      </w:r>
      <w:r>
        <w:rPr>
          <w:rFonts w:hint="eastAsia" w:ascii="仿宋_GB2312" w:eastAsia="仿宋_GB2312"/>
          <w:b w:val="0"/>
          <w:sz w:val="32"/>
          <w:szCs w:val="32"/>
          <w:lang w:val="en-US" w:eastAsia="zh-CN"/>
        </w:rPr>
        <w:t>新增了</w:t>
      </w:r>
      <w:r>
        <w:rPr>
          <w:rFonts w:hint="eastAsia" w:ascii="仿宋_GB2312" w:eastAsia="仿宋_GB2312"/>
          <w:b w:val="0"/>
          <w:sz w:val="32"/>
          <w:szCs w:val="32"/>
        </w:rPr>
        <w:t>冠农社区基层组织建设资金</w:t>
      </w:r>
      <w:r>
        <w:rPr>
          <w:rFonts w:hint="eastAsia" w:ascii="仿宋_GB2312" w:eastAsia="仿宋_GB2312"/>
          <w:b w:val="0"/>
          <w:sz w:val="32"/>
          <w:szCs w:val="32"/>
          <w:lang w:val="en-US" w:eastAsia="zh-CN"/>
        </w:rPr>
        <w:t>,下达困难群众纾困救助资金,新时代廉洁文化建设经费等</w:t>
      </w:r>
      <w:r>
        <w:rPr>
          <w:rFonts w:ascii="仿宋_GB2312" w:eastAsia="仿宋_GB2312"/>
          <w:b w:val="0"/>
          <w:sz w:val="32"/>
          <w:szCs w:val="32"/>
        </w:rPr>
        <w:t>项目收入，单位人员工资及社保基数增加，整体收入增加。与年初预算相比，年初预算数1,559.52万元，决算数</w:t>
      </w:r>
      <w:r>
        <w:rPr>
          <w:rFonts w:hint="eastAsia" w:ascii="仿宋_GB2312" w:eastAsia="仿宋_GB2312"/>
          <w:b w:val="0"/>
          <w:sz w:val="32"/>
          <w:szCs w:val="32"/>
          <w:lang w:val="en-US" w:eastAsia="zh-CN"/>
        </w:rPr>
        <w:t>1256.5</w:t>
      </w:r>
      <w:r>
        <w:rPr>
          <w:rFonts w:ascii="仿宋_GB2312" w:eastAsia="仿宋_GB2312"/>
          <w:b w:val="0"/>
          <w:sz w:val="32"/>
          <w:szCs w:val="32"/>
        </w:rPr>
        <w:t>万元，预决算差异率-</w:t>
      </w:r>
      <w:r>
        <w:rPr>
          <w:rFonts w:hint="eastAsia" w:ascii="仿宋_GB2312" w:eastAsia="仿宋_GB2312"/>
          <w:b w:val="0"/>
          <w:sz w:val="32"/>
          <w:szCs w:val="32"/>
          <w:lang w:val="en-US" w:eastAsia="zh-CN"/>
        </w:rPr>
        <w:t>19.43</w:t>
      </w:r>
      <w:r>
        <w:rPr>
          <w:rFonts w:ascii="仿宋_GB2312" w:eastAsia="仿宋_GB2312"/>
          <w:b w:val="0"/>
          <w:sz w:val="32"/>
          <w:szCs w:val="32"/>
        </w:rPr>
        <w:t>%，主要原因是：本单位厉行节约，压缩各项经费支出</w:t>
      </w:r>
      <w:r>
        <w:rPr>
          <w:rFonts w:hint="eastAsia" w:ascii="仿宋_GB2312" w:eastAsia="仿宋_GB2312"/>
          <w:b w:val="0"/>
          <w:sz w:val="32"/>
          <w:szCs w:val="32"/>
          <w:lang w:eastAsia="zh-CN"/>
        </w:rPr>
        <w:t>，</w:t>
      </w:r>
      <w:r>
        <w:rPr>
          <w:rFonts w:ascii="仿宋_GB2312" w:eastAsia="仿宋_GB2312"/>
          <w:b w:val="0"/>
          <w:sz w:val="32"/>
          <w:szCs w:val="32"/>
        </w:rPr>
        <w:t>节约了不必需的开支。</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一般公共服务支出（类）1,092.86万元，占87.67%。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教育支出（类）0.80万元，占0.06%。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文化旅游体育与传媒支出（类）6.00万元，占0.48%。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社会保障和就业支出（类）65.59万元，占5.26%。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卫生健康支出（类）30.22万元，占2.42%。</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住房保障支出（类）51.12万元，占4.10%。</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（三）一般公共预算财政拨款支出决算具体情况</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一般公共服务支出（类）人大事务（款）代表工作（项）：支出决算数为2.65万元，比上年决算增加2.65万元，增长100.00%，主要原因是：新增2025年自治州基层人大代表活动经费及基层代表联络站补助经费，所以预算较上年增加。</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一般公共服务支出（类）政府办公厅（室）及相关机构事务（款）行政运行（项）：支出决算数为921.22万元，比上年决算增加74.29万元，增长8.77%，主要原因是：单位人员工资及社保基数增加，整体支出增加。</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一般公共服务支出（类）政府办公厅（室）及相关机构事务（款）其他政府办公厅（室）及相关机构事务支出（项）：支出决算数为116.70万元，比上年决算增加116.70万元，增长100.00%，主要原因是：上年度未安排</w:t>
      </w:r>
      <w:r>
        <w:rPr>
          <w:rFonts w:hint="eastAsia" w:ascii="仿宋_GB2312" w:eastAsia="仿宋_GB2312"/>
          <w:b w:val="0"/>
          <w:sz w:val="32"/>
          <w:szCs w:val="32"/>
          <w:lang w:eastAsia="zh-CN"/>
        </w:rPr>
        <w:t>部门专项为民办实事</w:t>
      </w:r>
      <w:r>
        <w:rPr>
          <w:rFonts w:hint="eastAsia" w:ascii="仿宋_GB2312" w:eastAsia="仿宋_GB2312"/>
          <w:b w:val="0"/>
          <w:sz w:val="32"/>
          <w:szCs w:val="32"/>
          <w:lang w:val="en-US" w:eastAsia="zh-CN"/>
        </w:rPr>
        <w:t>50万元、驻村工作队为民办实事60万元、文化经费6.70万元，合计116.70万</w:t>
      </w:r>
      <w:r>
        <w:rPr>
          <w:rFonts w:ascii="仿宋_GB2312" w:eastAsia="仿宋_GB2312"/>
          <w:b w:val="0"/>
          <w:sz w:val="32"/>
          <w:szCs w:val="32"/>
        </w:rPr>
        <w:t>。</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一般公共服务支出（类）纪检监察事务（款）其他纪检监察事务支出（项）：支出决算数为4.00万元，比上年决算增加2.50万元，增长166.67%，主要原因是：本年新增巴财行【2023】23号2023年新时代廉洁文化建设经费项目，上年度无此项目。</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一般公共服务支出（类）组织事务（款）其他组织事务支出（项）：支出决算数为48.29万元，比上年决算增加48.29万元，增长100.00%，主要原因是：本年度新增驻村工作队人员补助及巴财行[2024]11号2024年自治区基层组织建设资金冠农社区项目经费，上年度无此项目。</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教育支出（类）进修及培训（款）培训支出（项）：支出决算数为0.80万元，比上年决算减少1.31万元，下降62.09%，主要原因是：本年度单位厉行节约，减少外出培训人数及次数，培训费用减少。</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文化旅游体育与传媒支出（类）其他文化旅游体育与传媒支出（款）其他文化旅游体育与传媒支出（项）：支出决算数为6.00万元，比上年决算增加6.00万元，增长100.00%，主要原因是：本年新增巴财教[2023]58号关于提前下达2024年中央补助地方公共文化服务体系建设补助资金预算资金，上年度无此项目。</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行政单位离退休（项）：支出决算数为0.90万元，比上年决算增加0.32万元，增长55.17%，主要原因是：本年支出迎宾街道办事处支付2023年度退休绩效考核奖，较上年资金有所增加。</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基本养老保险缴费支出（项）：支出决算数为64.68万元，比上年决算增加4.61万元，增长7.67%，主要原因是：1.本年人员社保基数调整，资金支出增加。</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社会保障和就业支出（类）行政事业单位养老支出（款）机关事业单位职业年金缴费支出（项）：支出决算数为0.00万元，比上年决算减少0.84万元，下降100.00%，主要原因是：上年支出</w:t>
      </w:r>
      <w:r>
        <w:rPr>
          <w:rFonts w:hint="eastAsia" w:ascii="仿宋_GB2312" w:eastAsia="仿宋_GB2312"/>
          <w:b w:val="0"/>
          <w:sz w:val="32"/>
          <w:szCs w:val="32"/>
          <w:lang w:eastAsia="zh-CN"/>
        </w:rPr>
        <w:t>退休职工</w:t>
      </w:r>
      <w:r>
        <w:rPr>
          <w:rFonts w:hint="eastAsia" w:ascii="仿宋_GB2312" w:eastAsia="仿宋_GB2312"/>
          <w:b w:val="0"/>
          <w:sz w:val="32"/>
          <w:szCs w:val="32"/>
          <w:lang w:val="en-US" w:eastAsia="zh-CN"/>
        </w:rPr>
        <w:t>1名</w:t>
      </w:r>
      <w:r>
        <w:rPr>
          <w:rFonts w:hint="eastAsia" w:ascii="仿宋_GB2312" w:eastAsia="仿宋_GB2312"/>
          <w:b w:val="0"/>
          <w:sz w:val="32"/>
          <w:szCs w:val="32"/>
          <w:lang w:eastAsia="zh-CN"/>
        </w:rPr>
        <w:t>职业年金</w:t>
      </w:r>
      <w:r>
        <w:rPr>
          <w:rFonts w:ascii="仿宋_GB2312" w:eastAsia="仿宋_GB2312"/>
          <w:b w:val="0"/>
          <w:sz w:val="32"/>
          <w:szCs w:val="32"/>
        </w:rPr>
        <w:t>，本年度无退休人员，无此项支出。</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社会保障和就业支出（类）就业补助（款）公益性岗位补贴（项）：支出决算数为0.00万元，比上年决算减少114.96万元，下降100.00%，主要原因是：本年度无此科目支出，公益性岗位人员费用使用劳务派遣进行支出。</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卫生健康支出（类）行政事业单位医疗（款）行政单位医疗（项）：支出决算数为29.23万元，比上年决算增加0.59万元，增长2.06%，主要原因是：本年人员社保基数调整，资金支出增加。</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卫生健康支出（类）行政事业单位医疗（款）公务员医疗补助（项）：支出决算数为0.99万元，比上年决算减少1.45万元，下降59.43%，主要原因是：公务员人员变动，部分资金由原单位支出，因此资金支出减少。</w:t>
      </w:r>
    </w:p>
    <w:p>
      <w:pPr>
        <w:widowControl/>
        <w:numPr>
          <w:ilvl w:val="0"/>
          <w:numId w:val="1"/>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住房保障支出（类）住房改革支出（款）住房公积金（项）：支出决算数为51.12万元，比上年决算减少2.09万元，下降3.93%，主要原因是：</w:t>
      </w:r>
      <w:r>
        <w:rPr>
          <w:rFonts w:hint="eastAsia" w:ascii="仿宋_GB2312" w:eastAsia="仿宋_GB2312"/>
          <w:b w:val="0"/>
          <w:sz w:val="32"/>
          <w:szCs w:val="32"/>
          <w:lang w:eastAsia="zh-CN"/>
        </w:rPr>
        <w:t>新增</w:t>
      </w:r>
      <w:r>
        <w:rPr>
          <w:rFonts w:ascii="仿宋_GB2312" w:eastAsia="仿宋_GB2312"/>
          <w:b w:val="0"/>
          <w:sz w:val="32"/>
          <w:szCs w:val="32"/>
        </w:rPr>
        <w:t>退休人员1人，导致住房公积金支出减少。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1,246.59万元，其中：人员经费1,073.49万元，包括：基本工资、津贴补贴、奖金、机关事业单位基本养老保险缴费、职工基本医疗保险缴费、公务员医疗补助缴费、其他社会保障缴费、住房公积金、其他工资福利支出、退休费和生活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公用经费173.11万元，包括：办公费、水费、电费、邮电费、取暖费、差旅费、培训费、工会经费、公务用车运行维护费和办公设备购置。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b w:val="0"/>
          <w:color w:val="auto"/>
          <w:sz w:val="32"/>
          <w:szCs w:val="32"/>
          <w:highlight w:val="none"/>
        </w:rPr>
      </w:pPr>
      <w:r>
        <w:rPr>
          <w:rFonts w:ascii="仿宋_GB2312" w:eastAsia="仿宋_GB2312"/>
          <w:b w:val="0"/>
          <w:color w:val="auto"/>
          <w:sz w:val="32"/>
          <w:szCs w:val="32"/>
          <w:highlight w:val="none"/>
        </w:rPr>
        <w:t>2024年度政府性基金预算财政拨款收入总计</w:t>
      </w:r>
      <w:r>
        <w:rPr>
          <w:rFonts w:hint="eastAsia" w:ascii="仿宋_GB2312" w:eastAsia="仿宋_GB2312"/>
          <w:b w:val="0"/>
          <w:color w:val="auto"/>
          <w:sz w:val="32"/>
          <w:szCs w:val="32"/>
          <w:highlight w:val="none"/>
          <w:lang w:val="en-US" w:eastAsia="zh-CN"/>
        </w:rPr>
        <w:t>0.00</w:t>
      </w:r>
      <w:r>
        <w:rPr>
          <w:rFonts w:ascii="仿宋_GB2312" w:eastAsia="仿宋_GB2312"/>
          <w:b w:val="0"/>
          <w:color w:val="auto"/>
          <w:sz w:val="32"/>
          <w:szCs w:val="32"/>
          <w:highlight w:val="none"/>
        </w:rPr>
        <w:t>万元，其中：年初结转和结余0.00万元，本年收入</w:t>
      </w:r>
      <w:r>
        <w:rPr>
          <w:rFonts w:hint="eastAsia" w:ascii="仿宋_GB2312" w:eastAsia="仿宋_GB2312"/>
          <w:b w:val="0"/>
          <w:color w:val="auto"/>
          <w:sz w:val="32"/>
          <w:szCs w:val="32"/>
          <w:highlight w:val="none"/>
          <w:lang w:val="en-US" w:eastAsia="zh-CN"/>
        </w:rPr>
        <w:t>0.00</w:t>
      </w:r>
      <w:r>
        <w:rPr>
          <w:rFonts w:ascii="仿宋_GB2312" w:eastAsia="仿宋_GB2312"/>
          <w:b w:val="0"/>
          <w:color w:val="auto"/>
          <w:sz w:val="32"/>
          <w:szCs w:val="32"/>
          <w:highlight w:val="none"/>
        </w:rPr>
        <w:t>万元。政府性基金预算财政拨款支出总计</w:t>
      </w:r>
      <w:r>
        <w:rPr>
          <w:rFonts w:hint="eastAsia" w:ascii="仿宋_GB2312" w:eastAsia="仿宋_GB2312"/>
          <w:b w:val="0"/>
          <w:color w:val="auto"/>
          <w:sz w:val="32"/>
          <w:szCs w:val="32"/>
          <w:highlight w:val="none"/>
          <w:lang w:val="en-US" w:eastAsia="zh-CN"/>
        </w:rPr>
        <w:t>0.00</w:t>
      </w:r>
      <w:r>
        <w:rPr>
          <w:rFonts w:ascii="仿宋_GB2312" w:eastAsia="仿宋_GB2312"/>
          <w:b w:val="0"/>
          <w:color w:val="auto"/>
          <w:sz w:val="32"/>
          <w:szCs w:val="32"/>
          <w:highlight w:val="none"/>
        </w:rPr>
        <w:t>万元，其中：年末结转和结余0.00万元，本年支出</w:t>
      </w:r>
      <w:r>
        <w:rPr>
          <w:rFonts w:hint="eastAsia" w:ascii="仿宋_GB2312" w:eastAsia="仿宋_GB2312"/>
          <w:b w:val="0"/>
          <w:color w:val="auto"/>
          <w:sz w:val="32"/>
          <w:szCs w:val="32"/>
          <w:highlight w:val="none"/>
          <w:lang w:val="en-US" w:eastAsia="zh-CN"/>
        </w:rPr>
        <w:t>0.00</w:t>
      </w:r>
      <w:r>
        <w:rPr>
          <w:rFonts w:ascii="仿宋_GB2312" w:eastAsia="仿宋_GB2312"/>
          <w:b w:val="0"/>
          <w:color w:val="auto"/>
          <w:sz w:val="32"/>
          <w:szCs w:val="32"/>
          <w:highlight w:val="none"/>
        </w:rPr>
        <w:t>万元。</w:t>
      </w:r>
    </w:p>
    <w:p>
      <w:pPr>
        <w:numPr>
          <w:ilvl w:val="0"/>
          <w:numId w:val="0"/>
        </w:numPr>
        <w:ind w:firstLine="640" w:firstLineChars="200"/>
        <w:rPr>
          <w:rFonts w:hint="eastAsia" w:ascii="仿宋_GB2312" w:eastAsia="仿宋_GB2312"/>
          <w:b w:val="0"/>
          <w:color w:val="auto"/>
          <w:sz w:val="32"/>
          <w:szCs w:val="32"/>
          <w:highlight w:val="none"/>
          <w:lang w:val="en-US" w:eastAsia="zh-CN"/>
        </w:rPr>
      </w:pPr>
      <w:r>
        <w:rPr>
          <w:rFonts w:ascii="仿宋_GB2312" w:eastAsia="仿宋_GB2312"/>
          <w:b w:val="0"/>
          <w:color w:val="auto"/>
          <w:sz w:val="32"/>
          <w:szCs w:val="32"/>
          <w:highlight w:val="none"/>
        </w:rPr>
        <w:t>政府性基金预算财政拨款收入支出总体与上年相比，减少</w:t>
      </w:r>
      <w:r>
        <w:rPr>
          <w:rFonts w:hint="eastAsia" w:ascii="仿宋_GB2312" w:eastAsia="仿宋_GB2312"/>
          <w:b w:val="0"/>
          <w:color w:val="auto"/>
          <w:sz w:val="32"/>
          <w:szCs w:val="32"/>
          <w:highlight w:val="none"/>
          <w:lang w:val="en-US" w:eastAsia="zh-CN"/>
        </w:rPr>
        <w:t>5.00</w:t>
      </w:r>
      <w:r>
        <w:rPr>
          <w:rFonts w:ascii="仿宋_GB2312" w:eastAsia="仿宋_GB2312"/>
          <w:b w:val="0"/>
          <w:color w:val="auto"/>
          <w:sz w:val="32"/>
          <w:szCs w:val="32"/>
          <w:highlight w:val="none"/>
        </w:rPr>
        <w:t>万元，下降</w:t>
      </w:r>
      <w:r>
        <w:rPr>
          <w:rFonts w:hint="eastAsia" w:ascii="仿宋_GB2312" w:eastAsia="仿宋_GB2312"/>
          <w:b w:val="0"/>
          <w:color w:val="auto"/>
          <w:sz w:val="32"/>
          <w:szCs w:val="32"/>
          <w:highlight w:val="none"/>
          <w:lang w:val="en-US" w:eastAsia="zh-CN"/>
        </w:rPr>
        <w:t>100</w:t>
      </w:r>
      <w:r>
        <w:rPr>
          <w:rFonts w:ascii="仿宋_GB2312" w:eastAsia="仿宋_GB2312"/>
          <w:b w:val="0"/>
          <w:color w:val="auto"/>
          <w:sz w:val="32"/>
          <w:szCs w:val="32"/>
          <w:highlight w:val="none"/>
        </w:rPr>
        <w:t>%，主要原因是：</w:t>
      </w:r>
      <w:r>
        <w:rPr>
          <w:rFonts w:hint="eastAsia" w:ascii="仿宋_GB2312" w:eastAsia="仿宋_GB2312"/>
          <w:b w:val="0"/>
          <w:color w:val="auto"/>
          <w:sz w:val="32"/>
          <w:szCs w:val="32"/>
          <w:highlight w:val="none"/>
          <w:lang w:val="en-US" w:eastAsia="zh-CN"/>
        </w:rPr>
        <w:t>2023年安排</w:t>
      </w:r>
      <w:r>
        <w:rPr>
          <w:rFonts w:hint="eastAsia" w:ascii="仿宋_GB2312" w:eastAsia="仿宋_GB2312"/>
          <w:b w:val="0"/>
          <w:sz w:val="32"/>
          <w:szCs w:val="32"/>
          <w:highlight w:val="none"/>
        </w:rPr>
        <w:t>春节前农民工资项目</w:t>
      </w:r>
      <w:r>
        <w:rPr>
          <w:rFonts w:hint="eastAsia" w:ascii="仿宋_GB2312" w:eastAsia="仿宋_GB2312"/>
          <w:b w:val="0"/>
          <w:sz w:val="32"/>
          <w:szCs w:val="32"/>
          <w:highlight w:val="none"/>
          <w:lang w:val="en-US" w:eastAsia="zh-CN"/>
        </w:rPr>
        <w:t>5</w:t>
      </w:r>
      <w:r>
        <w:rPr>
          <w:rFonts w:hint="eastAsia" w:ascii="仿宋_GB2312" w:eastAsia="仿宋_GB2312"/>
          <w:b w:val="0"/>
          <w:sz w:val="32"/>
          <w:szCs w:val="32"/>
          <w:highlight w:val="none"/>
        </w:rPr>
        <w:t>万元</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本年度未安排政府性基金预算,</w:t>
      </w:r>
      <w:r>
        <w:rPr>
          <w:rFonts w:hint="eastAsia" w:ascii="仿宋_GB2312" w:hAnsi="仿宋_GB2312" w:eastAsia="仿宋_GB2312" w:cs="仿宋_GB2312"/>
          <w:sz w:val="32"/>
          <w:szCs w:val="40"/>
          <w:lang w:val="en-US" w:eastAsia="zh-CN"/>
        </w:rPr>
        <w:t>与年初预算相比，年初预算数0.00万元，决算数0.00万元，预决算差异率0.00%，主要原因是：本单位本年未安排政府性基金预算财政拨款支出。</w:t>
      </w:r>
    </w:p>
    <w:p>
      <w:pPr>
        <w:widowControl/>
        <w:spacing w:before="0" w:beforeLines="0" w:beforeAutospacing="0" w:after="0" w:afterLines="0" w:afterAutospacing="0" w:line="240" w:lineRule="auto"/>
        <w:ind w:firstLine="640" w:firstLineChars="200"/>
        <w:jc w:val="both"/>
        <w:rPr>
          <w:rFonts w:ascii="仿宋_GB2312" w:eastAsia="仿宋_GB2312"/>
          <w:b w:val="0"/>
          <w:sz w:val="32"/>
          <w:szCs w:val="32"/>
          <w:highlight w:val="none"/>
        </w:rPr>
      </w:pPr>
      <w:r>
        <w:rPr>
          <w:rFonts w:hint="eastAsia" w:ascii="仿宋_GB2312" w:eastAsia="仿宋_GB2312"/>
          <w:b w:val="0"/>
          <w:sz w:val="32"/>
          <w:szCs w:val="32"/>
          <w:highlight w:val="none"/>
        </w:rPr>
        <w:t>1.城乡社区支出（类）国有土地使用权出让收入安排的支出（款）其他国有土地使用权出让收入安排的支出（项）:支出决算数为</w:t>
      </w:r>
      <w:r>
        <w:rPr>
          <w:rFonts w:hint="eastAsia" w:ascii="仿宋_GB2312" w:eastAsia="仿宋_GB2312"/>
          <w:b w:val="0"/>
          <w:sz w:val="32"/>
          <w:szCs w:val="32"/>
          <w:highlight w:val="none"/>
          <w:lang w:val="en-US" w:eastAsia="zh-CN"/>
        </w:rPr>
        <w:t>0</w:t>
      </w:r>
      <w:r>
        <w:rPr>
          <w:rFonts w:hint="eastAsia" w:ascii="仿宋_GB2312" w:eastAsia="仿宋_GB2312"/>
          <w:b w:val="0"/>
          <w:sz w:val="32"/>
          <w:szCs w:val="32"/>
          <w:highlight w:val="none"/>
        </w:rPr>
        <w:t>万元，比上年决算</w:t>
      </w:r>
      <w:r>
        <w:rPr>
          <w:rFonts w:hint="eastAsia" w:ascii="仿宋_GB2312" w:eastAsia="仿宋_GB2312"/>
          <w:b w:val="0"/>
          <w:sz w:val="32"/>
          <w:szCs w:val="32"/>
          <w:highlight w:val="none"/>
          <w:lang w:val="en-US" w:eastAsia="zh-CN"/>
        </w:rPr>
        <w:t>减少5</w:t>
      </w:r>
      <w:r>
        <w:rPr>
          <w:rFonts w:hint="eastAsia" w:ascii="仿宋_GB2312" w:eastAsia="仿宋_GB2312"/>
          <w:b w:val="0"/>
          <w:sz w:val="32"/>
          <w:szCs w:val="32"/>
          <w:highlight w:val="none"/>
        </w:rPr>
        <w:t>.00万元，</w:t>
      </w:r>
      <w:r>
        <w:rPr>
          <w:rFonts w:hint="eastAsia" w:ascii="仿宋_GB2312" w:eastAsia="仿宋_GB2312"/>
          <w:b w:val="0"/>
          <w:sz w:val="32"/>
          <w:szCs w:val="32"/>
          <w:highlight w:val="none"/>
          <w:lang w:val="en-US" w:eastAsia="zh-CN"/>
        </w:rPr>
        <w:t>下降</w:t>
      </w:r>
      <w:r>
        <w:rPr>
          <w:rFonts w:hint="eastAsia" w:ascii="仿宋_GB2312" w:eastAsia="仿宋_GB2312"/>
          <w:b w:val="0"/>
          <w:sz w:val="32"/>
          <w:szCs w:val="32"/>
          <w:highlight w:val="none"/>
        </w:rPr>
        <w:t>100%，主要原因是：</w:t>
      </w:r>
      <w:r>
        <w:rPr>
          <w:rFonts w:hint="eastAsia" w:ascii="仿宋_GB2312" w:eastAsia="仿宋_GB2312"/>
          <w:b w:val="0"/>
          <w:color w:val="auto"/>
          <w:sz w:val="32"/>
          <w:szCs w:val="32"/>
          <w:highlight w:val="none"/>
          <w:lang w:val="en-US" w:eastAsia="zh-CN"/>
        </w:rPr>
        <w:t>2023年安排</w:t>
      </w:r>
      <w:r>
        <w:rPr>
          <w:rFonts w:hint="eastAsia" w:ascii="仿宋_GB2312" w:eastAsia="仿宋_GB2312"/>
          <w:b w:val="0"/>
          <w:sz w:val="32"/>
          <w:szCs w:val="32"/>
          <w:highlight w:val="none"/>
        </w:rPr>
        <w:t>春节前农民工资项目</w:t>
      </w:r>
      <w:r>
        <w:rPr>
          <w:rFonts w:hint="eastAsia" w:ascii="仿宋_GB2312" w:eastAsia="仿宋_GB2312"/>
          <w:b w:val="0"/>
          <w:sz w:val="32"/>
          <w:szCs w:val="32"/>
          <w:highlight w:val="none"/>
          <w:lang w:val="en-US" w:eastAsia="zh-CN"/>
        </w:rPr>
        <w:t>5</w:t>
      </w:r>
      <w:r>
        <w:rPr>
          <w:rFonts w:hint="eastAsia" w:ascii="仿宋_GB2312" w:eastAsia="仿宋_GB2312"/>
          <w:b w:val="0"/>
          <w:sz w:val="32"/>
          <w:szCs w:val="32"/>
          <w:highlight w:val="none"/>
        </w:rPr>
        <w:t>万元</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本年度未安排政府性基金预算。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2024年度国有资本经营预算财政拨款收入总计9.91万元，其中：年初结转和结余0.00万元，本年收入9.91万元。国有资本经营预算财政拨款支出总计9.91万元，其中：年末结转和结余0.00万元，本年支出9.91万元。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国有资本经营预算财政拨款收入支出总体与上年相比，减少8.36万元，下降45.76%，主要原因是：</w:t>
      </w:r>
      <w:r>
        <w:rPr>
          <w:rFonts w:hint="eastAsia" w:ascii="仿宋_GB2312" w:eastAsia="仿宋_GB2312"/>
          <w:b w:val="0"/>
          <w:sz w:val="32"/>
          <w:szCs w:val="32"/>
          <w:lang w:val="en-US" w:eastAsia="zh-CN"/>
        </w:rPr>
        <w:t>2023年支付了22及23年两年的</w:t>
      </w:r>
      <w:r>
        <w:rPr>
          <w:rFonts w:ascii="仿宋_GB2312" w:eastAsia="仿宋_GB2312"/>
          <w:b w:val="0"/>
          <w:sz w:val="32"/>
          <w:szCs w:val="32"/>
        </w:rPr>
        <w:t>国有企业退休人员社会化管理补助资金</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本年支付了当年</w:t>
      </w:r>
      <w:r>
        <w:rPr>
          <w:rFonts w:ascii="仿宋_GB2312" w:eastAsia="仿宋_GB2312"/>
          <w:b w:val="0"/>
          <w:sz w:val="32"/>
          <w:szCs w:val="32"/>
        </w:rPr>
        <w:t>国有企业退休人员社会化管理补助资金</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因此</w:t>
      </w:r>
      <w:r>
        <w:rPr>
          <w:rFonts w:ascii="仿宋_GB2312" w:eastAsia="仿宋_GB2312"/>
          <w:b w:val="0"/>
          <w:sz w:val="32"/>
          <w:szCs w:val="32"/>
        </w:rPr>
        <w:t>支出减少。与年初预算相比，年初预算数0.00万元，决算数9.91万元，预决算差异率100%，主要原因是：年中追加巴财企[2023]62号关于提前下达2024年国有企业退休人员社会化管理补助资金。</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国有资本经营预算财政拨款支出9.91万元。</w:t>
      </w:r>
    </w:p>
    <w:p>
      <w:pPr>
        <w:widowControl/>
        <w:numPr>
          <w:ilvl w:val="0"/>
          <w:numId w:val="2"/>
        </w:numPr>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国有资本经营预算支出（类）解决历史遗留问题及改革成本支出（款）国有企业退休人员社会化管理补助支出（项）：支出决算数为9.91万元，比上年决算减少8.36万元，下降45.76%，主要原因是：</w:t>
      </w:r>
      <w:r>
        <w:rPr>
          <w:rFonts w:hint="eastAsia" w:ascii="仿宋_GB2312" w:eastAsia="仿宋_GB2312"/>
          <w:b w:val="0"/>
          <w:sz w:val="32"/>
          <w:szCs w:val="32"/>
          <w:lang w:val="en-US" w:eastAsia="zh-CN"/>
        </w:rPr>
        <w:t>2023年支付了22及23年两年的</w:t>
      </w:r>
      <w:r>
        <w:rPr>
          <w:rFonts w:ascii="仿宋_GB2312" w:eastAsia="仿宋_GB2312"/>
          <w:b w:val="0"/>
          <w:sz w:val="32"/>
          <w:szCs w:val="32"/>
        </w:rPr>
        <w:t>国有企业退休人员社会化管理补助资金</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本年支付了当年</w:t>
      </w:r>
      <w:r>
        <w:rPr>
          <w:rFonts w:ascii="仿宋_GB2312" w:eastAsia="仿宋_GB2312"/>
          <w:b w:val="0"/>
          <w:sz w:val="32"/>
          <w:szCs w:val="32"/>
        </w:rPr>
        <w:t>国有企业退休人员社会化管理补助资金</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因此</w:t>
      </w:r>
      <w:r>
        <w:rPr>
          <w:rFonts w:ascii="仿宋_GB2312" w:eastAsia="仿宋_GB2312"/>
          <w:b w:val="0"/>
          <w:sz w:val="32"/>
          <w:szCs w:val="32"/>
        </w:rPr>
        <w:t>支出减少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6.79万元，比上年减少0.03万元，下降0.44%，主要原因是：单位厉行节约，严格控制三公经费支出。其中：因公出国（境）费支出0.00万元,占0.00%，与上年相比无变化，主要原因是：本年无因公出国（境）费支出，与上年相比无变动；公务用车购置及运行维护费支出6.79万元，占100.00%，比上年减少0.03万元，下降0.44%，主要原因是：​单位厉行节约，严格控制三公经费支出​；公务接待费支出0.00万元，占0.00%，与上年相比无变化，主要原因是：本年无公务接待费支出，与上年相比无变动。</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因公出国（境）费支出0.00万元，开支内容包括本年未安排因公出国（境）费支出，无开支内容。单位全年安排的因公出国（境）团组0个，因公出国（境）0人次。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6.79万元，其中：公务用车购置费0.00万元，公务用车运行维护费6.79万元。公务用车运行维护费开支内容包括日常公务、环境执法、社区疫情监督检查、项目验收督导等公务用车的燃料费、修理费、保险费等支出。公务用车购置数0辆，公务用车保有量3辆。国有资产占用情况中固定资产车辆0辆，与公务用车保有量差异原因是：街道拆分后固定资产尚未进行移交，导致公务用车保有量存在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公务接待费0.00万元，开支内容包括本年未安排公务接待费支出，无开支内容。单位全年安排的国内公务接待0批次，0人次。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6.79万元，决算数6.79万元，预决算差异率0.00%，主要原因是：严格控制预算支出，预决算无差异。其中：因公出国（境）费全年预算数0.00万元，决算数0.00万元，预决算差异率0.00%，主要原因是：年度无因公出国（境）费支出，预决算无差异。公务用车购置费全年预算数0.00万元，决算数0.00万元，预决算差异率0.00%，主要原因是：本年无公务用车购置费支出，无开支内容，预决算无差异。公务用车运行维护费全年预算数6.79万元，决算数6.79万元，预决算差异率0.00%，主要原因是：严格控制预算支出，预决算无差异。公务接待费全年预算数0.00万元，决算数0.00万元，预决算差异率0.00%，主要原因是：本年无公务接待费支出，无开支内容，预决算无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2024年度库尔勒市迎宾街道办事处部门机关运行经费支出173.11万元，比上年增加131.80万元，增长319.05%，主要原因是：本年度新增临聘人员劳务费用；本年度支付工程欠款；本年度支付一次性工伤就业补助金</w:t>
      </w:r>
      <w:r>
        <w:rPr>
          <w:rFonts w:hint="eastAsia" w:ascii="仿宋_GB2312" w:eastAsia="仿宋_GB2312"/>
          <w:b w:val="0"/>
          <w:sz w:val="32"/>
          <w:szCs w:val="32"/>
          <w:lang w:eastAsia="zh-CN"/>
        </w:rPr>
        <w:t>；</w:t>
      </w:r>
      <w:r>
        <w:rPr>
          <w:rFonts w:ascii="仿宋_GB2312" w:eastAsia="仿宋_GB2312"/>
          <w:b w:val="0"/>
          <w:sz w:val="32"/>
          <w:szCs w:val="32"/>
        </w:rPr>
        <w:t>因此支出增加。</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2024年度政府采购支出总额135.95万元，其中：政府采购货物支出3.02万元、政府采购工程支出101.99万元、政府采购服务支出30.93万元。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授予中小企业合同金额70.60万元，占政府采购支出总额的51.93%，其中：授予小微企业合同金额66.51万元，占政府采购支出总额的48.92%。</w:t>
      </w:r>
    </w:p>
    <w:p>
      <w:pPr>
        <w:widowControl/>
        <w:spacing w:before="0" w:beforeLines="0" w:beforeAutospacing="0" w:after="0" w:afterLines="0" w:afterAutospacing="0" w:line="240" w:lineRule="auto"/>
        <w:ind w:firstLine="643" w:firstLineChars="200"/>
        <w:jc w:val="left"/>
        <w:outlineLvl w:val="2"/>
        <w:rPr>
          <w:rFonts w:ascii="仿宋_GB2312" w:eastAsia="仿宋_GB2312"/>
          <w:sz w:val="32"/>
          <w:szCs w:val="32"/>
        </w:rPr>
      </w:pPr>
      <w:r>
        <w:rPr>
          <w:rFonts w:ascii="仿宋_GB2312" w:eastAsia="仿宋_GB2312"/>
          <w:b/>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暂无其他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根据预算绩效管理要求，本部门2024年度预算绩效管理形成整体支出绩效自评表1个，全年预算总额1,324.51万元，实际执行总额1,324.51万元；预算绩效评价项目6个，全年预算数</w:t>
      </w:r>
      <w:r>
        <w:rPr>
          <w:rFonts w:hint="eastAsia" w:ascii="仿宋_GB2312" w:eastAsia="仿宋_GB2312"/>
          <w:color w:val="auto"/>
          <w:sz w:val="32"/>
          <w:szCs w:val="32"/>
          <w:lang w:val="en-US" w:eastAsia="zh-CN"/>
        </w:rPr>
        <w:t>126.5</w:t>
      </w:r>
      <w:r>
        <w:rPr>
          <w:rFonts w:ascii="仿宋_GB2312" w:eastAsia="仿宋_GB2312"/>
          <w:b w:val="0"/>
          <w:sz w:val="32"/>
          <w:szCs w:val="32"/>
        </w:rPr>
        <w:t>万元，全年执行数</w:t>
      </w:r>
      <w:r>
        <w:rPr>
          <w:rFonts w:hint="eastAsia" w:ascii="仿宋_GB2312" w:eastAsia="仿宋_GB2312"/>
          <w:color w:val="auto"/>
          <w:sz w:val="32"/>
          <w:szCs w:val="32"/>
          <w:lang w:val="en-US" w:eastAsia="zh-CN"/>
        </w:rPr>
        <w:t>125.06</w:t>
      </w:r>
      <w:bookmarkStart w:id="0" w:name="_GoBack"/>
      <w:bookmarkEnd w:id="0"/>
      <w:r>
        <w:rPr>
          <w:rFonts w:ascii="仿宋_GB2312" w:eastAsia="仿宋_GB2312"/>
          <w:b w:val="0"/>
          <w:sz w:val="32"/>
          <w:szCs w:val="32"/>
        </w:rPr>
        <w:t>万元。预算绩效管理取得的成效：一是各项资金的有效使用，对改善基层设施条件，加快构建现代化服务体系，为居民提供良好的生活环境，更好的长期开展基层综合治理工作起到了关键作用；二是为民办好事、办实事，提升了居民满意度。发现的问题及原因：一是项目资金执行率存在加强与上升空间，需要有关部门加强工作效率，在重点工作的完成率和完成度上都需要进一步提升。二是项目资金执行力度需进一步加强。。下一步改进措施：一是细化预算编制工作，严格按照预算编制的相关制度和要求做好预算的编制，进一步加强预算管理意识；全面编制预算项目，优先保障固定的、相对刚性的费用支出项目，尽量压缩变动的、有控制空间的费用项目，进一步提高预算编制的科学性、严谨性和可控性；二是加强财务管理，严格财务审批。在费用保障支付时，按照预算规定的费用项目和用途进行资金使用、审核、列报支付，财务核算杜绝超预算支付的发生。三是加强项目实时监控，严格按照相关要求对相关项目的资金进行使用，确保资金专款专用及时有效。具体附部门整体支出绩效自评表，项目支出绩效自评表和部门评价报告。</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w:t>
      </w:r>
      <w:r>
        <w:rPr>
          <w:rFonts w:hint="eastAsia" w:ascii="仿宋_GB2312" w:eastAsia="仿宋_GB2312"/>
          <w:b w:val="0"/>
          <w:sz w:val="32"/>
          <w:szCs w:val="32"/>
          <w:lang w:eastAsia="zh-CN"/>
        </w:rPr>
        <w:t>单位</w:t>
      </w:r>
      <w:r>
        <w:rPr>
          <w:rFonts w:ascii="仿宋_GB2312" w:eastAsia="仿宋_GB2312"/>
          <w:b w:val="0"/>
          <w:sz w:val="32"/>
          <w:szCs w:val="32"/>
        </w:rPr>
        <w:t>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r>
        <w:rPr>
          <w:rFonts w:ascii="仿宋_GB2312" w:eastAsia="仿宋_GB2312"/>
          <w:b w:val="0"/>
          <w:sz w:val="32"/>
          <w:szCs w:val="32"/>
        </w:rPr>
        <w:t>九、《财政拨款“三公”经费支出决算表》</w:t>
      </w:r>
    </w:p>
    <w:p>
      <w:pPr>
        <w:rPr>
          <w:rFonts w:ascii="仿宋_GB2312" w:eastAsia="仿宋_GB2312"/>
          <w:b w:val="0"/>
          <w:sz w:val="32"/>
          <w:szCs w:val="32"/>
        </w:rPr>
      </w:pPr>
      <w:r>
        <w:rPr>
          <w:rFonts w:ascii="仿宋_GB2312" w:eastAsia="仿宋_GB2312"/>
          <w:b w:val="0"/>
          <w:sz w:val="32"/>
          <w:szCs w:val="32"/>
        </w:rP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5130" cy="6435725"/>
            <wp:effectExtent l="0" t="0" r="127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485130" cy="6435725"/>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2590" cy="7094855"/>
            <wp:effectExtent l="0" t="0" r="381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482590" cy="7094855"/>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4495" cy="7783195"/>
            <wp:effectExtent l="0" t="0" r="190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484495" cy="7783195"/>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3225" cy="7656195"/>
            <wp:effectExtent l="0" t="0" r="3175"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5483225" cy="7656195"/>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5130" cy="7531100"/>
            <wp:effectExtent l="0" t="0" r="1270"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485130" cy="7531100"/>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5130" cy="8436610"/>
            <wp:effectExtent l="0" t="0" r="127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485130" cy="8436610"/>
                    </a:xfrm>
                    <a:prstGeom prst="rect">
                      <a:avLst/>
                    </a:prstGeom>
                    <a:noFill/>
                    <a:ln>
                      <a:noFill/>
                    </a:ln>
                  </pic:spPr>
                </pic:pic>
              </a:graphicData>
            </a:graphic>
          </wp:inline>
        </w:drawing>
      </w:r>
    </w:p>
    <w:p>
      <w:r>
        <w:drawing>
          <wp:inline distT="0" distB="0" distL="114300" distR="114300">
            <wp:extent cx="5485765" cy="3016250"/>
            <wp:effectExtent l="0" t="0" r="635" b="1270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5485765" cy="3016250"/>
                    </a:xfrm>
                    <a:prstGeom prst="rect">
                      <a:avLst/>
                    </a:prstGeom>
                    <a:noFill/>
                    <a:ln>
                      <a:noFill/>
                    </a:ln>
                  </pic:spPr>
                </pic:pic>
              </a:graphicData>
            </a:graphic>
          </wp:inline>
        </w:drawing>
      </w:r>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1955" cy="3755390"/>
            <wp:effectExtent l="0" t="0" r="4445" b="165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5481955" cy="3755390"/>
                    </a:xfrm>
                    <a:prstGeom prst="rect">
                      <a:avLst/>
                    </a:prstGeom>
                    <a:noFill/>
                    <a:ln>
                      <a:noFill/>
                    </a:ln>
                  </pic:spPr>
                </pic:pic>
              </a:graphicData>
            </a:graphic>
          </wp:inline>
        </w:drawing>
      </w:r>
    </w:p>
    <w:p>
      <w:r>
        <w:br w:type="page"/>
      </w:r>
    </w:p>
    <w:p>
      <w:pPr>
        <w:widowControl/>
        <w:spacing w:before="0" w:beforeLines="0" w:beforeAutospacing="0" w:after="0" w:afterLines="0" w:afterAutospacing="0" w:line="240" w:lineRule="auto"/>
        <w:ind w:firstLine="440" w:firstLineChars="200"/>
        <w:jc w:val="left"/>
        <w:outlineLvl w:val="1"/>
      </w:pPr>
      <w:r>
        <w:drawing>
          <wp:inline distT="0" distB="0" distL="114300" distR="114300">
            <wp:extent cx="5480685" cy="2905760"/>
            <wp:effectExtent l="0" t="0" r="5715"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480685" cy="2905760"/>
                    </a:xfrm>
                    <a:prstGeom prst="rect">
                      <a:avLst/>
                    </a:prstGeom>
                    <a:noFill/>
                    <a:ln>
                      <a:noFill/>
                    </a:ln>
                  </pic:spPr>
                </pic:pic>
              </a:graphicData>
            </a:graphic>
          </wp:inline>
        </w:drawing>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abstractNum w:abstractNumId="1">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55B56"/>
    <w:rsid w:val="09DD1EB1"/>
    <w:rsid w:val="11CC54EF"/>
    <w:rsid w:val="151A0B57"/>
    <w:rsid w:val="18B065A4"/>
    <w:rsid w:val="1C676F3A"/>
    <w:rsid w:val="1D804DF1"/>
    <w:rsid w:val="210717CB"/>
    <w:rsid w:val="25E71D3E"/>
    <w:rsid w:val="28BB723E"/>
    <w:rsid w:val="29FE3D75"/>
    <w:rsid w:val="2F326EFC"/>
    <w:rsid w:val="372A2501"/>
    <w:rsid w:val="3C7F733C"/>
    <w:rsid w:val="405F361F"/>
    <w:rsid w:val="41E1510D"/>
    <w:rsid w:val="4CC67484"/>
    <w:rsid w:val="58B75C88"/>
    <w:rsid w:val="59FE42A0"/>
    <w:rsid w:val="64995AC9"/>
    <w:rsid w:val="679135A3"/>
    <w:rsid w:val="7D4E62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Title Char"/>
    <w:basedOn w:val="13"/>
    <w:link w:val="10"/>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26</Pages>
  <Words>8038</Words>
  <Characters>8996</Characters>
  <TotalTime>0</TotalTime>
  <ScaleCrop>false</ScaleCrop>
  <LinksUpToDate>false</LinksUpToDate>
  <CharactersWithSpaces>8996</CharactersWithSpaces>
  <Application>WPS Office_11.8.2.10154_F1E327BC-269C-435d-A152-05C5408002CA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2025-08-14T12:17:00Z</dcterms:created>
  <dc:creator>Administrator</dc:creator>
  <cp:lastModifiedBy>Administrator</cp:lastModifiedBy>
  <dcterms:modified xsi:type="dcterms:W3CDTF">2025-11-17T12:44:26Z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364485E65C3F41AAB70B2D36036053B4</vt:lpwstr>
  </property>
  <property fmtid="{D5CDD505-2E9C-101B-9397-08002B2CF9AE}" pid="4" name="KSOTemplateDocerSaveRecord">
    <vt:lpwstr>eyJoZGlkIjoiYWM5MDE2NGYwMGE1YjY5YWVjYTgwN2E3N2ViNDAyMWIiLCJ1c2VySWQiOiI3MzQ0NTk1NzcifQ==</vt:lpwstr>
  </property>
</Properties>
</file>