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hAnsi="黑体" w:eastAsia="黑体" w:cs="宋体"/>
          <w:color w:val="333333"/>
          <w:sz w:val="32"/>
          <w:szCs w:val="32"/>
          <w:lang w:bidi="ar"/>
        </w:rPr>
      </w:pPr>
      <w:bookmarkStart w:id="1" w:name="_GoBack"/>
      <w:bookmarkEnd w:id="1"/>
      <w:r>
        <w:rPr>
          <w:rFonts w:hint="eastAsia" w:ascii="黑体" w:hAnsi="黑体" w:eastAsia="黑体" w:cs="宋体"/>
          <w:color w:val="333333"/>
          <w:sz w:val="32"/>
          <w:szCs w:val="32"/>
          <w:lang w:bidi="ar"/>
        </w:rPr>
        <w:t>附件4：</w:t>
      </w: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2024</w:t>
      </w:r>
      <w:r>
        <w:rPr>
          <w:rFonts w:hint="eastAsia" w:hAnsi="宋体" w:eastAsia="仿宋_GB2312" w:cs="宋体"/>
          <w:kern w:val="0"/>
          <w:sz w:val="36"/>
          <w:szCs w:val="36"/>
        </w:rPr>
        <w:t>年度）</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540" w:lineRule="exact"/>
        <w:ind w:firstLine="720" w:firstLineChars="200"/>
        <w:rPr>
          <w:rFonts w:hAnsi="宋体" w:eastAsia="仿宋_GB2312" w:cs="宋体"/>
          <w:kern w:val="0"/>
          <w:sz w:val="44"/>
          <w:szCs w:val="44"/>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6"/>
          <w:rFonts w:hint="eastAsia" w:ascii="仿宋" w:hAnsi="仿宋" w:eastAsia="仿宋" w:cs="仿宋"/>
          <w:b w:val="0"/>
          <w:bCs w:val="0"/>
          <w:spacing w:val="-4"/>
          <w:sz w:val="44"/>
          <w:szCs w:val="44"/>
        </w:rPr>
        <w:t>库尔勒市财政局</w:t>
      </w:r>
    </w:p>
    <w:p>
      <w:pPr>
        <w:spacing w:line="540" w:lineRule="exact"/>
        <w:ind w:firstLine="720" w:firstLineChars="200"/>
        <w:rPr>
          <w:rFonts w:ascii="仿宋" w:hAnsi="仿宋" w:eastAsia="仿宋" w:cs="仿宋"/>
          <w:kern w:val="0"/>
          <w:sz w:val="44"/>
          <w:szCs w:val="44"/>
        </w:rPr>
      </w:pPr>
      <w:r>
        <w:rPr>
          <w:rFonts w:hint="eastAsia" w:hAnsi="宋体" w:eastAsia="仿宋_GB2312" w:cs="宋体"/>
          <w:kern w:val="0"/>
          <w:sz w:val="36"/>
          <w:szCs w:val="36"/>
        </w:rPr>
        <w:t>填报时间：</w:t>
      </w:r>
      <w:r>
        <w:rPr>
          <w:rStyle w:val="6"/>
          <w:rFonts w:hint="eastAsia" w:ascii="仿宋" w:hAnsi="仿宋" w:eastAsia="仿宋" w:cs="仿宋"/>
          <w:b w:val="0"/>
          <w:bCs w:val="0"/>
          <w:spacing w:val="-4"/>
          <w:sz w:val="44"/>
          <w:szCs w:val="44"/>
        </w:rPr>
        <w:t>2025年04月29日</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基本概况：</w:t>
      </w:r>
    </w:p>
    <w:p>
      <w:pPr>
        <w:spacing w:line="600" w:lineRule="exact"/>
        <w:ind w:firstLine="964" w:firstLineChars="300"/>
        <w:jc w:val="left"/>
        <w:rPr>
          <w:rFonts w:hint="eastAsia" w:ascii="Arial" w:hAnsi="Arial" w:cs="Arial"/>
          <w:b/>
          <w:bCs/>
          <w:color w:val="333333"/>
          <w:sz w:val="30"/>
          <w:szCs w:val="30"/>
        </w:rPr>
      </w:pPr>
      <w:r>
        <w:rPr>
          <w:rFonts w:hint="eastAsia" w:ascii="黑体" w:hAnsi="黑体" w:eastAsia="黑体" w:cs="宋体"/>
          <w:b/>
          <w:color w:val="000000" w:themeColor="text1"/>
          <w:sz w:val="32"/>
          <w:szCs w:val="32"/>
          <w:lang w:bidi="ar"/>
          <w14:textFill>
            <w14:solidFill>
              <w14:schemeClr w14:val="tx1"/>
            </w14:solidFill>
          </w14:textFill>
        </w:rPr>
        <w:t>（一）</w:t>
      </w:r>
      <w:r>
        <w:rPr>
          <w:rFonts w:ascii="黑体" w:hAnsi="黑体" w:eastAsia="黑体" w:cs="宋体"/>
          <w:b/>
          <w:color w:val="000000" w:themeColor="text1"/>
          <w:sz w:val="32"/>
          <w:szCs w:val="32"/>
          <w:lang w:bidi="ar"/>
          <w14:textFill>
            <w14:solidFill>
              <w14:schemeClr w14:val="tx1"/>
            </w14:solidFill>
          </w14:textFill>
        </w:rPr>
        <w:t>部门单位基本情况</w:t>
      </w:r>
      <w:r>
        <w:rPr>
          <w:rFonts w:hint="eastAsia" w:ascii="Arial" w:hAnsi="Arial" w:cs="Arial"/>
          <w:b/>
          <w:bCs/>
          <w:color w:val="333333"/>
          <w:sz w:val="30"/>
          <w:szCs w:val="30"/>
        </w:rPr>
        <w:t>：</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1.主要职能：新疆巴州库尔勒市财政局是市人民政府工作部门，为正科级，加挂国有资产监督管理委员会牌子。</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市财政局贯彻落实党中央关于财经工作的方针政策和决策部署，以及自治区、自治州、市党委的工作要求，在履行职责过程中坚持和加强党对财政工作的集中统一领导。</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主要职责是：</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（1）拟订库尔勒市财政发展战略、中长期财政规划和改革方案并组织实施；负责分析预测宏观经济形势，参与制订宏观经济政策，提出运用财税政策实施宏观经济调控和综合平衡社会财力的建议。</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承担库尔勒市各项财政收支管理责任；负责编制库尔勒市本级预决算草案并组织执行；受市人民政府委托向市人民代表大会报告预算及执行情况，向市人大常委会报告决算；组织制定经费开支标准、定额，负责财政预决算工作。</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（3）组织制订地方收入计划，负责协调、组织税收和非税收入的征收管理工作。负责政府性基金管理；负责行政事业性收费立项和标准管理；管理彩票资金。</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4）组织制订库尔勒市国库管理制度、国库集中收付制度，管理库尔勒市国库现金，监督管理地方国库资金缴拨使用；负责制定库尔勒市政府采购制度并监督管理；研究拟订政府购买服务制度和政策并组织实施；管理库尔勒市财政统一发放工资工作。</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（5）拟订和执行地方政府性债务管理制度和办法，负责组织申报自治区地方政府债券代理发行工作；管理地方政府债券，防范财政风险；负责管理政府外债。</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6）参与拟订库尔勒市建设投资政策，制定库尔勒市基本建设财务管理制度，负责中央和自治区、自治州、库尔勒市政府性投资项目财政资金管理工作；拟订库尔勒市政府和社会资本合作（PPP）政策制度，承担规范管理工作；承担政策性补贴和专项储备资金财政管理工作；管理扶贫资金。</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7）贯彻执行国家行政事业单位国有资产管理法规、制度和方针政策，制定库尔勒市行政事业单位国有资产管理政策制度并组织实施，管理行政事业单位国有资产，履行行政事业单位国有资产购置、使用、处置监督审核职责；牵头编制库尔勒市国有资产管理情况报告；负责库尔勒市国有资产监管工作。</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（8）会同有关部门管理社会保障和就业及医疗卫生资金，会同库尔勒市有关部门共同监督执行社会保障资金（基金）政策和有关的财务管理制度，参与编制库尔勒市社会保险基金预决算工作。</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（9）负责审核和汇总编制国有资本经营预决算草案，制定国有资本经营预算的制度和办法，收取库尔勒市本级企业国有资本收益；组织实施企业财务制度，参与制定企业国有资产管理相关制度。</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（10）管理和指导全市会计工作，规范会计行为；组织执行国家统一的会计制度，制定补充规定并贯彻执行；组织管理会计人员的业务培训。</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11）监督检查财税法规、政策执行情况，反映财政收支管理中的重大问题，提出加强财政管理的政策建议；贯彻落实财政绩效管理政策制度，组织库尔勒市本级预算绩效管理工作；组织实施专项资金绩效考核工作；研究建立财政支出绩效评价制度和评价体系并组织实施；负责库尔勒市财政系统信息化建设规划并组织实施。</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12）履行库尔勒市国有金融资本出资人职责，负责国有金融资本集中统一管理，对相关金融机构，依法依规享有参与重大决策、选择管理者、享有收益等出资人权利；负责制定库尔勒市统一的国有金融资本管理规章制度；承担地方金融企业的国有资产和财务的监管工作；依法依规履行国有金融资本管理职责，负责组织实施基础管理、经营预算、绩效考核、负责人薪酬管理等工作。</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（13）完成市党委、市人民政府交办的其他任务。</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2.机构设置及人员情况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库尔勒市财政局部门无下属预算单位，机关设13个股室。（办公室、预算股、国库股、农业农村股、行政教科文股、经济建设股、社会保障股、企业股、资产监督管理股、会计股、综合股、国有资产监督管理股、金财办）</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库尔勒市财政局部门编制数88，实有人数164人，其中：在职77人，减少3人；退休87人，增加2人；离休0人，增加0人。</w:t>
      </w:r>
      <w:bookmarkStart w:id="0" w:name="_Hlk43849111"/>
      <w:bookmarkEnd w:id="0"/>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（二）</w:t>
      </w:r>
      <w:r>
        <w:rPr>
          <w:rFonts w:ascii="黑体" w:hAnsi="黑体" w:eastAsia="黑体" w:cs="宋体"/>
          <w:b/>
          <w:color w:val="000000" w:themeColor="text1"/>
          <w:sz w:val="32"/>
          <w:szCs w:val="32"/>
          <w:lang w:bidi="ar"/>
          <w14:textFill>
            <w14:solidFill>
              <w14:schemeClr w14:val="tx1"/>
            </w14:solidFill>
          </w14:textFill>
        </w:rPr>
        <w:t>部门单位年度重点工作：</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1.年度总体目标</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目标1：保障人员工资及时发放，加强财源建设，全面完成收入任务；优化支出结构，给力民生持续发展；</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目标2：保障机关工作正常运转目标；</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目标3：聘请第三方服务机构，指导库尔勒市对地方政府债务进行审计、法律服务咨询、预算绩效、预算公开、决算公开整体相关工作，提高我市上报工作；</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目标4： 解决10名炭黑公司退休人员及遗属安置费目标。</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2.重点工作计划</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1.切实兜牢“三保”保障责任。通过加强组织收入、积极争取上呼叫转移支付、用足用好增量资金等措施多方筹集资金，全面提高“三保”资金保障能力，足额保障2024年“三保”支出33.87亿元。</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2.管理全市 195个预算单位财政资金，持续做好 195个部门单位预算公开。</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3.新增政府债券2亿元，发行政府债券资金实施项目4个。</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4.积极向自治区、自治州政府申请救助，通过争取减少上解任务、减免部分专项转移支付配套资金等方式增加市级财力，保障支出需求。</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5.2024年拟按90%比例争取再融资债券额度63900万元(到期本金71100万元)。</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6.持续加强民生投入，重点支持乡村振兴、稳岗就业、教育文化卫生、安居保障等领域。</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7.增强国企核心竞争力。深化国资国企改革，加快推进国有企业转型发展，预计投资465720.00万元。</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8.优化支出结构，保障人员工资及时发放，加强财源建设，全面完成收入任务；给力民生持续发展；保障机关工作正常运转目标；聘请第三方服务机构，指导库尔勒市对地方政府债务进行审计、法律服务咨询、预算绩效、预算公开、决算公开整体相关工作，提高我市上报工作。</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9.解决10名炭黑公司退休人员及遗属安置费目标。</w:t>
      </w:r>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（三）</w:t>
      </w:r>
      <w:r>
        <w:rPr>
          <w:rFonts w:ascii="黑体" w:hAnsi="黑体" w:eastAsia="黑体" w:cs="宋体"/>
          <w:b/>
          <w:color w:val="000000" w:themeColor="text1"/>
          <w:sz w:val="32"/>
          <w:szCs w:val="32"/>
          <w:lang w:bidi="ar"/>
          <w14:textFill>
            <w14:solidFill>
              <w14:schemeClr w14:val="tx1"/>
            </w14:solidFill>
          </w14:textFill>
        </w:rPr>
        <w:t>部门单位整体预算规模及安排情况：</w:t>
      </w:r>
    </w:p>
    <w:p>
      <w:pPr>
        <w:spacing w:line="600" w:lineRule="exact"/>
        <w:ind w:firstLine="960" w:firstLineChars="300"/>
        <w:jc w:val="left"/>
        <w:rPr>
          <w:rFonts w:hint="eastAsia" w:ascii="仿宋_GB2312" w:hAnsi="宋体" w:eastAsia="仿宋_GB2312"/>
          <w:bCs/>
          <w:sz w:val="32"/>
          <w:szCs w:val="32"/>
        </w:rPr>
      </w:pPr>
      <w:r>
        <w:rPr>
          <w:rFonts w:hint="eastAsia" w:ascii="仿宋_GB2312" w:hAnsi="宋体" w:eastAsia="仿宋_GB2312"/>
          <w:bCs/>
          <w:sz w:val="32"/>
          <w:szCs w:val="32"/>
        </w:rPr>
        <w:t>2024年库尔勒市财政局年初预算安排3703.47万元，其中财政拨款3703.47万元，其他资金0万元，主要用于1.保障人员工资及时发放，加强财源建设，全面完成收入任务；优化支出结构，给力民生持续发展；2.保障机关工作正常运转目标；3.聘请第三方服务机构，指导库尔勒市对地方政府债务进行审计、法律服务咨询、预算绩效、预算公开、决算公开整体相关工作，提高我市上报工作；4.解决10名炭黑公司退休人员及遗属安置费目标。年中调整16866.73万元，调整后全年预算20570.2万元，预算调整率455.43%，调整预算的主要原因为：2024年给城建集团注资款18500万元。</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部门单位整体支出管理及使用情况：</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（一）部门单位整体支出管理情况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1.预算编制</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2024年我部门坚持围绕中心工作，科学谋划预算资金安排，依据规定程序和要求，及时完成部门预算编制申报，同时合理设定入库项目绩效指标、年度目标值，科学构建部门整体支出核心绩效指标体系和编报部门整体预算申请绩效报告，推动提高财政资金配置效益。认真做好2025年部门预算编制工作（基本支出预算及项目预算），做好2023年决算编报及公开工作，做好2023年度政府财务会计报告填报工作。</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2.预算执行</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库尔勒市财政局财政批复预算后，我局按要求及时制定并报批部门预算支出计划，严格落实预算执行定期分析机制，靠前抓好支出执行，坚持严肃财经纪律，硬化预算约束，持续树牢厉行节约理念，严控一般性支出，努力降低行政运行成本。继续控制好本部门“三公”经费开支，每月按时完成财务核算、记账及出纳银行存款对账工作，并同步做好会计档案整理归档。做好在职在编人员、退休人员、临聘人员工资变更、编辑及上报、年度绩效考核奖报批发放工作。</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3.绩效管理</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2024年，我部门严格按照财政要求，落实预算绩效管理全过程，包括①注重绩效目标编制，预算编制环节注重编细编实预算需求，科学选择绩效指标，合理设置绩效目标值，并严格按照财政统一要求，规范编制事前绩效报告，为财政资金发挥效益夯实基础。②落实绩效“双监控”，预算执行过程中，以年度支出计划为基础，定期分析预算执行和绩效目标落实情况，并依托财政预算绩效管理平台分5月、8月对预算执行动态进行实时监控，发现问题及时纠偏，确保绩效目标落地落实。③扎实开展自评工作，年度终了，扎实开展预算绩效目标完成情况部门审核和自评工作。</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4.信息公开</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我部门已按要求在库尔勒市人民政府门户网站公开部门预算信息，同步公开绩效目标表；在库尔勒市人民政府门户网站公开部门决算信息，同步公开自评表及自评报告。</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（二）部门单位整体支出使用情况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1.基本支出情况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2024年基本支出1817.06万元，包括工资福利支出1241.62万元，商品和服务支出326.49万元，对个人和家庭的补助239.60万元，资本性支出9.35万元。其中：“三公”经费支出8.98万元，比上年增加0万元，主要原因是“三公”经费与上年保持一致，没有变化。会议费支出0万元，比上年增加0万元，主要原因是本年没有安排会议费；培训费支出1.91万元，比上年减少3.04万元，主要原因是在职人员有所减少。</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2.专项资金支出情况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2024年专项项目支出18753.14万元，占总支出的91.17％，主要用于1.对城建集团注资18500万元，2.金融发展支出38.06万元，3.财政委托业务支出58.9万元，4.其他财政事务支出156.18万元。</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3.部门单位专项组织实施情况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年初我单位下发的上级专项、本级专项共计18753.14万元的工作计划，其中：为了提高国有资产经营收益，库尔勒市给城建集团注资18500万元；2023年度个体工商户小额贷款贴息38.06万元；委托第三方服务费58.9万元；2023年度自治州“五个好”标准化规范化党支部补助经费3万元；电费、水费、办公费、物业费等保运转类153.18万元。市财政局对项目的工作分工、任务分配、资金落实、完成时限等提出了明确、具体的要求，以确保项目保质、保量、按时完成。截至2024年12月31日，完成专项6个，未完成专项0个。</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为规范专项资金使用，提高专项资金使用效益，我单局主要采取四项措施。一是制订专项资金管理制度；二是各专项资金建立了专账；三是制定了项目实施方案；四是认真组织项目验收。切实保证专项资金都做到了专款专用。</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1）依据《关于印发&lt;自治区财政资金使用跟踪反馈管理暂行办法&gt;的通知》（新财预字【2016】113号）、《中华人民共和国预算法》等专项资金管理办法，各项资金使用审批流程均按规定办理。涉及“三重一大”内容，严格按照规定提请局党组会审议决定，包括项目资金分配、重大项目确定、大额资金支付等。</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（2）实行专款专用、严禁挤占挪用。加强对项目资金的预算执行及日常监督管理，确保每个项目按照规定的用途实施。</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 xml:space="preserve">    （3）严格执行《会计法》等财经法规，严格按照相关会计制度办理会计业务，进行会计核算，并做好会计记录，真实的反映项目资金管理情况，并接受财政、审批部门及上级主管部门的检查、监督。</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 xml:space="preserve">   （4）严格按预算管理要求使用资金，按进度和合同拨付资金，严格执行政府采购制度；严格执行国库集中支付制度，严防截留、挪用资金。认真组织所有项目验收，确保完成率100%。</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部门单位整体支出绩效分析：</w:t>
      </w:r>
    </w:p>
    <w:p>
      <w:pPr>
        <w:spacing w:line="600" w:lineRule="exact"/>
        <w:ind w:firstLine="800" w:firstLineChars="250"/>
        <w:jc w:val="left"/>
        <w:rPr>
          <w:rFonts w:ascii="仿宋_GB2312" w:hAnsi="宋体" w:eastAsia="仿宋_GB2312"/>
          <w:b/>
          <w:sz w:val="32"/>
          <w:szCs w:val="32"/>
        </w:rPr>
      </w:pPr>
      <w:r>
        <w:rPr>
          <w:rFonts w:hint="eastAsia" w:ascii="黑体" w:hAnsi="黑体" w:eastAsia="黑体" w:cs="宋体"/>
          <w:bCs/>
          <w:color w:val="333333"/>
          <w:sz w:val="32"/>
          <w:szCs w:val="32"/>
          <w:lang w:bidi="ar"/>
        </w:rPr>
        <w:t xml:space="preserve"> </w:t>
      </w:r>
      <w:r>
        <w:rPr>
          <w:rFonts w:hint="eastAsia" w:ascii="仿宋_GB2312" w:hAnsi="宋体" w:eastAsia="仿宋_GB2312"/>
          <w:bCs/>
          <w:sz w:val="32"/>
          <w:szCs w:val="32"/>
        </w:rPr>
        <w:t>（一）预算执行情况分析</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2024年财政局总支出20570.2万元，预算执行率100%，其中：一般公共服务支出（类）1953.83万元，社会保障和就业支出（类）245.10万元，卫生健康支出（类）75.14万元，城乡社区支出（类）13700万元，国有资本经营预算支出4444.76万元，住房保障支出（类）96.75万元，金融支出（类）38.06万元，教育支出（类）1.91万元，其他支出（类）14.65万元。</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1.基本支出使用情况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2024年，市财政局基本支出1817.06万元，占总支出的8.83％，其中：一般公共服务支出1383.51万元，社会保障和就业支出（类）245.10万元，卫生健康支出（类）75.14万元，住房保障支出（类）96.75万元，教育支出（类）1.91万元，其他支出（类）14.65万元。</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2.项目支出使用情况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2024年，市财政局项目支出18753.14万元，占总支出的91.17％。其中：一般公共服务支出570.32万元，城乡社区支出（类）13700万元，金融支出38.06万元，国有资本经营预算支出4444.76万元。</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（二）部门单位整体支出绩效指标完成情况分析</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年初我单位设置部门整体绩效目标中包括一级指标1个（履职效能），二级指标1个，三级指标6个，指标完成情况分析如下：</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1.履职效能</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（1）数量指标</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指标1：管理预算单位个数，指标值：&gt;=195个，年中监控完成值：193个，自评完成值：194个，指标完成率99.49%，偏差0.51%，偏差原因及改进措施：年初设置指标有误，个别单位有所调整，措施是提升年初指标设置精确度。指标成效分析：通过单位正常运转，规范了各预算单位资金管理水平。</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指标2：政府债券资金实施项目个数，指标值：&gt;=4个，年中监控完成值：0个，自评完成值：3个，指标完成率75%，偏差25%，偏差原因及改进措施：有的项目根据实际情况需要重新调整，改进措施是下一年进一步精确政府债券资金项目。指标成效分析：通过完成政府债券项目有效弥补财政缺口，对经济增长具有重要意义。</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指标3：预算公开单位数量，指标值：&gt;=195个，年中监控完成值：193个，自评完成值：194个，指标完成率99.49%，偏差0.51%，偏差原因及改进措施：年初设置指标有误，个别单位有所调整，措施是提升年初指标设置精确度。指标成效分析：预算公开规范了各预算单位资金管理水平，提高了预算管理的社会透明度。</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指标4：代付退休及遗属人员医保、津贴等费用人数，指标值：&gt;=10人，年中监控完成值：10人，自评完成值：10人，指标完成率100%，偏差0%，指标成效分析：顺利保障退休及遗属人员医保、津贴等费用，提升退休人员及遗属的生活幸福感。</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指标5：聘请第三方服务机构数量，指标值：&gt;=3家，年中监控完成值：2家，自评完成值：3家，指标完成率100%，偏差0%，指标成效分析：通过聘请第三方对各预算单位进行工作指导及审核，有效提升预算单位财务人员整体水平，规范了财政资金预算管理行为。</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指标6：足额保障“三保”支出金额，指标值&gt;=33.87亿元，年中监控完成值：16.95亿元，自评完成值：33.87亿元，指标完成率100%，偏差0%，指标成效分析：保障全市预算单位正常运转，切实扛起兜牢“三保”责任。</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评价结论：</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2024年度部门整体支出绩效评价综合得分100分，评价结果为“优”。</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存在的主要问题及原因分析：</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是思想理解有待提升。目前对自评工作的水准还不够，主要因为评价结果和预算安排尚未密切挂钩，对提升预算绩效管理的理解不到位。（二）是可操作性待增强。《绩效评价表》的“项目资金安排和使用情况”的个别指标填报口径不够明晰，绩效目标申报的时效性受资金下达时间的影响。（三）是工作措施需细化，成果应用待增强。绩效评价结果作为预算分配或调整的重要依据当前尚未执行到位。</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改进措施和建议：</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（一）是增强宣传培训和交流调研工作，计划举办系统</w:t>
      </w:r>
      <w:r>
        <w:rPr>
          <w:rFonts w:hint="eastAsia" w:ascii="仿宋_GB2312" w:hAnsi="宋体" w:eastAsia="仿宋_GB2312"/>
          <w:bCs/>
          <w:sz w:val="32"/>
          <w:szCs w:val="32"/>
        </w:rPr>
        <w:br w:type="textWrapping"/>
      </w:r>
      <w:r>
        <w:rPr>
          <w:rFonts w:hint="eastAsia" w:ascii="仿宋_GB2312" w:hAnsi="宋体" w:eastAsia="仿宋_GB2312"/>
          <w:bCs/>
          <w:sz w:val="32"/>
          <w:szCs w:val="32"/>
        </w:rPr>
        <w:t>预算绩效管理培训，修改完善预算绩效评价指标体系，展开预算绩效调研。（二）在今后制定项目预算工作中，我单位将提高对资源、产品市场行情的调研能力，将投资概算进一步精确化，提高项目预算资金执行率。（三）细化工作措施，提高增强应用成果，严格按照相应的业务管理制度审批程序和手续。</w:t>
      </w:r>
    </w:p>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AwZmYzMDUwNzhmYmVmMzNlY2I1MjAwNzI2NzY5MDUifQ=="/>
  </w:docVars>
  <w:rsids>
    <w:rsidRoot w:val="00EB3604"/>
    <w:rsid w:val="00021B05"/>
    <w:rsid w:val="000B791B"/>
    <w:rsid w:val="001C7F2C"/>
    <w:rsid w:val="00340E58"/>
    <w:rsid w:val="003E45AA"/>
    <w:rsid w:val="00486CD9"/>
    <w:rsid w:val="00584481"/>
    <w:rsid w:val="00653C1A"/>
    <w:rsid w:val="0072543F"/>
    <w:rsid w:val="007A5D83"/>
    <w:rsid w:val="007A798C"/>
    <w:rsid w:val="007B51CE"/>
    <w:rsid w:val="007D7702"/>
    <w:rsid w:val="007E47F4"/>
    <w:rsid w:val="007F0F7C"/>
    <w:rsid w:val="00892E0B"/>
    <w:rsid w:val="008F0DCE"/>
    <w:rsid w:val="00916058"/>
    <w:rsid w:val="00AB72C1"/>
    <w:rsid w:val="00C10BB4"/>
    <w:rsid w:val="00CE0C6C"/>
    <w:rsid w:val="00DB647F"/>
    <w:rsid w:val="00DC7E33"/>
    <w:rsid w:val="00E40ABD"/>
    <w:rsid w:val="00E8616A"/>
    <w:rsid w:val="00EB3604"/>
    <w:rsid w:val="020B07BA"/>
    <w:rsid w:val="02656D15"/>
    <w:rsid w:val="06696209"/>
    <w:rsid w:val="0D1922F1"/>
    <w:rsid w:val="10DF6E84"/>
    <w:rsid w:val="1438599A"/>
    <w:rsid w:val="200F4073"/>
    <w:rsid w:val="24B86128"/>
    <w:rsid w:val="4486104B"/>
    <w:rsid w:val="51C70EA9"/>
    <w:rsid w:val="54F842B6"/>
    <w:rsid w:val="64F5745B"/>
    <w:rsid w:val="656071F2"/>
    <w:rsid w:val="6BF1756B"/>
    <w:rsid w:val="6F5E1AA3"/>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57</Words>
  <Characters>328</Characters>
  <Lines>2</Lines>
  <Paragraphs>1</Paragraphs>
  <TotalTime>9</TotalTime>
  <ScaleCrop>false</ScaleCrop>
  <LinksUpToDate>false</LinksUpToDate>
  <CharactersWithSpaces>384</CharactersWithSpaces>
  <Application>WPS Office_11.8.2.8959_F1E327BC-269C-435d-A152-05C5408002CA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2020-06-04T05:22:00Z</dcterms:created>
  <dc:creator>hongbing liu</dc:creator>
  <cp:lastModifiedBy>LENOVO</cp:lastModifiedBy>
  <dcterms:modified xsi:type="dcterms:W3CDTF">2025-08-12T11:30:44Z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y fmtid="{D5CDD505-2E9C-101B-9397-08002B2CF9AE}" pid="3" name="ICV">
    <vt:lpwstr>4E2A216151A24EE5A190066F518526B7</vt:lpwstr>
  </property>
</Properties>
</file>