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库尔勒市财政局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2024年度部门决算公开说明</w:t>
      </w:r>
    </w:p>
    <w:p>
      <w:pPr>
        <w:keepNext w:val="0"/>
        <w:keepLines w:val="0"/>
        <w:pageBreakBefore w:val="0"/>
        <w:widowControl w:val="0"/>
        <w:kinsoku/>
        <w:wordWrap/>
        <w:overflowPunct/>
        <w:topLinePunct w:val="0"/>
        <w:bidi w:val="0"/>
        <w:adjustRightInd/>
        <w:snapToGrid/>
        <w:spacing w:line="240" w:lineRule="auto"/>
        <w:jc w:val="center"/>
        <w:textAlignment w:val="auto"/>
      </w:pPr>
      <w:r>
        <w:rPr>
          <w:rFonts w:hint="eastAsia" w:ascii="方正小标宋_GBK" w:hAnsi="宋体" w:eastAsia="方正小标宋_GBK" w:cs="Times New Roman"/>
          <w:kern w:val="2"/>
          <w:sz w:val="44"/>
          <w:szCs w:val="44"/>
          <w:highlight w:val="none"/>
          <w:lang w:val="en-US" w:eastAsia="zh-CN" w:bidi="ar-SA"/>
        </w:rPr>
        <w:br w:type="page"/>
      </w:r>
    </w:p>
    <w:p>
      <w:pPr>
        <w:widowControl/>
        <w:spacing w:before="0" w:beforeLines="0" w:beforeAutospacing="0" w:after="0" w:afterLines="0" w:afterAutospacing="0" w:line="240" w:lineRule="auto"/>
        <w:jc w:val="center"/>
        <w:rPr>
          <w:rFonts w:ascii="黑体" w:eastAsia="黑体"/>
          <w:sz w:val="32"/>
          <w:szCs w:val="32"/>
        </w:rPr>
      </w:pPr>
      <w:r>
        <w:rPr>
          <w:rFonts w:hint="eastAsia" w:ascii="仿宋_GB2312" w:hAnsi="仿宋_GB2312" w:eastAsia="仿宋_GB2312" w:cs="仿宋_GB2312"/>
          <w:b/>
          <w:bCs w:val="0"/>
          <w:kern w:val="0"/>
          <w:sz w:val="36"/>
          <w:szCs w:val="36"/>
          <w:highlight w:val="none"/>
          <w:lang w:val="en-US" w:eastAsia="zh-CN" w:bidi="ar-SA"/>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hint="eastAsia" w:ascii="仿宋_GB2312" w:hAnsi="仿宋_GB2312" w:eastAsia="仿宋_GB2312" w:cs="仿宋_GB2312"/>
          <w:b/>
          <w:bCs/>
          <w:kern w:val="2"/>
          <w:sz w:val="32"/>
          <w:szCs w:val="32"/>
          <w:highlight w:val="none"/>
          <w:lang w:val="en-US" w:eastAsia="zh-CN" w:bidi="ar-SA"/>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keepNext w:val="0"/>
        <w:keepLines w:val="0"/>
        <w:pageBreakBefore w:val="0"/>
        <w:widowControl w:val="0"/>
        <w:kinsoku/>
        <w:wordWrap/>
        <w:overflowPunct/>
        <w:topLinePunct w:val="0"/>
        <w:autoSpaceDE/>
        <w:autoSpaceDN/>
        <w:bidi w:val="0"/>
        <w:adjustRightInd/>
        <w:snapToGrid/>
        <w:ind w:left="0" w:leftChars="0"/>
        <w:jc w:val="center"/>
        <w:textAlignment w:val="auto"/>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第一部分 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pStyle w:val="6"/>
        <w:spacing w:line="560" w:lineRule="exact"/>
        <w:ind w:firstLine="56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库尔勒市财政局（以下简称市财政局）是市人民政府工作部门，为正科级，加挂国有资产监督管理委员会牌子。市财政局贯彻落实党中央关于财经工作的方针政策和决策部署，以及自治区、自治州、市党委的工作要求，在履行职责过程中坚持和加强党对财政工作的集中统一领导。主要职责是：</w:t>
      </w:r>
    </w:p>
    <w:p>
      <w:pPr>
        <w:pStyle w:val="6"/>
        <w:spacing w:line="560" w:lineRule="exact"/>
        <w:ind w:firstLine="56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（1）拟订库尔勒市财政发展战略、中长期财政规划和改革方案并组织实施；负责分析预测宏观经济形势，参与制订宏观经济政策，提出运用财税政策实施宏观经济调控和综合平衡社会财力的建议；</w:t>
      </w:r>
    </w:p>
    <w:p>
      <w:pPr>
        <w:pStyle w:val="6"/>
        <w:spacing w:line="560" w:lineRule="exact"/>
        <w:ind w:firstLine="56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承担库尔勒市各项财政收支管理责任；负责编制库尔勒市本级预决算草案并组织执行；受市人民政府委托向市人民代表大会报告预算及执行情况，向市人大常委会报告决算；组织制定经费开支标准、定额，负责财政预决算工作；</w:t>
      </w:r>
    </w:p>
    <w:p>
      <w:pPr>
        <w:pStyle w:val="6"/>
        <w:spacing w:line="560" w:lineRule="exact"/>
        <w:ind w:firstLine="56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（3）组织制订地方收入计划，负责协调、组织税收和非税收入的征收管理工作。负责政府性基金管理；负责行政事业性收费立项和标准管理；管理彩票资金；</w:t>
      </w:r>
    </w:p>
    <w:p>
      <w:pPr>
        <w:pStyle w:val="6"/>
        <w:spacing w:line="560" w:lineRule="exact"/>
        <w:ind w:firstLine="56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4）组织制订库尔勒市国库管理制度、国库集中收付制度，管理库尔勒市国库现金，监督管理地方国库资金缴拨使用；负责制定库尔勒市政府采购制度并监督管理；研究拟订政府购买服务制度和政策并组织实施；管理库尔勒市财政统一发放工资工作；</w:t>
      </w:r>
    </w:p>
    <w:p>
      <w:pPr>
        <w:pStyle w:val="6"/>
        <w:spacing w:line="560" w:lineRule="exact"/>
        <w:ind w:firstLine="56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（5）拟订和执行地方政府性债务管理制度和办法，负责组织申报自治区地方政府债券代理发行工作；管理地方政府债券，防范财政风险；负责管理政府外债；</w:t>
      </w:r>
    </w:p>
    <w:p>
      <w:pPr>
        <w:pStyle w:val="6"/>
        <w:spacing w:line="560" w:lineRule="exact"/>
        <w:ind w:firstLine="56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6）参与拟订库尔勒市建设投资政策，制定库尔勒市基本建设财务管理制度，负责中央和自治区、自治州、库尔勒市政府性投资项目财政资金管理工作；拟订库尔勒市政府和社会资本合作（PPP）政策制度，承担规范管理工作；承担政策性补贴和专项储备资金财政管理工作；管理扶贫资金；</w:t>
      </w:r>
    </w:p>
    <w:p>
      <w:pPr>
        <w:pStyle w:val="6"/>
        <w:spacing w:line="560" w:lineRule="exact"/>
        <w:ind w:firstLine="56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7）贯彻执行国家行政事业单位国有资产管理法规、制度和方针政策，制定库尔勒市行政事业单位国有资产管理政策制度并组织实施，管理行政事业单位国有资产，履行行政事业单位国有资产购置、使用、处置监督审核职责；牵头编制库尔勒市国有资产管理情况报告；负责库尔勒市国有资产监管工作；</w:t>
      </w:r>
    </w:p>
    <w:p>
      <w:pPr>
        <w:pStyle w:val="6"/>
        <w:spacing w:line="560" w:lineRule="exact"/>
        <w:ind w:firstLine="56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（8）会同有关部门管理社会保障和就业及医疗卫生资金，会同库尔勒市有关部门共同监督执行社会保障资金（基金）政策和有关的财务管理制度，参与编制库尔勒市社会保险基金预决算工作；</w:t>
      </w:r>
    </w:p>
    <w:p>
      <w:pPr>
        <w:pStyle w:val="6"/>
        <w:spacing w:line="560" w:lineRule="exact"/>
        <w:ind w:firstLine="56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（9）负责审核和汇总编制国有资本经营预决算草案，制定国有资本经营预算的制度和办法，收取库尔勒市本级企业国有资本收益；组织实施企业财务制度，参与制定企业国有资产管理相关制度；</w:t>
      </w:r>
    </w:p>
    <w:p>
      <w:pPr>
        <w:pStyle w:val="6"/>
        <w:spacing w:line="560" w:lineRule="exact"/>
        <w:ind w:firstLine="56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（10）管理和指导全市会计工作，规范会计行为；组织执行国家统一的会计制度，制定补充规定并贯彻执行；组织管理会计人员的业务培训；</w:t>
      </w:r>
    </w:p>
    <w:p>
      <w:pPr>
        <w:pStyle w:val="6"/>
        <w:spacing w:line="560" w:lineRule="exact"/>
        <w:ind w:firstLine="56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11）监督检查财税法规、政策执行情况，反映财政收支管理中的重大问题，提出加强财政管理的政策建议；贯彻落实财政绩效管理政策制度，组织库尔勒市本级预算绩效管理工作；组织实施专项资金绩效考核工作；研究建立财政支出绩效评价制度和评价体系并组织实施；负责库尔勒市财政系统信息化建设规划并组织实施；</w:t>
      </w:r>
    </w:p>
    <w:p>
      <w:pPr>
        <w:pStyle w:val="6"/>
        <w:spacing w:line="560" w:lineRule="exact"/>
        <w:ind w:firstLine="56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12）履行库尔勒市国有金融资本出资人职责，负责国有金融资本集中统一管理，对相关金融机构，依法依规享有参与重大决策、选择管理者、享有收益等出资人权利；负责制定库尔勒市统一的国有金融资本管理规章制度；承担地方金融企业的国有资产和财务的监管工作；依法依规履行国有金融资本管理职责，负责组织实施基础管理、经营预算、绩效考核、负责人薪酬管理等工作；</w:t>
      </w:r>
    </w:p>
    <w:p>
      <w:pPr>
        <w:pStyle w:val="6"/>
        <w:spacing w:line="560" w:lineRule="exact"/>
        <w:ind w:firstLine="56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（13）完成市党委、市人民政府交办的其他任务。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库尔勒市财政局2024年度，实有人数162人，其中：在职人员75人，减少2人；离休人员0人，较上年无变化；退休人员87人，增加2人。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hAnsi="黑体" w:eastAsia="仿宋_GB2312" w:cs="宋体"/>
          <w:bCs/>
          <w:kern w:val="0"/>
          <w:sz w:val="32"/>
          <w:szCs w:val="32"/>
          <w:highlight w:val="none"/>
        </w:rPr>
        <w:t>单位无下属预算单位，下设</w:t>
      </w:r>
      <w:r>
        <w:rPr>
          <w:rFonts w:hint="eastAsia" w:ascii="仿宋_GB2312" w:eastAsia="仿宋_GB2312"/>
          <w:sz w:val="32"/>
          <w:szCs w:val="32"/>
          <w:highlight w:val="none"/>
          <w:lang w:val="en-US" w:eastAsia="zh-CN"/>
        </w:rPr>
        <w:t>13</w:t>
      </w:r>
      <w:r>
        <w:rPr>
          <w:rFonts w:hint="eastAsia" w:ascii="仿宋_GB2312" w:hAnsi="黑体" w:eastAsia="仿宋_GB2312" w:cs="宋体"/>
          <w:bCs/>
          <w:kern w:val="0"/>
          <w:sz w:val="32"/>
          <w:szCs w:val="32"/>
          <w:highlight w:val="none"/>
        </w:rPr>
        <w:t>个</w:t>
      </w:r>
      <w:r>
        <w:rPr>
          <w:rFonts w:hint="eastAsia" w:ascii="仿宋_GB2312" w:hAnsi="黑体" w:eastAsia="仿宋_GB2312" w:cs="宋体"/>
          <w:bCs/>
          <w:color w:val="auto"/>
          <w:kern w:val="0"/>
          <w:sz w:val="32"/>
          <w:szCs w:val="32"/>
          <w:highlight w:val="none"/>
          <w:lang w:val="en-US" w:eastAsia="zh-CN"/>
        </w:rPr>
        <w:t>科室</w:t>
      </w:r>
      <w:r>
        <w:rPr>
          <w:rFonts w:hint="eastAsia" w:ascii="仿宋_GB2312" w:hAnsi="黑体" w:eastAsia="仿宋_GB2312" w:cs="宋体"/>
          <w:bCs/>
          <w:kern w:val="0"/>
          <w:sz w:val="32"/>
          <w:szCs w:val="32"/>
          <w:highlight w:val="none"/>
        </w:rPr>
        <w:t>，分别是：办公室、预算股、国库股、农业农村股、行政教科文股、经济建设股、社会保障股、企业股、资产监督管理股、会计股、综合股、国有资产监督管理股、金财办</w:t>
      </w:r>
      <w:r>
        <w:rPr>
          <w:rFonts w:hint="eastAsia" w:ascii="仿宋_GB2312" w:hAnsi="宋体" w:eastAsia="仿宋_GB2312" w:cs="宋体"/>
          <w:kern w:val="0"/>
          <w:sz w:val="32"/>
          <w:szCs w:val="32"/>
          <w:highlight w:val="none"/>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w:t>
      </w:r>
      <w:r>
        <w:rPr>
          <w:rFonts w:hint="eastAsia" w:ascii="黑体" w:eastAsia="黑体"/>
          <w:b w:val="0"/>
          <w:sz w:val="32"/>
          <w:szCs w:val="32"/>
          <w:lang w:val="en-US" w:eastAsia="zh-CN"/>
        </w:rPr>
        <w:t xml:space="preserve"> </w:t>
      </w:r>
      <w:r>
        <w:rPr>
          <w:rFonts w:ascii="黑体" w:eastAsia="黑体"/>
          <w:b w:val="0"/>
          <w:sz w:val="32"/>
          <w:szCs w:val="32"/>
        </w:rPr>
        <w:t>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hint="eastAsia" w:ascii="仿宋_GB2312" w:hAnsi="Times New Roman" w:eastAsia="仿宋_GB2312" w:cs="Times New Roman"/>
          <w:b/>
          <w:bCs/>
          <w:spacing w:val="0"/>
          <w:kern w:val="2"/>
          <w:sz w:val="32"/>
          <w:szCs w:val="32"/>
          <w:highlight w:val="none"/>
          <w:lang w:val="en-US" w:eastAsia="zh-CN" w:bidi="ar-SA"/>
        </w:rPr>
        <w:t>2024年度收入总计20,570.20万元，</w:t>
      </w:r>
      <w:r>
        <w:rPr>
          <w:rFonts w:ascii="仿宋_GB2312" w:eastAsia="仿宋_GB2312"/>
          <w:b w:val="0"/>
          <w:sz w:val="32"/>
          <w:szCs w:val="32"/>
        </w:rPr>
        <w:t>其中：本年收入合计20,570.20万元，使用非财政拨款结余（含专用结余）0.00万元，年初结转和结余0.00万元。</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hint="eastAsia" w:ascii="仿宋_GB2312" w:hAnsi="Times New Roman" w:eastAsia="仿宋_GB2312" w:cs="Times New Roman"/>
          <w:b/>
          <w:bCs/>
          <w:spacing w:val="0"/>
          <w:kern w:val="2"/>
          <w:sz w:val="32"/>
          <w:szCs w:val="32"/>
          <w:highlight w:val="none"/>
          <w:lang w:val="en-US" w:eastAsia="zh-CN" w:bidi="ar-SA"/>
        </w:rPr>
        <w:t>2024年度支出总计20,570.20万元，</w:t>
      </w:r>
      <w:r>
        <w:rPr>
          <w:rFonts w:ascii="仿宋_GB2312" w:eastAsia="仿宋_GB2312"/>
          <w:b w:val="0"/>
          <w:sz w:val="32"/>
          <w:szCs w:val="32"/>
        </w:rPr>
        <w:t>其中：本年支出合计20,570.20万元，结余分配0.00万元，年末结转和结余0.00万元。</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hint="eastAsia" w:ascii="仿宋_GB2312" w:hAnsi="仿宋_GB2312" w:eastAsia="仿宋_GB2312" w:cs="仿宋_GB2312"/>
          <w:b/>
          <w:bCs w:val="0"/>
          <w:kern w:val="0"/>
          <w:sz w:val="32"/>
          <w:szCs w:val="32"/>
          <w:highlight w:val="none"/>
          <w:lang w:val="en-US" w:eastAsia="zh-CN" w:bidi="ar-SA"/>
        </w:rPr>
        <w:t>收入支出总体与上年相比，</w:t>
      </w:r>
      <w:r>
        <w:rPr>
          <w:rFonts w:ascii="仿宋_GB2312" w:eastAsia="仿宋_GB2312"/>
          <w:b w:val="0"/>
          <w:sz w:val="32"/>
          <w:szCs w:val="32"/>
        </w:rPr>
        <w:t>增加17,455.18万元，增长560.36%，主要原因是：</w:t>
      </w:r>
      <w:r>
        <w:rPr>
          <w:rFonts w:hint="eastAsia" w:ascii="仿宋_GB2312" w:eastAsia="仿宋_GB2312"/>
          <w:b w:val="0"/>
          <w:sz w:val="32"/>
          <w:szCs w:val="32"/>
          <w:lang w:val="en-US" w:eastAsia="zh-CN"/>
        </w:rPr>
        <w:t>2024年注资城建集团等国有企业18550万元</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hint="eastAsia" w:ascii="仿宋_GB2312" w:hAnsi="Times New Roman" w:eastAsia="仿宋_GB2312" w:cs="Times New Roman"/>
          <w:b/>
          <w:bCs/>
          <w:kern w:val="2"/>
          <w:sz w:val="32"/>
          <w:szCs w:val="32"/>
          <w:highlight w:val="none"/>
          <w:lang w:val="en-US" w:eastAsia="zh-CN" w:bidi="ar-SA"/>
        </w:rPr>
        <w:t>本年收入20,570.20万元，</w:t>
      </w:r>
      <w:r>
        <w:rPr>
          <w:rFonts w:ascii="仿宋_GB2312" w:eastAsia="仿宋_GB2312"/>
          <w:b w:val="0"/>
          <w:sz w:val="32"/>
          <w:szCs w:val="32"/>
        </w:rPr>
        <w:t>其中：财政拨款收入20,570.20万元,占100.00%；上级补助收入0.00万元,占0.00%；事业收入0.00万元，占0.00%；经营收入0.00万元,占0.00%；附属单位上缴收入0.00万元，占0.00%；其他收入0.00万元，占0.00%。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hint="eastAsia" w:ascii="仿宋_GB2312" w:hAnsi="Times New Roman" w:eastAsia="仿宋_GB2312" w:cs="Times New Roman"/>
          <w:b/>
          <w:bCs/>
          <w:kern w:val="2"/>
          <w:sz w:val="32"/>
          <w:szCs w:val="32"/>
          <w:highlight w:val="none"/>
          <w:lang w:val="en-US" w:eastAsia="zh-CN" w:bidi="ar-SA"/>
        </w:rPr>
        <w:t>本年支出20,570.20万元，</w:t>
      </w:r>
      <w:r>
        <w:rPr>
          <w:rFonts w:ascii="仿宋_GB2312" w:eastAsia="仿宋_GB2312"/>
          <w:b w:val="0"/>
          <w:sz w:val="32"/>
          <w:szCs w:val="32"/>
        </w:rPr>
        <w:t>其中：基本支出1,817.06万元，占8.83%；项目支出18,753.14万元，占91.17%；上缴上级支出0.00万元，占0.00%；经营支出0.00万元，占0.00%；对附属单位补助支出0.00万元，占0.00%。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hint="eastAsia" w:ascii="仿宋_GB2312" w:hAnsi="Times New Roman" w:eastAsia="仿宋_GB2312" w:cs="Times New Roman"/>
          <w:b/>
          <w:bCs/>
          <w:kern w:val="2"/>
          <w:sz w:val="32"/>
          <w:szCs w:val="32"/>
          <w:highlight w:val="none"/>
          <w:lang w:val="en-US" w:eastAsia="zh-CN" w:bidi="ar-SA"/>
        </w:rPr>
        <w:t>2024年度财政拨款收入总计20,570.20万元，</w:t>
      </w:r>
      <w:r>
        <w:rPr>
          <w:rFonts w:ascii="仿宋_GB2312" w:eastAsia="仿宋_GB2312"/>
          <w:b w:val="0"/>
          <w:sz w:val="32"/>
          <w:szCs w:val="32"/>
        </w:rPr>
        <w:t>其中：年初财政拨款结转和结余0.00万元，本年财政拨款收入20,570.20万元。</w:t>
      </w:r>
      <w:r>
        <w:rPr>
          <w:rFonts w:hint="eastAsia" w:ascii="仿宋_GB2312" w:hAnsi="Times New Roman" w:eastAsia="仿宋_GB2312" w:cs="Times New Roman"/>
          <w:b/>
          <w:bCs/>
          <w:kern w:val="2"/>
          <w:sz w:val="32"/>
          <w:szCs w:val="32"/>
          <w:highlight w:val="none"/>
          <w:lang w:val="en-US" w:eastAsia="zh-CN" w:bidi="ar-SA"/>
        </w:rPr>
        <w:t>财政拨款支出总计20,570.20万元，</w:t>
      </w:r>
      <w:r>
        <w:rPr>
          <w:rFonts w:ascii="仿宋_GB2312" w:eastAsia="仿宋_GB2312"/>
          <w:b w:val="0"/>
          <w:sz w:val="32"/>
          <w:szCs w:val="32"/>
        </w:rPr>
        <w:t>其中：年末财政拨款结转和结余0.00万元，本年财政拨款支出20,570.20万元。</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hint="eastAsia" w:ascii="仿宋_GB2312" w:hAnsi="仿宋_GB2312" w:eastAsia="仿宋_GB2312" w:cs="仿宋_GB2312"/>
          <w:b/>
          <w:bCs w:val="0"/>
          <w:kern w:val="0"/>
          <w:sz w:val="32"/>
          <w:szCs w:val="32"/>
          <w:highlight w:val="none"/>
          <w:lang w:val="en-US" w:eastAsia="zh-CN" w:bidi="ar-SA"/>
        </w:rPr>
        <w:t>财政拨款收入支出总体与上年相比，</w:t>
      </w:r>
      <w:r>
        <w:rPr>
          <w:rFonts w:ascii="仿宋_GB2312" w:eastAsia="仿宋_GB2312"/>
          <w:b w:val="0"/>
          <w:sz w:val="32"/>
          <w:szCs w:val="32"/>
        </w:rPr>
        <w:t>增加17,455.18万元，增长560.36%，主要原因是：</w:t>
      </w:r>
      <w:r>
        <w:rPr>
          <w:rFonts w:hint="eastAsia" w:ascii="仿宋_GB2312" w:eastAsia="仿宋_GB2312"/>
          <w:b w:val="0"/>
          <w:sz w:val="32"/>
          <w:szCs w:val="32"/>
          <w:lang w:val="en-US" w:eastAsia="zh-CN"/>
        </w:rPr>
        <w:t>2024年注资城建集团等国有企业18550万元</w:t>
      </w:r>
      <w:r>
        <w:rPr>
          <w:rFonts w:ascii="仿宋_GB2312" w:eastAsia="仿宋_GB2312"/>
          <w:b w:val="0"/>
          <w:sz w:val="32"/>
          <w:szCs w:val="32"/>
        </w:rPr>
        <w:t>。</w:t>
      </w:r>
      <w:r>
        <w:rPr>
          <w:rFonts w:hint="eastAsia" w:ascii="仿宋_GB2312" w:hAnsi="Times New Roman" w:eastAsia="仿宋_GB2312" w:cs="Times New Roman"/>
          <w:b/>
          <w:bCs/>
          <w:kern w:val="2"/>
          <w:sz w:val="32"/>
          <w:szCs w:val="32"/>
          <w:highlight w:val="none"/>
          <w:lang w:val="en-US" w:eastAsia="zh-CN" w:bidi="ar-SA"/>
        </w:rPr>
        <w:t>与年初预算相比，</w:t>
      </w:r>
      <w:r>
        <w:rPr>
          <w:rFonts w:ascii="仿宋_GB2312" w:eastAsia="仿宋_GB2312"/>
          <w:b w:val="0"/>
          <w:sz w:val="32"/>
          <w:szCs w:val="32"/>
        </w:rPr>
        <w:t>年初预算数3,703.47万元，决算数20,570.20万元，预决算差异率455.43%，主要原因是：</w:t>
      </w:r>
      <w:r>
        <w:rPr>
          <w:rFonts w:hint="eastAsia" w:ascii="仿宋_GB2312" w:eastAsia="仿宋_GB2312"/>
          <w:b w:val="0"/>
          <w:sz w:val="32"/>
          <w:szCs w:val="32"/>
          <w:lang w:val="en-US" w:eastAsia="zh-CN"/>
        </w:rPr>
        <w:t>2024年调整预算，注资城建集团等国有企业18550万元</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hint="eastAsia" w:ascii="仿宋_GB2312" w:hAnsi="Times New Roman" w:eastAsia="仿宋_GB2312" w:cs="Times New Roman"/>
          <w:b/>
          <w:bCs/>
          <w:spacing w:val="0"/>
          <w:kern w:val="2"/>
          <w:sz w:val="32"/>
          <w:szCs w:val="32"/>
          <w:highlight w:val="none"/>
          <w:lang w:val="en-US" w:eastAsia="zh-CN" w:bidi="ar-SA"/>
        </w:rPr>
        <w:t>2024年度一般公共预算财政拨款支出16,125.44万元，</w:t>
      </w:r>
      <w:r>
        <w:rPr>
          <w:rFonts w:ascii="仿宋_GB2312" w:eastAsia="仿宋_GB2312"/>
          <w:b w:val="0"/>
          <w:sz w:val="32"/>
          <w:szCs w:val="32"/>
        </w:rPr>
        <w:t>占本年支出合计的78.39%。</w:t>
      </w:r>
      <w:r>
        <w:rPr>
          <w:rFonts w:hint="eastAsia" w:ascii="仿宋_GB2312" w:hAnsi="Times New Roman" w:eastAsia="仿宋_GB2312" w:cs="Times New Roman"/>
          <w:b/>
          <w:bCs/>
          <w:spacing w:val="0"/>
          <w:kern w:val="2"/>
          <w:sz w:val="32"/>
          <w:szCs w:val="32"/>
          <w:highlight w:val="none"/>
          <w:lang w:val="en-US" w:eastAsia="zh-CN" w:bidi="ar-SA"/>
        </w:rPr>
        <w:t>与上年相比，</w:t>
      </w:r>
      <w:r>
        <w:rPr>
          <w:rFonts w:ascii="仿宋_GB2312" w:eastAsia="仿宋_GB2312"/>
          <w:b w:val="0"/>
          <w:sz w:val="32"/>
          <w:szCs w:val="32"/>
        </w:rPr>
        <w:t>增加14,162.44万元，增长721.47%，主要原因是：</w:t>
      </w:r>
      <w:r>
        <w:rPr>
          <w:rFonts w:hint="eastAsia" w:ascii="仿宋_GB2312" w:eastAsia="仿宋_GB2312"/>
          <w:b w:val="0"/>
          <w:sz w:val="32"/>
          <w:szCs w:val="32"/>
          <w:lang w:eastAsia="zh-CN"/>
        </w:rPr>
        <w:t>安排一般公共预算资金注资城建集团等国有企业</w:t>
      </w:r>
      <w:r>
        <w:rPr>
          <w:rFonts w:hint="eastAsia" w:ascii="仿宋_GB2312" w:eastAsia="仿宋_GB2312"/>
          <w:b w:val="0"/>
          <w:sz w:val="32"/>
          <w:szCs w:val="32"/>
          <w:lang w:val="en-US" w:eastAsia="zh-CN"/>
        </w:rPr>
        <w:t>14105万元</w:t>
      </w:r>
      <w:r>
        <w:rPr>
          <w:rFonts w:ascii="仿宋_GB2312" w:eastAsia="仿宋_GB2312"/>
          <w:b w:val="0"/>
          <w:sz w:val="32"/>
          <w:szCs w:val="32"/>
        </w:rPr>
        <w:t>。</w:t>
      </w:r>
      <w:r>
        <w:rPr>
          <w:rFonts w:hint="eastAsia" w:ascii="仿宋_GB2312" w:hAnsi="Times New Roman" w:eastAsia="仿宋_GB2312" w:cs="Times New Roman"/>
          <w:b/>
          <w:bCs/>
          <w:kern w:val="2"/>
          <w:sz w:val="32"/>
          <w:szCs w:val="32"/>
          <w:highlight w:val="none"/>
          <w:lang w:val="en-US" w:eastAsia="zh-CN" w:bidi="ar-SA"/>
        </w:rPr>
        <w:t>与年初预算相比，</w:t>
      </w:r>
      <w:r>
        <w:rPr>
          <w:rFonts w:ascii="仿宋_GB2312" w:eastAsia="仿宋_GB2312"/>
          <w:b w:val="0"/>
          <w:sz w:val="32"/>
          <w:szCs w:val="32"/>
        </w:rPr>
        <w:t>年初预算数1,917.65万元，决算数16,125.44万元，预决算差异率740.90%，主要原因是：</w:t>
      </w:r>
      <w:r>
        <w:rPr>
          <w:rFonts w:hint="eastAsia" w:ascii="仿宋_GB2312" w:eastAsia="仿宋_GB2312"/>
          <w:b w:val="0"/>
          <w:sz w:val="32"/>
          <w:szCs w:val="32"/>
          <w:lang w:eastAsia="zh-CN"/>
        </w:rPr>
        <w:t>安排一般公共预算资金注资城建集团等国有企业</w:t>
      </w:r>
      <w:r>
        <w:rPr>
          <w:rFonts w:hint="eastAsia" w:ascii="仿宋_GB2312" w:eastAsia="仿宋_GB2312"/>
          <w:b w:val="0"/>
          <w:sz w:val="32"/>
          <w:szCs w:val="32"/>
          <w:lang w:val="en-US" w:eastAsia="zh-CN"/>
        </w:rPr>
        <w:t>14105万元</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一般公共服务支出（类）1,953.83万元，占12.12%。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教育支出（类）1.91万元，占0.01%。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社会保障和就业支出（类）245.09万元，占1.52%。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卫生健康支出（类）75.14万元，占0.47%。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城乡社区支出（类）13,700.00万元，占84.96%。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金融支出（类）38.06万元，占0.24%。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住房保障支出（类）96.75万元，占0.60%。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其他支出（类）14.67万元，占0.09%。</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一般公共服务支出（类）财政事务（款）行政运行（项）：支出决算数为1,381.89万元，比上年决算增加211.06万元，增长18.03%，主要原因是：</w:t>
      </w:r>
      <w:r>
        <w:rPr>
          <w:rFonts w:hint="eastAsia" w:ascii="仿宋_GB2312" w:eastAsia="仿宋_GB2312"/>
          <w:b w:val="0"/>
          <w:sz w:val="32"/>
          <w:szCs w:val="32"/>
          <w:lang w:eastAsia="zh-CN"/>
        </w:rPr>
        <w:t>人员增加</w:t>
      </w:r>
      <w:r>
        <w:rPr>
          <w:rFonts w:hint="eastAsia" w:ascii="仿宋_GB2312" w:eastAsia="仿宋_GB2312"/>
          <w:b w:val="0"/>
          <w:sz w:val="32"/>
          <w:szCs w:val="32"/>
          <w:lang w:val="en-US" w:eastAsia="zh-CN"/>
        </w:rPr>
        <w:t>，2024年底调整工资。</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一般公共服务支出（类）财政事务（款）财政委托业务支出（项）：支出决算数为58.90万元，比上年决算减少17.76万元，下降23.17%，主要原因是：</w:t>
      </w:r>
      <w:r>
        <w:rPr>
          <w:rFonts w:hint="eastAsia" w:ascii="仿宋_GB2312" w:eastAsia="仿宋_GB2312"/>
          <w:b w:val="0"/>
          <w:sz w:val="32"/>
          <w:szCs w:val="32"/>
          <w:lang w:eastAsia="zh-CN"/>
        </w:rPr>
        <w:t>按进度支付委托业务费，</w:t>
      </w:r>
      <w:r>
        <w:rPr>
          <w:rFonts w:hint="eastAsia" w:ascii="仿宋_GB2312" w:eastAsia="仿宋_GB2312"/>
          <w:b w:val="0"/>
          <w:sz w:val="32"/>
          <w:szCs w:val="32"/>
          <w:lang w:val="en-US" w:eastAsia="zh-CN"/>
        </w:rPr>
        <w:t>2024年因项目未全部完成，实际支付数有所降低。</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val="en-US" w:eastAsia="zh-CN"/>
        </w:rPr>
      </w:pPr>
      <w:r>
        <w:rPr>
          <w:rFonts w:ascii="仿宋_GB2312" w:eastAsia="仿宋_GB2312"/>
          <w:b w:val="0"/>
          <w:sz w:val="32"/>
          <w:szCs w:val="32"/>
        </w:rPr>
        <w:t>一般公共服务支出（类）财政事务（款）其他财政事务支出（项）：支出决算数为508.42万元，比上年决算增加508.42万元，增长100.00%，主要原因是：</w:t>
      </w:r>
      <w:r>
        <w:rPr>
          <w:rFonts w:hint="eastAsia" w:ascii="仿宋_GB2312" w:eastAsia="仿宋_GB2312"/>
          <w:b w:val="0"/>
          <w:sz w:val="32"/>
          <w:szCs w:val="32"/>
          <w:lang w:val="en-US" w:eastAsia="zh-CN"/>
        </w:rPr>
        <w:t>2024年一部分注资款从</w:t>
      </w:r>
      <w:r>
        <w:rPr>
          <w:rFonts w:ascii="仿宋_GB2312" w:eastAsia="仿宋_GB2312"/>
          <w:b w:val="0"/>
          <w:sz w:val="32"/>
          <w:szCs w:val="32"/>
        </w:rPr>
        <w:t>其他财政事务支出</w:t>
      </w:r>
      <w:r>
        <w:rPr>
          <w:rFonts w:hint="eastAsia" w:ascii="仿宋_GB2312" w:eastAsia="仿宋_GB2312"/>
          <w:b w:val="0"/>
          <w:sz w:val="32"/>
          <w:szCs w:val="32"/>
          <w:lang w:eastAsia="zh-CN"/>
        </w:rPr>
        <w:t>中拨付。</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一般公共服务支出（类）组织事务（款）其他组织事务支出（项）：支出决算数为4.62万元，比上年决算增加1.62万元，增长54.00%，主要原因是：</w:t>
      </w:r>
      <w:r>
        <w:rPr>
          <w:rFonts w:hint="eastAsia" w:ascii="仿宋_GB2312" w:eastAsia="仿宋_GB2312"/>
          <w:b w:val="0"/>
          <w:sz w:val="32"/>
          <w:szCs w:val="32"/>
          <w:lang w:eastAsia="zh-CN"/>
        </w:rPr>
        <w:t>工作队为民办实事支付</w:t>
      </w:r>
      <w:r>
        <w:rPr>
          <w:rFonts w:hint="eastAsia" w:ascii="仿宋_GB2312" w:eastAsia="仿宋_GB2312"/>
          <w:b w:val="0"/>
          <w:sz w:val="32"/>
          <w:szCs w:val="32"/>
          <w:lang w:val="en-US" w:eastAsia="zh-CN"/>
        </w:rPr>
        <w:t>1.62万元。</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教育支出（类）进修及培训（款）培训支出（项）：支出决算数为1.91万元，比上年决算减少3.04万元，下降61.41%，主要原因是：</w:t>
      </w:r>
      <w:r>
        <w:rPr>
          <w:rFonts w:hint="eastAsia" w:ascii="仿宋_GB2312" w:eastAsia="仿宋_GB2312"/>
          <w:b w:val="0"/>
          <w:sz w:val="32"/>
          <w:szCs w:val="32"/>
          <w:lang w:val="en-US" w:eastAsia="zh-CN"/>
        </w:rPr>
        <w:t>2024年安排人员培训较2023年度减少。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社会保障和就业支出（类）行政事业单位养老支出（款）行政单位离退休（项）：支出决算数为68.00万元，比上年决算增加15.69万元，增长29.99%，主要原因是：</w:t>
      </w:r>
      <w:r>
        <w:rPr>
          <w:rFonts w:hint="eastAsia" w:ascii="仿宋_GB2312" w:eastAsia="仿宋_GB2312"/>
          <w:b w:val="0"/>
          <w:sz w:val="32"/>
          <w:szCs w:val="32"/>
          <w:lang w:eastAsia="zh-CN"/>
        </w:rPr>
        <w:t>退休人员增加，退休人员基础绩效奖调整。</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社会保障和就业支出（类）行政事业单位养老支出（款）机关事业单位基本养老保险缴费支出（项）：支出决算数为125.06万元，比上年决算增加14.56万元，增长13.18%，主要原因是：</w:t>
      </w:r>
      <w:r>
        <w:rPr>
          <w:rFonts w:hint="eastAsia" w:ascii="仿宋_GB2312" w:eastAsia="仿宋_GB2312"/>
          <w:b w:val="0"/>
          <w:sz w:val="32"/>
          <w:szCs w:val="32"/>
          <w:lang w:eastAsia="zh-CN"/>
        </w:rPr>
        <w:t>人员增加，工资调整后养老保险支出相应增加。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社会保障和就业支出（类）行政事业单位养老支出（款）机关事业单位职业年金缴费支出（项）：支出决算数为52.03万元，比上年决算增加39.14万元，增长303.65%，主要原因是：</w:t>
      </w:r>
      <w:r>
        <w:rPr>
          <w:rFonts w:hint="eastAsia" w:ascii="仿宋_GB2312" w:eastAsia="仿宋_GB2312"/>
          <w:b w:val="0"/>
          <w:sz w:val="32"/>
          <w:szCs w:val="32"/>
          <w:lang w:val="en-US" w:eastAsia="zh-CN"/>
        </w:rPr>
        <w:t>2024年退休人员比2023年度退休人员多，申请的职业年金相应增加。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卫生健康支出（类）行政事业单位医疗（款）行政单位医疗（项）：支出决算数为56.72万元，比上年决算增加3.47万元，增长6.52%，主要原因是：</w:t>
      </w:r>
      <w:r>
        <w:rPr>
          <w:rFonts w:hint="eastAsia" w:ascii="仿宋_GB2312" w:eastAsia="仿宋_GB2312"/>
          <w:b w:val="0"/>
          <w:sz w:val="32"/>
          <w:szCs w:val="32"/>
          <w:lang w:eastAsia="zh-CN"/>
        </w:rPr>
        <w:t>人员增加。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卫生健康支出（类）行政事业单位医疗（款）公务员医疗补助（项）：支出决算数为18.41万元，比上年决算增加1.44万元，增长8.49%，主要原因是：</w:t>
      </w:r>
      <w:r>
        <w:rPr>
          <w:rFonts w:hint="eastAsia" w:ascii="仿宋_GB2312" w:eastAsia="仿宋_GB2312"/>
          <w:b w:val="0"/>
          <w:sz w:val="32"/>
          <w:szCs w:val="32"/>
          <w:lang w:eastAsia="zh-CN"/>
        </w:rPr>
        <w:t>人员增加。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城乡社区支出（类）其他城乡社区支出（款）其他城乡社区支出（项）：支出决算数为13,700.00万元，比上年决算增加13,344.26万元，增长3,751.13%，主要原因是：</w:t>
      </w:r>
      <w:r>
        <w:rPr>
          <w:rFonts w:hint="eastAsia" w:ascii="仿宋_GB2312" w:eastAsia="仿宋_GB2312"/>
          <w:b w:val="0"/>
          <w:sz w:val="32"/>
          <w:szCs w:val="32"/>
          <w:lang w:val="en-US" w:eastAsia="zh-CN"/>
        </w:rPr>
        <w:t>2024年注资城建集团13700万元列支出。</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金融支出（类）金融发展支出（款）利息费用补贴支出（项）：支出决算数为38.06万元，比上年决算增加19.86万元，增长109.12%，主要原因是：</w:t>
      </w:r>
      <w:r>
        <w:rPr>
          <w:rFonts w:hint="eastAsia" w:ascii="仿宋_GB2312" w:eastAsia="仿宋_GB2312"/>
          <w:b w:val="0"/>
          <w:sz w:val="32"/>
          <w:szCs w:val="32"/>
          <w:lang w:val="en-US" w:eastAsia="zh-CN"/>
        </w:rPr>
        <w:t>2024年增加个体工商户小额贷款贴息。</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住房保障支出（类）住房改革支出（款）住房公积金（项）：支出决算数为96.75万元，比上年决算增加9.05万元，增长10.32%，主要原因是：</w:t>
      </w:r>
      <w:r>
        <w:rPr>
          <w:rFonts w:hint="eastAsia" w:ascii="仿宋_GB2312" w:eastAsia="仿宋_GB2312"/>
          <w:b w:val="0"/>
          <w:sz w:val="32"/>
          <w:szCs w:val="32"/>
          <w:lang w:eastAsia="zh-CN"/>
        </w:rPr>
        <w:t>人员增加。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其他支出（类）其他支出（款）其他支出（项）：支出决算数为14.67万元，比上年决算增加14.67万元，增长100.00%，主要原因是：</w:t>
      </w:r>
      <w:r>
        <w:rPr>
          <w:rFonts w:hint="eastAsia" w:ascii="仿宋_GB2312" w:eastAsia="仿宋_GB2312"/>
          <w:b w:val="0"/>
          <w:sz w:val="32"/>
          <w:szCs w:val="32"/>
          <w:lang w:eastAsia="zh-CN"/>
        </w:rPr>
        <w:t>工作队为民办实事支出</w:t>
      </w:r>
      <w:r>
        <w:rPr>
          <w:rFonts w:hint="eastAsia" w:ascii="仿宋_GB2312" w:eastAsia="仿宋_GB2312"/>
          <w:b w:val="0"/>
          <w:sz w:val="32"/>
          <w:szCs w:val="32"/>
          <w:lang w:val="en-US" w:eastAsia="zh-CN"/>
        </w:rPr>
        <w:t>14.67万元。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ascii="仿宋_GB2312" w:eastAsia="仿宋_GB2312"/>
          <w:sz w:val="32"/>
          <w:szCs w:val="32"/>
        </w:rPr>
      </w:pPr>
      <w:r>
        <w:rPr>
          <w:rFonts w:ascii="仿宋_GB2312" w:eastAsia="仿宋_GB2312"/>
          <w:b w:val="0"/>
          <w:sz w:val="32"/>
          <w:szCs w:val="32"/>
        </w:rPr>
        <w:t>2024年度一般公共预算财政拨款基本支出1,817.06万元，其中：</w:t>
      </w:r>
      <w:r>
        <w:rPr>
          <w:rFonts w:hint="eastAsia" w:ascii="仿宋_GB2312" w:hAnsi="Times New Roman" w:eastAsia="仿宋_GB2312" w:cs="Times New Roman"/>
          <w:b/>
          <w:bCs/>
          <w:kern w:val="2"/>
          <w:sz w:val="32"/>
          <w:szCs w:val="32"/>
          <w:highlight w:val="none"/>
          <w:lang w:val="en-US" w:eastAsia="zh-CN" w:bidi="ar-SA"/>
        </w:rPr>
        <w:t>人员经费1,481.23万元，</w:t>
      </w:r>
      <w:r>
        <w:rPr>
          <w:rFonts w:ascii="仿宋_GB2312" w:eastAsia="仿宋_GB2312"/>
          <w:b w:val="0"/>
          <w:sz w:val="32"/>
          <w:szCs w:val="32"/>
        </w:rPr>
        <w:t>包括：基本工资、津贴补贴、奖金、伙食补助费、机关事业单位基本养老保险缴费、职业年金缴费、职工基本医疗保险缴费、公务员医疗补助缴费、其他社会保障缴费、住房公积金</w:t>
      </w:r>
      <w:r>
        <w:rPr>
          <w:rFonts w:hint="eastAsia" w:ascii="仿宋_GB2312" w:eastAsia="仿宋_GB2312"/>
          <w:b w:val="0"/>
          <w:sz w:val="32"/>
          <w:szCs w:val="32"/>
          <w:highlight w:val="none"/>
          <w:lang w:eastAsia="zh-CN"/>
        </w:rPr>
        <w:t>、</w:t>
      </w:r>
      <w:r>
        <w:rPr>
          <w:rFonts w:ascii="仿宋_GB2312" w:eastAsia="仿宋_GB2312"/>
          <w:b w:val="0"/>
          <w:sz w:val="32"/>
          <w:szCs w:val="32"/>
        </w:rPr>
        <w:t>其他工资福利支出、退休费、抚恤金、生活补助和奖励金。</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hint="eastAsia" w:ascii="仿宋_GB2312" w:hAnsi="Times New Roman" w:eastAsia="仿宋_GB2312" w:cs="Times New Roman"/>
          <w:b/>
          <w:bCs/>
          <w:kern w:val="2"/>
          <w:sz w:val="32"/>
          <w:szCs w:val="32"/>
          <w:highlight w:val="none"/>
          <w:lang w:val="en-US" w:eastAsia="zh-CN" w:bidi="ar-SA"/>
        </w:rPr>
        <w:t>公用经费335.84万元，</w:t>
      </w:r>
      <w:r>
        <w:rPr>
          <w:rFonts w:ascii="仿宋_GB2312" w:eastAsia="仿宋_GB2312"/>
          <w:b w:val="0"/>
          <w:sz w:val="32"/>
          <w:szCs w:val="32"/>
        </w:rPr>
        <w:t>包括：办公费、水费、电费、邮电费、取暖费、物业管理费、差旅费、维修（护）费、租赁费、培训费、委托业务费、工会经费、福利费、公务用车运行维护费、税金及附加费用和办公设备购置。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highlight w:val="none"/>
          <w:lang w:eastAsia="zh-CN"/>
        </w:rPr>
        <w:t>我单位本年度无政府性基金预算财政拨款收入、支出</w:t>
      </w:r>
      <w:r>
        <w:rPr>
          <w:rFonts w:hint="eastAsia" w:ascii="仿宋_GB2312" w:eastAsia="仿宋_GB2312"/>
          <w:sz w:val="32"/>
          <w:szCs w:val="32"/>
          <w:highlight w:val="none"/>
          <w:lang w:val="en-US" w:eastAsia="zh-CN"/>
        </w:rPr>
        <w:t>及结转和结余</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hint="eastAsia" w:ascii="仿宋_GB2312" w:hAnsi="Times New Roman" w:eastAsia="仿宋_GB2312" w:cs="Times New Roman"/>
          <w:b/>
          <w:bCs/>
          <w:spacing w:val="0"/>
          <w:kern w:val="2"/>
          <w:sz w:val="32"/>
          <w:szCs w:val="32"/>
          <w:highlight w:val="none"/>
          <w:lang w:val="en-US" w:eastAsia="zh-CN" w:bidi="ar-SA"/>
        </w:rPr>
        <w:t>2024年度国有资本经营预算财政拨款收入总计4,444.76万元，</w:t>
      </w:r>
      <w:r>
        <w:rPr>
          <w:rFonts w:ascii="仿宋_GB2312" w:eastAsia="仿宋_GB2312"/>
          <w:b w:val="0"/>
          <w:sz w:val="32"/>
          <w:szCs w:val="32"/>
        </w:rPr>
        <w:t>其中：年初结转和结余0.00万元，本年收入4,444.76万元。</w:t>
      </w:r>
      <w:r>
        <w:rPr>
          <w:rFonts w:hint="eastAsia" w:ascii="仿宋_GB2312" w:hAnsi="Times New Roman" w:eastAsia="仿宋_GB2312" w:cs="Times New Roman"/>
          <w:b/>
          <w:bCs/>
          <w:spacing w:val="0"/>
          <w:kern w:val="2"/>
          <w:sz w:val="32"/>
          <w:szCs w:val="32"/>
          <w:highlight w:val="none"/>
          <w:lang w:val="en-US" w:eastAsia="zh-CN" w:bidi="ar-SA"/>
        </w:rPr>
        <w:t>国有资本经营预算财政拨款支出总计4,444.76万元，</w:t>
      </w:r>
      <w:r>
        <w:rPr>
          <w:rFonts w:ascii="仿宋_GB2312" w:eastAsia="仿宋_GB2312"/>
          <w:b w:val="0"/>
          <w:sz w:val="32"/>
          <w:szCs w:val="32"/>
        </w:rPr>
        <w:t>其中：年末结转和结余0.00万元，本年支出4,444.76万元。</w:t>
      </w:r>
    </w:p>
    <w:p>
      <w:pPr>
        <w:widowControl/>
        <w:spacing w:before="0" w:beforeLines="0" w:beforeAutospacing="0" w:after="0" w:afterLines="0" w:afterAutospacing="0" w:line="240" w:lineRule="auto"/>
        <w:ind w:firstLine="643" w:firstLineChars="200"/>
        <w:jc w:val="both"/>
        <w:rPr>
          <w:rFonts w:ascii="仿宋_GB2312" w:eastAsia="仿宋_GB2312"/>
          <w:sz w:val="32"/>
          <w:szCs w:val="32"/>
          <w:highlight w:val="none"/>
        </w:rPr>
      </w:pPr>
      <w:r>
        <w:rPr>
          <w:rFonts w:hint="eastAsia" w:ascii="仿宋_GB2312" w:hAnsi="Times New Roman" w:eastAsia="仿宋_GB2312" w:cs="Times New Roman"/>
          <w:b/>
          <w:bCs/>
          <w:spacing w:val="0"/>
          <w:kern w:val="2"/>
          <w:sz w:val="32"/>
          <w:szCs w:val="32"/>
          <w:highlight w:val="none"/>
          <w:lang w:val="en-US" w:eastAsia="zh-CN" w:bidi="ar-SA"/>
        </w:rPr>
        <w:t>国有资本经营预算财政拨款收入支出总体与上年相比，</w:t>
      </w:r>
      <w:r>
        <w:rPr>
          <w:rFonts w:ascii="仿宋_GB2312" w:eastAsia="仿宋_GB2312"/>
          <w:b w:val="0"/>
          <w:sz w:val="32"/>
          <w:szCs w:val="32"/>
        </w:rPr>
        <w:t>增加4,394.76万元，增长8,789.52%，</w:t>
      </w:r>
      <w:r>
        <w:rPr>
          <w:rFonts w:ascii="仿宋_GB2312" w:eastAsia="仿宋_GB2312"/>
          <w:b w:val="0"/>
          <w:color w:val="auto"/>
          <w:sz w:val="32"/>
          <w:szCs w:val="32"/>
          <w:highlight w:val="none"/>
          <w:shd w:val="clear" w:color="auto" w:fill="auto"/>
        </w:rPr>
        <w:t>主要原因是：</w:t>
      </w:r>
      <w:r>
        <w:rPr>
          <w:rFonts w:hint="eastAsia" w:ascii="仿宋_GB2312" w:eastAsia="仿宋_GB2312"/>
          <w:b w:val="0"/>
          <w:sz w:val="32"/>
          <w:szCs w:val="32"/>
          <w:highlight w:val="none"/>
          <w:lang w:val="en-US" w:eastAsia="zh-CN"/>
        </w:rPr>
        <w:t>2024年注资城建集团</w:t>
      </w:r>
      <w:r>
        <w:rPr>
          <w:rFonts w:ascii="仿宋_GB2312" w:eastAsia="仿宋_GB2312"/>
          <w:b w:val="0"/>
          <w:sz w:val="32"/>
          <w:szCs w:val="32"/>
          <w:highlight w:val="none"/>
        </w:rPr>
        <w:t>4,444.76</w:t>
      </w:r>
      <w:r>
        <w:rPr>
          <w:rFonts w:hint="eastAsia" w:ascii="仿宋_GB2312" w:eastAsia="仿宋_GB2312"/>
          <w:b w:val="0"/>
          <w:sz w:val="32"/>
          <w:szCs w:val="32"/>
          <w:highlight w:val="none"/>
          <w:lang w:val="en-US" w:eastAsia="zh-CN"/>
        </w:rPr>
        <w:t>万元</w:t>
      </w:r>
      <w:r>
        <w:rPr>
          <w:rFonts w:ascii="仿宋_GB2312" w:eastAsia="仿宋_GB2312"/>
          <w:b w:val="0"/>
          <w:color w:val="auto"/>
          <w:sz w:val="32"/>
          <w:szCs w:val="32"/>
          <w:highlight w:val="none"/>
          <w:shd w:val="clear" w:color="auto" w:fill="auto"/>
        </w:rPr>
        <w:t>。</w:t>
      </w:r>
      <w:r>
        <w:rPr>
          <w:rFonts w:hint="eastAsia" w:ascii="仿宋_GB2312" w:hAnsi="Times New Roman" w:eastAsia="仿宋_GB2312" w:cs="Times New Roman"/>
          <w:b/>
          <w:bCs/>
          <w:spacing w:val="0"/>
          <w:kern w:val="2"/>
          <w:sz w:val="32"/>
          <w:szCs w:val="32"/>
          <w:highlight w:val="none"/>
          <w:lang w:val="en-US" w:eastAsia="zh-CN" w:bidi="ar-SA"/>
        </w:rPr>
        <w:t>与年初预算相比，</w:t>
      </w:r>
      <w:r>
        <w:rPr>
          <w:rFonts w:ascii="仿宋_GB2312" w:eastAsia="仿宋_GB2312"/>
          <w:b w:val="0"/>
          <w:sz w:val="32"/>
          <w:szCs w:val="32"/>
          <w:highlight w:val="none"/>
        </w:rPr>
        <w:t>年初预算数1,785.82万元，决算数4,444.76万元，预决算差异率148.89%，主要原因是：</w:t>
      </w:r>
      <w:r>
        <w:rPr>
          <w:rFonts w:hint="eastAsia" w:ascii="仿宋_GB2312" w:eastAsia="仿宋_GB2312"/>
          <w:b w:val="0"/>
          <w:sz w:val="32"/>
          <w:szCs w:val="32"/>
          <w:highlight w:val="none"/>
          <w:lang w:eastAsia="zh-CN"/>
        </w:rPr>
        <w:t>调整年初预算数，</w:t>
      </w:r>
      <w:r>
        <w:rPr>
          <w:rFonts w:hint="eastAsia" w:ascii="仿宋_GB2312" w:eastAsia="仿宋_GB2312"/>
          <w:b w:val="0"/>
          <w:sz w:val="32"/>
          <w:szCs w:val="32"/>
          <w:highlight w:val="none"/>
          <w:lang w:val="en-US" w:eastAsia="zh-CN"/>
        </w:rPr>
        <w:t>2024年注资城建集团</w:t>
      </w:r>
      <w:r>
        <w:rPr>
          <w:rFonts w:ascii="仿宋_GB2312" w:eastAsia="仿宋_GB2312"/>
          <w:b w:val="0"/>
          <w:sz w:val="32"/>
          <w:szCs w:val="32"/>
          <w:highlight w:val="none"/>
        </w:rPr>
        <w:t>4,444.76</w:t>
      </w:r>
      <w:r>
        <w:rPr>
          <w:rFonts w:hint="eastAsia" w:ascii="仿宋_GB2312" w:eastAsia="仿宋_GB2312"/>
          <w:b w:val="0"/>
          <w:sz w:val="32"/>
          <w:szCs w:val="32"/>
          <w:highlight w:val="none"/>
          <w:lang w:val="en-US" w:eastAsia="zh-CN"/>
        </w:rPr>
        <w:t>万元</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hint="eastAsia" w:ascii="仿宋_GB2312" w:hAnsi="Times New Roman" w:eastAsia="仿宋_GB2312" w:cs="Times New Roman"/>
          <w:b/>
          <w:bCs/>
          <w:spacing w:val="0"/>
          <w:kern w:val="2"/>
          <w:sz w:val="32"/>
          <w:szCs w:val="32"/>
          <w:highlight w:val="none"/>
          <w:lang w:val="en-US" w:eastAsia="zh-CN" w:bidi="ar-SA"/>
        </w:rPr>
        <w:t>国有资本经营预算财政拨款支出4,444.76万元。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rPr>
        <w:t>国有资本经营预算支出（类）国有企业资本金注入（款）其他国有企业资本金注入（项）：支出决算数为4,444.76万元，比上年决算增加4,444.76万元，增长100.00%，</w:t>
      </w:r>
      <w:r>
        <w:rPr>
          <w:rFonts w:ascii="仿宋_GB2312" w:eastAsia="仿宋_GB2312"/>
          <w:b w:val="0"/>
          <w:sz w:val="32"/>
          <w:szCs w:val="32"/>
          <w:highlight w:val="none"/>
        </w:rPr>
        <w:t>主要原因是：</w:t>
      </w:r>
      <w:r>
        <w:rPr>
          <w:rFonts w:hint="eastAsia" w:ascii="仿宋_GB2312" w:eastAsia="仿宋_GB2312"/>
          <w:b w:val="0"/>
          <w:sz w:val="32"/>
          <w:szCs w:val="32"/>
          <w:highlight w:val="none"/>
          <w:lang w:val="en-US" w:eastAsia="zh-CN"/>
        </w:rPr>
        <w:t>2024年注资城建集团</w:t>
      </w:r>
      <w:r>
        <w:rPr>
          <w:rFonts w:ascii="仿宋_GB2312" w:eastAsia="仿宋_GB2312"/>
          <w:b w:val="0"/>
          <w:sz w:val="32"/>
          <w:szCs w:val="32"/>
          <w:highlight w:val="none"/>
        </w:rPr>
        <w:t>4,444.76</w:t>
      </w:r>
      <w:r>
        <w:rPr>
          <w:rFonts w:hint="eastAsia" w:ascii="仿宋_GB2312" w:eastAsia="仿宋_GB2312"/>
          <w:b w:val="0"/>
          <w:sz w:val="32"/>
          <w:szCs w:val="32"/>
          <w:highlight w:val="none"/>
          <w:lang w:val="en-US" w:eastAsia="zh-CN"/>
        </w:rPr>
        <w:t>万元。</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国有资本经营预算支出（类）国有企业政策性补贴（款）国有企业政策性补贴（项）：支出决算数为0.00万元，比上年决算减少50.00万元，下降100.00%，主要原因是：</w:t>
      </w:r>
      <w:r>
        <w:rPr>
          <w:rFonts w:hint="eastAsia" w:ascii="仿宋_GB2312" w:eastAsia="仿宋_GB2312"/>
          <w:b w:val="0"/>
          <w:sz w:val="32"/>
          <w:szCs w:val="32"/>
          <w:highlight w:val="none"/>
          <w:lang w:val="en-US" w:eastAsia="zh-CN"/>
        </w:rPr>
        <w:t>2024年未安排国有企业政策性补贴项目。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hint="eastAsia" w:ascii="仿宋_GB2312" w:hAnsi="Times New Roman" w:eastAsia="仿宋_GB2312" w:cs="Times New Roman"/>
          <w:b/>
          <w:bCs/>
          <w:spacing w:val="0"/>
          <w:kern w:val="2"/>
          <w:sz w:val="32"/>
          <w:szCs w:val="32"/>
          <w:highlight w:val="none"/>
          <w:lang w:val="en-US" w:eastAsia="zh-CN" w:bidi="ar-SA"/>
        </w:rPr>
        <w:t>2024年度财政拨款“三公”经费支出8.98万元，</w:t>
      </w:r>
      <w:r>
        <w:rPr>
          <w:rFonts w:ascii="仿宋_GB2312" w:eastAsia="仿宋_GB2312"/>
          <w:b w:val="0"/>
          <w:sz w:val="32"/>
          <w:szCs w:val="32"/>
        </w:rPr>
        <w:t>比上年减少0.00万元，下降0.00%，</w:t>
      </w:r>
      <w:r>
        <w:rPr>
          <w:rFonts w:ascii="仿宋_GB2312" w:eastAsia="仿宋_GB2312"/>
          <w:b w:val="0"/>
          <w:sz w:val="32"/>
          <w:szCs w:val="32"/>
          <w:highlight w:val="none"/>
        </w:rPr>
        <w:t>主要原因是：</w:t>
      </w:r>
      <w:r>
        <w:rPr>
          <w:rFonts w:hint="eastAsia" w:ascii="仿宋_GB2312" w:eastAsia="仿宋_GB2312"/>
          <w:b w:val="0"/>
          <w:sz w:val="32"/>
          <w:szCs w:val="32"/>
          <w:highlight w:val="none"/>
          <w:lang w:val="en-US" w:eastAsia="zh-CN"/>
        </w:rPr>
        <w:t>2024年“三公”经费与2023年保持一致</w:t>
      </w:r>
      <w:r>
        <w:rPr>
          <w:rFonts w:ascii="仿宋_GB2312" w:eastAsia="仿宋_GB2312"/>
          <w:b w:val="0"/>
          <w:sz w:val="32"/>
          <w:szCs w:val="32"/>
          <w:highlight w:val="none"/>
        </w:rPr>
        <w:t>。其中：因公出国（境）费支出0.00万元,占0.00%，与上年相比无变化，主要原因是：</w:t>
      </w:r>
      <w:r>
        <w:rPr>
          <w:rFonts w:hint="eastAsia" w:ascii="仿宋_GB2312" w:eastAsia="仿宋_GB2312"/>
          <w:b w:val="0"/>
          <w:sz w:val="32"/>
          <w:szCs w:val="32"/>
          <w:highlight w:val="none"/>
          <w:lang w:val="en-US" w:eastAsia="zh-CN"/>
        </w:rPr>
        <w:t>本年度未安排</w:t>
      </w:r>
      <w:r>
        <w:rPr>
          <w:rFonts w:hint="eastAsia" w:ascii="仿宋_GB2312" w:eastAsia="仿宋_GB2312"/>
          <w:b w:val="0"/>
          <w:sz w:val="32"/>
          <w:szCs w:val="32"/>
          <w:highlight w:val="none"/>
        </w:rPr>
        <w:t>因公出国（境）费支出</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无开支内容</w:t>
      </w:r>
      <w:r>
        <w:rPr>
          <w:rFonts w:ascii="仿宋_GB2312" w:eastAsia="仿宋_GB2312"/>
          <w:b w:val="0"/>
          <w:sz w:val="32"/>
          <w:szCs w:val="32"/>
          <w:highlight w:val="none"/>
        </w:rPr>
        <w:t>；公务用车购置及运行维护费支出8.98万元，占100.00%，比上年减少0.00万元，下降0.00%，主要原因是：</w:t>
      </w:r>
      <w:r>
        <w:rPr>
          <w:rFonts w:hint="eastAsia" w:ascii="仿宋_GB2312" w:eastAsia="仿宋_GB2312"/>
          <w:b w:val="0"/>
          <w:sz w:val="32"/>
          <w:szCs w:val="32"/>
          <w:highlight w:val="none"/>
          <w:lang w:val="en-US" w:eastAsia="zh-CN"/>
        </w:rPr>
        <w:t>2024年“三公”经费与2023年保持一致</w:t>
      </w:r>
      <w:r>
        <w:rPr>
          <w:rFonts w:ascii="仿宋_GB2312" w:eastAsia="仿宋_GB2312"/>
          <w:b w:val="0"/>
          <w:sz w:val="32"/>
          <w:szCs w:val="32"/>
          <w:highlight w:val="none"/>
        </w:rPr>
        <w:t>；公务接待费支出0.00万元，占0.00%，与上年相比无变化，主要原因是：</w:t>
      </w:r>
      <w:r>
        <w:rPr>
          <w:rFonts w:hint="eastAsia" w:ascii="仿宋_GB2312" w:eastAsia="仿宋_GB2312"/>
          <w:b w:val="0"/>
          <w:sz w:val="32"/>
          <w:szCs w:val="32"/>
          <w:highlight w:val="none"/>
          <w:lang w:val="en-US" w:eastAsia="zh-CN"/>
        </w:rPr>
        <w:t>本年我单位无公务接待支出</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hint="eastAsia" w:ascii="仿宋_GB2312" w:hAnsi="Times New Roman" w:eastAsia="仿宋_GB2312" w:cs="Times New Roman"/>
          <w:b/>
          <w:bCs/>
          <w:spacing w:val="0"/>
          <w:kern w:val="2"/>
          <w:sz w:val="32"/>
          <w:szCs w:val="32"/>
          <w:highlight w:val="none"/>
          <w:lang w:val="en-US" w:eastAsia="zh-CN" w:bidi="ar-SA"/>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w:t>
      </w:r>
      <w:r>
        <w:rPr>
          <w:rFonts w:hint="eastAsia" w:ascii="仿宋_GB2312" w:eastAsia="仿宋_GB2312"/>
          <w:b w:val="0"/>
          <w:sz w:val="32"/>
          <w:szCs w:val="32"/>
          <w:lang w:eastAsia="zh-CN"/>
        </w:rPr>
        <w:t>开支内容包括</w:t>
      </w:r>
      <w:r>
        <w:rPr>
          <w:rFonts w:hint="eastAsia" w:ascii="仿宋_GB2312" w:eastAsia="仿宋_GB2312"/>
          <w:b w:val="0"/>
          <w:sz w:val="32"/>
          <w:szCs w:val="32"/>
          <w:lang w:val="en-US" w:eastAsia="zh-CN"/>
        </w:rPr>
        <w:t>我单位无因公出国</w:t>
      </w:r>
      <w:r>
        <w:rPr>
          <w:rFonts w:hint="eastAsia" w:ascii="仿宋_GB2312" w:eastAsia="仿宋_GB2312"/>
          <w:b w:val="0"/>
          <w:sz w:val="32"/>
          <w:szCs w:val="32"/>
        </w:rPr>
        <w:t>（境）</w:t>
      </w:r>
      <w:r>
        <w:rPr>
          <w:rFonts w:hint="eastAsia" w:ascii="仿宋_GB2312" w:eastAsia="仿宋_GB2312"/>
          <w:b w:val="0"/>
          <w:sz w:val="32"/>
          <w:szCs w:val="32"/>
          <w:lang w:eastAsia="zh-CN"/>
        </w:rPr>
        <w:t>费支出，无开支内容</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ascii="仿宋_GB2312" w:eastAsia="仿宋_GB2312"/>
          <w:b w:val="0"/>
          <w:sz w:val="32"/>
          <w:szCs w:val="32"/>
        </w:rPr>
        <w:t>公务用车购置及运行维护费8.98万元，其中：公务用车购置费0.00万元，公务用车运行维护费8.98万元。公务用车运行维护费开支</w:t>
      </w:r>
      <w:r>
        <w:rPr>
          <w:rFonts w:hint="eastAsia" w:ascii="仿宋_GB2312" w:eastAsia="仿宋_GB2312"/>
          <w:b w:val="0"/>
          <w:sz w:val="32"/>
          <w:szCs w:val="32"/>
        </w:rPr>
        <w:t>内容包括</w:t>
      </w:r>
      <w:r>
        <w:rPr>
          <w:rFonts w:hint="eastAsia" w:ascii="仿宋_GB2312" w:eastAsia="仿宋_GB2312"/>
          <w:b w:val="0"/>
          <w:sz w:val="32"/>
          <w:szCs w:val="32"/>
          <w:lang w:val="en-US" w:eastAsia="zh-CN"/>
        </w:rPr>
        <w:t>车辆燃油维修及保险费</w:t>
      </w:r>
      <w:r>
        <w:rPr>
          <w:rFonts w:hint="eastAsia" w:ascii="仿宋_GB2312" w:eastAsia="仿宋_GB2312"/>
          <w:b w:val="0"/>
          <w:sz w:val="32"/>
          <w:szCs w:val="32"/>
        </w:rPr>
        <w:t>。公务用车购置数0辆，公务用车保有量7辆。国有资产占用情况中固定资产车辆7辆。</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rPr>
        <w:t>公务接待费0.00万元，开支内容包括</w:t>
      </w:r>
      <w:r>
        <w:rPr>
          <w:rFonts w:hint="eastAsia" w:ascii="仿宋_GB2312" w:eastAsia="仿宋_GB2312"/>
          <w:b w:val="0"/>
          <w:sz w:val="32"/>
          <w:szCs w:val="32"/>
          <w:lang w:val="en-US" w:eastAsia="zh-CN"/>
        </w:rPr>
        <w:t>我单位无公务接待，无开支内容</w:t>
      </w:r>
      <w:r>
        <w:rPr>
          <w:rFonts w:hint="eastAsia" w:ascii="仿宋_GB2312" w:eastAsia="仿宋_GB2312"/>
          <w:b w:val="0"/>
          <w:sz w:val="32"/>
          <w:szCs w:val="32"/>
        </w:rPr>
        <w:t>。单位</w:t>
      </w:r>
      <w:r>
        <w:rPr>
          <w:rFonts w:ascii="仿宋_GB2312" w:eastAsia="仿宋_GB2312"/>
          <w:b w:val="0"/>
          <w:sz w:val="32"/>
          <w:szCs w:val="32"/>
        </w:rPr>
        <w:t>全年安排的国内公务接待0批次，0人次。</w:t>
      </w:r>
    </w:p>
    <w:p>
      <w:pPr>
        <w:widowControl/>
        <w:spacing w:before="0" w:beforeLines="0" w:beforeAutospacing="0" w:after="0" w:afterLines="0" w:afterAutospacing="0" w:line="240" w:lineRule="auto"/>
        <w:ind w:firstLine="643" w:firstLineChars="200"/>
        <w:jc w:val="both"/>
        <w:rPr>
          <w:rFonts w:ascii="仿宋_GB2312" w:eastAsia="仿宋_GB2312"/>
          <w:b w:val="0"/>
          <w:sz w:val="32"/>
          <w:szCs w:val="32"/>
        </w:rPr>
      </w:pPr>
      <w:r>
        <w:rPr>
          <w:rFonts w:hint="eastAsia" w:ascii="仿宋_GB2312" w:hAnsi="Times New Roman" w:eastAsia="仿宋_GB2312" w:cs="Times New Roman"/>
          <w:b/>
          <w:bCs/>
          <w:kern w:val="2"/>
          <w:sz w:val="32"/>
          <w:szCs w:val="32"/>
          <w:highlight w:val="none"/>
          <w:lang w:val="en-US" w:eastAsia="zh-CN" w:bidi="ar-SA"/>
        </w:rPr>
        <w:t>与全年预算相比，</w:t>
      </w:r>
      <w:r>
        <w:rPr>
          <w:rFonts w:ascii="仿宋_GB2312" w:eastAsia="仿宋_GB2312"/>
          <w:b w:val="0"/>
          <w:sz w:val="32"/>
          <w:szCs w:val="32"/>
        </w:rPr>
        <w:t>财政拨款“三公”经费支出全年预算数21.60万元，决算数8.98万元，预决算差异率-58.43%，主要原因是：</w:t>
      </w:r>
      <w:r>
        <w:rPr>
          <w:rFonts w:hint="eastAsia" w:ascii="仿宋_GB2312" w:eastAsia="仿宋_GB2312"/>
          <w:b w:val="0"/>
          <w:sz w:val="32"/>
          <w:szCs w:val="32"/>
        </w:rPr>
        <w:t>认真贯彻落实中央八项规定</w:t>
      </w:r>
      <w:bookmarkStart w:id="0" w:name="_GoBack"/>
      <w:bookmarkEnd w:id="0"/>
      <w:r>
        <w:rPr>
          <w:rFonts w:hint="eastAsia" w:ascii="仿宋_GB2312" w:eastAsia="仿宋_GB2312"/>
          <w:b w:val="0"/>
          <w:sz w:val="32"/>
          <w:szCs w:val="32"/>
        </w:rPr>
        <w:t>精神和厉行节约要求，从严控制“三公”经费开支，全年实际支出和预算比有所节约</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lang w:val="en-US" w:eastAsia="zh-CN"/>
        </w:rPr>
        <w:t>我单位无</w:t>
      </w:r>
      <w:r>
        <w:rPr>
          <w:rFonts w:hint="eastAsia" w:ascii="仿宋_GB2312" w:eastAsia="仿宋_GB2312"/>
          <w:b w:val="0"/>
          <w:sz w:val="32"/>
          <w:szCs w:val="32"/>
          <w:lang w:val="zh-CN" w:eastAsia="zh-CN"/>
        </w:rPr>
        <w:t>因公出国（境）</w:t>
      </w:r>
      <w:r>
        <w:rPr>
          <w:rFonts w:hint="eastAsia" w:ascii="仿宋_GB2312" w:eastAsia="仿宋_GB2312"/>
          <w:b w:val="0"/>
          <w:sz w:val="32"/>
          <w:szCs w:val="32"/>
          <w:lang w:val="en-US" w:eastAsia="zh-CN"/>
        </w:rPr>
        <w:t>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val="en-US" w:eastAsia="zh-CN"/>
        </w:rPr>
        <w:t>我单位无</w:t>
      </w:r>
      <w:r>
        <w:rPr>
          <w:rFonts w:hint="eastAsia" w:ascii="仿宋_GB2312" w:eastAsia="仿宋_GB2312"/>
          <w:b w:val="0"/>
          <w:sz w:val="32"/>
          <w:szCs w:val="32"/>
          <w:lang w:val="zh-CN" w:eastAsia="zh-CN"/>
        </w:rPr>
        <w:t>公务用车购置</w:t>
      </w:r>
      <w:r>
        <w:rPr>
          <w:rFonts w:hint="eastAsia" w:ascii="仿宋_GB2312" w:eastAsia="仿宋_GB2312"/>
          <w:b w:val="0"/>
          <w:sz w:val="32"/>
          <w:szCs w:val="32"/>
          <w:lang w:val="en-US" w:eastAsia="zh-CN"/>
        </w:rPr>
        <w:t>支出</w:t>
      </w:r>
      <w:r>
        <w:rPr>
          <w:rFonts w:ascii="仿宋_GB2312" w:eastAsia="仿宋_GB2312"/>
          <w:b w:val="0"/>
          <w:sz w:val="32"/>
          <w:szCs w:val="32"/>
        </w:rPr>
        <w:t>。公务用车运行维护费全年预算数21.60万元，决算数8.98万元，预决算差异率-58.43%，主要原因是：</w:t>
      </w:r>
      <w:r>
        <w:rPr>
          <w:rFonts w:hint="eastAsia" w:ascii="仿宋_GB2312" w:eastAsia="仿宋_GB2312"/>
          <w:b w:val="0"/>
          <w:sz w:val="32"/>
          <w:szCs w:val="32"/>
        </w:rPr>
        <w:t>按照市委市政府有关政策，加强公务车辆出行管理，</w:t>
      </w:r>
      <w:r>
        <w:rPr>
          <w:rFonts w:hint="eastAsia" w:ascii="仿宋_GB2312" w:eastAsia="仿宋_GB2312"/>
          <w:b w:val="0"/>
          <w:sz w:val="32"/>
          <w:szCs w:val="32"/>
          <w:lang w:val="en-US" w:eastAsia="zh-CN"/>
        </w:rPr>
        <w:t>严格执行预算，</w:t>
      </w:r>
      <w:r>
        <w:rPr>
          <w:rFonts w:hint="eastAsia" w:ascii="仿宋_GB2312" w:eastAsia="仿宋_GB2312"/>
          <w:b w:val="0"/>
          <w:sz w:val="32"/>
          <w:szCs w:val="32"/>
        </w:rPr>
        <w:t>节约开支</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lang w:val="en-US" w:eastAsia="zh-CN"/>
        </w:rPr>
        <w:t>厉行节约，本年未安排公务接待费支出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1"/>
        <w:rPr>
          <w:rFonts w:hint="eastAsia" w:ascii="黑体" w:eastAsia="黑体"/>
          <w:b w:val="0"/>
          <w:sz w:val="32"/>
          <w:szCs w:val="32"/>
          <w:lang w:val="en-US" w:eastAsia="zh-CN"/>
        </w:rPr>
      </w:pPr>
      <w:r>
        <w:rPr>
          <w:rFonts w:hint="eastAsia" w:ascii="黑体" w:eastAsia="黑体"/>
          <w:b w:val="0"/>
          <w:sz w:val="32"/>
          <w:szCs w:val="32"/>
          <w:lang w:val="en-US" w:eastAsia="zh-CN"/>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2024年度库尔勒市财政局部门机关运行经费支出335.84万元，比上年增加158.71万元，增长89.60%，</w:t>
      </w:r>
      <w:r>
        <w:rPr>
          <w:rFonts w:ascii="仿宋_GB2312" w:eastAsia="仿宋_GB2312"/>
          <w:b w:val="0"/>
          <w:sz w:val="32"/>
          <w:szCs w:val="32"/>
          <w:highlight w:val="none"/>
        </w:rPr>
        <w:t>主要原因是：</w:t>
      </w:r>
      <w:r>
        <w:rPr>
          <w:rFonts w:hint="eastAsia" w:ascii="仿宋_GB2312" w:eastAsia="仿宋_GB2312"/>
          <w:b w:val="0"/>
          <w:sz w:val="32"/>
          <w:szCs w:val="32"/>
          <w:highlight w:val="none"/>
          <w:lang w:eastAsia="zh-CN"/>
        </w:rPr>
        <w:t>物业管理费、委托业务费、税金及附加费用</w:t>
      </w:r>
      <w:r>
        <w:rPr>
          <w:rFonts w:hint="eastAsia" w:eastAsia="仿宋_GB2312" w:cs="Times New Roman"/>
          <w:sz w:val="32"/>
          <w:szCs w:val="32"/>
          <w:highlight w:val="none"/>
          <w:lang w:val="en-US" w:eastAsia="zh-CN"/>
        </w:rPr>
        <w:t>等支出增加</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hint="eastAsia" w:ascii="黑体" w:eastAsia="黑体"/>
          <w:b w:val="0"/>
          <w:sz w:val="32"/>
          <w:szCs w:val="32"/>
          <w:lang w:val="en-US" w:eastAsia="zh-CN"/>
        </w:rPr>
      </w:pPr>
      <w:r>
        <w:rPr>
          <w:rFonts w:hint="eastAsia" w:ascii="黑体" w:eastAsia="黑体"/>
          <w:b w:val="0"/>
          <w:sz w:val="32"/>
          <w:szCs w:val="32"/>
          <w:lang w:val="en-US" w:eastAsia="zh-CN"/>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2024年度政府采购支出总额23.54万元，其中：政府采购货物支出10.71万元、政府采购工程支出1.00万元、政府采购服务支出11.83万元。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授予中小企业合同金额23.45万元，占政府采购支出总额的99.62%，其中：授予小微企业合同金额23.04万元，占政府采购支出总额的97.88%。</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717.00平方米，价值789.35万元。车辆7辆，价值108.81万元，其中：副部（省）级及以上领导用车0辆、主要负责人用车0辆、机要通信用车0辆、应急保障用车0辆、执法执勤用车0辆、特种专业技术用车0辆、离退休干部服务用车0辆、其他用车7辆，</w:t>
      </w:r>
      <w:r>
        <w:rPr>
          <w:rFonts w:ascii="仿宋_GB2312" w:eastAsia="仿宋_GB2312"/>
          <w:b w:val="0"/>
          <w:sz w:val="32"/>
          <w:szCs w:val="32"/>
          <w:highlight w:val="none"/>
        </w:rPr>
        <w:t>其他用车主要是：</w:t>
      </w:r>
      <w:r>
        <w:rPr>
          <w:rFonts w:hint="eastAsia" w:eastAsia="仿宋_GB2312" w:cs="Times New Roman"/>
          <w:sz w:val="32"/>
          <w:szCs w:val="32"/>
          <w:highlight w:val="none"/>
          <w:lang w:val="zh-CN" w:eastAsia="zh-CN"/>
        </w:rPr>
        <w:t>办公用车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ascii="仿宋_GB2312" w:eastAsia="仿宋_GB2312"/>
          <w:b w:val="0"/>
          <w:sz w:val="32"/>
          <w:szCs w:val="32"/>
        </w:rPr>
        <w:t>根据预算绩效管理要求，本部门2024年度预算绩效管理形成整体支出绩效自评表1个，</w:t>
      </w:r>
      <w:r>
        <w:rPr>
          <w:rStyle w:val="5"/>
          <w:rFonts w:hint="eastAsia" w:ascii="仿宋_GB2312" w:hAnsi="仿宋_GB2312" w:eastAsia="仿宋_GB2312" w:cs="仿宋_GB2312"/>
          <w:b w:val="0"/>
          <w:bCs w:val="0"/>
          <w:color w:val="auto"/>
          <w:spacing w:val="-4"/>
          <w:sz w:val="32"/>
          <w:szCs w:val="32"/>
          <w:highlight w:val="none"/>
        </w:rPr>
        <w:t>全年预算总额20570.2万元，实际执行总额20570.2万元；预算绩效评价项目</w:t>
      </w:r>
      <w:r>
        <w:rPr>
          <w:rStyle w:val="5"/>
          <w:rFonts w:hint="eastAsia" w:ascii="仿宋_GB2312" w:hAnsi="仿宋_GB2312" w:eastAsia="仿宋_GB2312" w:cs="仿宋_GB2312"/>
          <w:b w:val="0"/>
          <w:bCs w:val="0"/>
          <w:color w:val="auto"/>
          <w:spacing w:val="-4"/>
          <w:sz w:val="32"/>
          <w:szCs w:val="32"/>
          <w:highlight w:val="none"/>
          <w:lang w:val="en-US" w:eastAsia="zh-CN"/>
        </w:rPr>
        <w:t>5</w:t>
      </w:r>
      <w:r>
        <w:rPr>
          <w:rStyle w:val="5"/>
          <w:rFonts w:hint="eastAsia" w:ascii="仿宋_GB2312" w:hAnsi="仿宋_GB2312" w:eastAsia="仿宋_GB2312" w:cs="仿宋_GB2312"/>
          <w:b w:val="0"/>
          <w:bCs w:val="0"/>
          <w:color w:val="auto"/>
          <w:spacing w:val="-4"/>
          <w:sz w:val="32"/>
          <w:szCs w:val="32"/>
          <w:highlight w:val="none"/>
        </w:rPr>
        <w:t>个，全年预算数</w:t>
      </w:r>
      <w:r>
        <w:rPr>
          <w:rStyle w:val="5"/>
          <w:rFonts w:hint="eastAsia" w:ascii="仿宋_GB2312" w:hAnsi="仿宋_GB2312" w:eastAsia="仿宋_GB2312" w:cs="仿宋_GB2312"/>
          <w:b w:val="0"/>
          <w:bCs w:val="0"/>
          <w:color w:val="auto"/>
          <w:spacing w:val="-4"/>
          <w:sz w:val="32"/>
          <w:szCs w:val="32"/>
          <w:highlight w:val="none"/>
          <w:lang w:val="en-US" w:eastAsia="zh-CN"/>
        </w:rPr>
        <w:t>161.06</w:t>
      </w:r>
      <w:r>
        <w:rPr>
          <w:rStyle w:val="5"/>
          <w:rFonts w:hint="eastAsia" w:ascii="仿宋_GB2312" w:hAnsi="仿宋_GB2312" w:eastAsia="仿宋_GB2312" w:cs="仿宋_GB2312"/>
          <w:b w:val="0"/>
          <w:bCs w:val="0"/>
          <w:color w:val="auto"/>
          <w:spacing w:val="-4"/>
          <w:sz w:val="32"/>
          <w:szCs w:val="32"/>
          <w:highlight w:val="none"/>
        </w:rPr>
        <w:t>万元，全年执行数</w:t>
      </w:r>
      <w:r>
        <w:rPr>
          <w:rStyle w:val="5"/>
          <w:rFonts w:hint="eastAsia" w:ascii="仿宋_GB2312" w:hAnsi="仿宋_GB2312" w:eastAsia="仿宋_GB2312" w:cs="仿宋_GB2312"/>
          <w:b w:val="0"/>
          <w:bCs w:val="0"/>
          <w:color w:val="auto"/>
          <w:spacing w:val="-4"/>
          <w:sz w:val="32"/>
          <w:szCs w:val="32"/>
          <w:highlight w:val="none"/>
          <w:lang w:val="en-US" w:eastAsia="zh-CN"/>
        </w:rPr>
        <w:t>114.96</w:t>
      </w:r>
      <w:r>
        <w:rPr>
          <w:rStyle w:val="5"/>
          <w:rFonts w:hint="eastAsia" w:ascii="仿宋_GB2312" w:hAnsi="仿宋_GB2312" w:eastAsia="仿宋_GB2312" w:cs="仿宋_GB2312"/>
          <w:b w:val="0"/>
          <w:bCs w:val="0"/>
          <w:color w:val="auto"/>
          <w:spacing w:val="-4"/>
          <w:sz w:val="32"/>
          <w:szCs w:val="32"/>
          <w:highlight w:val="none"/>
        </w:rPr>
        <w:t>万元。</w:t>
      </w:r>
      <w:r>
        <w:rPr>
          <w:rFonts w:hint="eastAsia" w:ascii="仿宋_GB2312" w:eastAsia="仿宋_GB2312"/>
          <w:sz w:val="32"/>
          <w:szCs w:val="32"/>
          <w:highlight w:val="none"/>
          <w:lang w:eastAsia="zh-CN"/>
        </w:rPr>
        <w:t>预算绩效管理取得的成效：</w:t>
      </w:r>
      <w:r>
        <w:rPr>
          <w:rFonts w:hint="eastAsia" w:ascii="仿宋_GB2312" w:hAnsi="仿宋_GB2312" w:eastAsia="仿宋_GB2312" w:cs="仿宋_GB2312"/>
          <w:color w:val="auto"/>
          <w:sz w:val="32"/>
          <w:szCs w:val="32"/>
        </w:rPr>
        <w:t>一是</w:t>
      </w:r>
      <w:r>
        <w:rPr>
          <w:rFonts w:hint="eastAsia" w:ascii="仿宋_GB2312" w:hAnsi="仿宋_GB2312" w:eastAsia="仿宋_GB2312" w:cs="仿宋_GB2312"/>
          <w:color w:val="auto"/>
          <w:sz w:val="32"/>
          <w:szCs w:val="32"/>
          <w:lang w:eastAsia="zh-CN"/>
        </w:rPr>
        <w:t>结合预算评审、政策评估、不断加大事前绩效评估力度</w:t>
      </w:r>
      <w:r>
        <w:rPr>
          <w:rFonts w:hint="eastAsia" w:ascii="仿宋_GB2312" w:hAnsi="仿宋_GB2312" w:eastAsia="仿宋_GB2312" w:cs="仿宋_GB2312"/>
          <w:color w:val="auto"/>
          <w:sz w:val="32"/>
          <w:szCs w:val="32"/>
        </w:rPr>
        <w:t>；二是</w:t>
      </w:r>
      <w:r>
        <w:rPr>
          <w:rFonts w:hint="eastAsia" w:ascii="仿宋_GB2312" w:hAnsi="仿宋_GB2312" w:eastAsia="仿宋_GB2312" w:cs="仿宋_GB2312"/>
          <w:color w:val="auto"/>
          <w:sz w:val="32"/>
          <w:szCs w:val="32"/>
          <w:lang w:eastAsia="zh-CN"/>
        </w:rPr>
        <w:t>严格绩效目标管理，加强绩效目标审核力度；三是开展绩效运行监</w:t>
      </w:r>
      <w:r>
        <w:rPr>
          <w:rFonts w:hint="eastAsia" w:ascii="仿宋_GB2312" w:hAnsi="仿宋_GB2312" w:eastAsia="仿宋_GB2312" w:cs="仿宋_GB2312"/>
          <w:color w:val="auto"/>
          <w:sz w:val="32"/>
          <w:szCs w:val="32"/>
          <w:highlight w:val="none"/>
          <w:lang w:eastAsia="zh-CN"/>
        </w:rPr>
        <w:t>控；四是完善绩效自评机制</w:t>
      </w:r>
      <w:r>
        <w:rPr>
          <w:rFonts w:hint="eastAsia" w:ascii="仿宋_GB2312" w:eastAsia="仿宋_GB2312"/>
          <w:sz w:val="32"/>
          <w:szCs w:val="32"/>
          <w:highlight w:val="none"/>
          <w:lang w:eastAsia="zh-CN"/>
        </w:rPr>
        <w:t>。发现的问题及原因：</w:t>
      </w:r>
      <w:r>
        <w:rPr>
          <w:rStyle w:val="5"/>
          <w:rFonts w:hint="eastAsia" w:ascii="仿宋_GB2312" w:hAnsi="仿宋_GB2312" w:eastAsia="仿宋_GB2312" w:cs="仿宋_GB2312"/>
          <w:b w:val="0"/>
          <w:bCs w:val="0"/>
          <w:color w:val="auto"/>
          <w:spacing w:val="-4"/>
          <w:sz w:val="32"/>
          <w:szCs w:val="32"/>
          <w:highlight w:val="none"/>
        </w:rPr>
        <w:t>一是对</w:t>
      </w:r>
      <w:r>
        <w:rPr>
          <w:rFonts w:hint="eastAsia" w:ascii="仿宋_GB2312" w:hAnsi="仿宋_GB2312" w:eastAsia="仿宋_GB2312" w:cs="仿宋_GB2312"/>
          <w:color w:val="auto"/>
          <w:sz w:val="32"/>
          <w:szCs w:val="32"/>
          <w:highlight w:val="none"/>
        </w:rPr>
        <w:t>预算绩效</w:t>
      </w:r>
      <w:r>
        <w:rPr>
          <w:rStyle w:val="5"/>
          <w:rFonts w:hint="eastAsia" w:ascii="仿宋_GB2312" w:hAnsi="仿宋_GB2312" w:eastAsia="仿宋_GB2312" w:cs="仿宋_GB2312"/>
          <w:b w:val="0"/>
          <w:bCs w:val="0"/>
          <w:color w:val="auto"/>
          <w:spacing w:val="-4"/>
          <w:sz w:val="32"/>
          <w:szCs w:val="32"/>
          <w:highlight w:val="none"/>
        </w:rPr>
        <w:t>的认识不够深入，</w:t>
      </w:r>
      <w:r>
        <w:rPr>
          <w:rFonts w:hint="eastAsia" w:ascii="仿宋_GB2312" w:hAnsi="仿宋_GB2312" w:eastAsia="仿宋_GB2312" w:cs="仿宋_GB2312"/>
          <w:color w:val="auto"/>
          <w:sz w:val="32"/>
          <w:szCs w:val="32"/>
          <w:highlight w:val="none"/>
        </w:rPr>
        <w:t>相关知识了解还不够、掌握不够，</w:t>
      </w:r>
      <w:r>
        <w:rPr>
          <w:rStyle w:val="5"/>
          <w:rFonts w:hint="eastAsia" w:ascii="仿宋_GB2312" w:hAnsi="仿宋_GB2312" w:eastAsia="仿宋_GB2312" w:cs="仿宋_GB2312"/>
          <w:b w:val="0"/>
          <w:bCs w:val="0"/>
          <w:color w:val="auto"/>
          <w:spacing w:val="-4"/>
          <w:sz w:val="32"/>
          <w:szCs w:val="32"/>
          <w:highlight w:val="none"/>
        </w:rPr>
        <w:t>把绩效管理简单等同于工作目标、工作考核和业务管理；二是</w:t>
      </w:r>
      <w:r>
        <w:rPr>
          <w:rFonts w:hint="eastAsia" w:ascii="仿宋_GB2312" w:hAnsi="仿宋_GB2312" w:eastAsia="仿宋_GB2312" w:cs="仿宋_GB2312"/>
          <w:color w:val="auto"/>
          <w:sz w:val="32"/>
          <w:szCs w:val="32"/>
          <w:highlight w:val="none"/>
        </w:rPr>
        <w:t>资金管理水平有待进一步提高，财务审核还需进一步加强</w:t>
      </w:r>
      <w:r>
        <w:rPr>
          <w:rFonts w:hint="eastAsia" w:ascii="仿宋_GB2312" w:eastAsia="仿宋_GB2312"/>
          <w:sz w:val="32"/>
          <w:szCs w:val="32"/>
          <w:highlight w:val="none"/>
          <w:lang w:eastAsia="zh-CN"/>
        </w:rPr>
        <w:t>。下一步改进措施：</w:t>
      </w:r>
      <w:r>
        <w:rPr>
          <w:rFonts w:hint="eastAsia" w:ascii="仿宋_GB2312" w:hAnsi="仿宋_GB2312" w:eastAsia="仿宋_GB2312" w:cs="仿宋_GB2312"/>
          <w:color w:val="auto"/>
          <w:sz w:val="32"/>
          <w:szCs w:val="32"/>
        </w:rPr>
        <w:t>一是</w:t>
      </w:r>
      <w:r>
        <w:rPr>
          <w:rStyle w:val="5"/>
          <w:rFonts w:hint="eastAsia" w:ascii="仿宋_GB2312" w:hAnsi="仿宋_GB2312" w:eastAsia="仿宋_GB2312" w:cs="仿宋_GB2312"/>
          <w:b w:val="0"/>
          <w:bCs w:val="0"/>
          <w:color w:val="auto"/>
          <w:spacing w:val="-4"/>
          <w:sz w:val="32"/>
          <w:szCs w:val="32"/>
        </w:rPr>
        <w:t>建立健全的预算绩效管理体制，加强对预算绩效相关知识的了解和掌握，促进绩效管理工作向广度和深度延伸，切实提高部门预算收支管理水平；二是</w:t>
      </w:r>
      <w:r>
        <w:rPr>
          <w:rFonts w:hint="eastAsia" w:ascii="仿宋_GB2312" w:hAnsi="仿宋_GB2312" w:eastAsia="仿宋_GB2312" w:cs="仿宋_GB2312"/>
          <w:color w:val="auto"/>
          <w:sz w:val="32"/>
          <w:szCs w:val="32"/>
        </w:rPr>
        <w:t>加强财务管理，严格财务审核，在费用报账支付时，按照预算规定费用项目和用途进行资金使用审核、列报支付、财务核算，杜绝超支现象发生</w:t>
      </w:r>
      <w:r>
        <w:rPr>
          <w:rFonts w:hint="eastAsia" w:ascii="仿宋_GB2312" w:eastAsia="仿宋_GB2312"/>
          <w:sz w:val="32"/>
          <w:szCs w:val="32"/>
          <w:highlight w:val="none"/>
          <w:lang w:eastAsia="zh-CN"/>
        </w:rPr>
        <w:t>。具体</w:t>
      </w:r>
      <w:r>
        <w:rPr>
          <w:rFonts w:hint="eastAsia" w:ascii="仿宋_GB2312" w:eastAsia="仿宋_GB2312"/>
          <w:sz w:val="32"/>
          <w:szCs w:val="32"/>
          <w:highlight w:val="none"/>
        </w:rPr>
        <w:t>项目自评情况附绩效自评表</w:t>
      </w:r>
      <w:r>
        <w:rPr>
          <w:rFonts w:hint="eastAsia" w:ascii="仿宋_GB2312" w:eastAsia="仿宋_GB2312"/>
          <w:sz w:val="32"/>
          <w:szCs w:val="32"/>
          <w:highlight w:val="none"/>
          <w:lang w:val="en-US" w:eastAsia="zh-CN"/>
        </w:rPr>
        <w:t>及自评报告</w:t>
      </w:r>
      <w:r>
        <w:rPr>
          <w:rFonts w:hint="eastAsia" w:ascii="仿宋_GB2312" w:eastAsia="仿宋_GB2312"/>
          <w:sz w:val="32"/>
          <w:szCs w:val="32"/>
          <w:highlight w:val="none"/>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本部门无其他需说明事项。</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eastAsia="zh-CN"/>
        </w:rPr>
      </w:pPr>
    </w:p>
    <w:p>
      <w:pPr>
        <w:widowControl/>
        <w:spacing w:before="0" w:beforeLines="0" w:beforeAutospacing="0" w:after="0" w:afterLines="0" w:afterAutospacing="0" w:line="240" w:lineRule="auto"/>
        <w:jc w:val="left"/>
        <w:outlineLvl w:val="1"/>
      </w:pPr>
      <w:r>
        <w:drawing>
          <wp:inline distT="0" distB="0" distL="114300" distR="114300">
            <wp:extent cx="5483860" cy="5600700"/>
            <wp:effectExtent l="0" t="0" r="254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4"/>
                    <a:stretch>
                      <a:fillRect/>
                    </a:stretch>
                  </pic:blipFill>
                  <pic:spPr>
                    <a:xfrm>
                      <a:off x="0" y="0"/>
                      <a:ext cx="5483860" cy="560070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0685" cy="5642610"/>
            <wp:effectExtent l="0" t="0" r="5715" b="152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5"/>
                    <a:stretch>
                      <a:fillRect/>
                    </a:stretch>
                  </pic:blipFill>
                  <pic:spPr>
                    <a:xfrm>
                      <a:off x="0" y="0"/>
                      <a:ext cx="5480685" cy="564261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79415" cy="6301740"/>
            <wp:effectExtent l="0" t="0" r="6985" b="381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6"/>
                    <a:stretch>
                      <a:fillRect/>
                    </a:stretch>
                  </pic:blipFill>
                  <pic:spPr>
                    <a:xfrm>
                      <a:off x="0" y="0"/>
                      <a:ext cx="5479415" cy="630174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783580" cy="5965825"/>
            <wp:effectExtent l="0" t="0" r="7620" b="1587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7"/>
                    <a:stretch>
                      <a:fillRect/>
                    </a:stretch>
                  </pic:blipFill>
                  <pic:spPr>
                    <a:xfrm>
                      <a:off x="0" y="0"/>
                      <a:ext cx="5783580" cy="596582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1320" cy="7746365"/>
            <wp:effectExtent l="0" t="0" r="5080" b="698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8"/>
                    <a:stretch>
                      <a:fillRect/>
                    </a:stretch>
                  </pic:blipFill>
                  <pic:spPr>
                    <a:xfrm>
                      <a:off x="0" y="0"/>
                      <a:ext cx="5481320" cy="774636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937885" cy="6347460"/>
            <wp:effectExtent l="0" t="0" r="5715" b="1524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9"/>
                    <a:stretch>
                      <a:fillRect/>
                    </a:stretch>
                  </pic:blipFill>
                  <pic:spPr>
                    <a:xfrm>
                      <a:off x="0" y="0"/>
                      <a:ext cx="5937885" cy="634746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3860" cy="2432050"/>
            <wp:effectExtent l="0" t="0" r="2540" b="635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0"/>
                    <a:stretch>
                      <a:fillRect/>
                    </a:stretch>
                  </pic:blipFill>
                  <pic:spPr>
                    <a:xfrm>
                      <a:off x="0" y="0"/>
                      <a:ext cx="5483860" cy="243205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2590" cy="2272665"/>
            <wp:effectExtent l="0" t="0" r="3810" b="1333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1"/>
                    <a:stretch>
                      <a:fillRect/>
                    </a:stretch>
                  </pic:blipFill>
                  <pic:spPr>
                    <a:xfrm>
                      <a:off x="0" y="0"/>
                      <a:ext cx="5482590" cy="227266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rPr>
          <w:rFonts w:hint="eastAsia"/>
          <w:lang w:eastAsia="zh-CN"/>
        </w:rPr>
      </w:pPr>
      <w:r>
        <w:drawing>
          <wp:inline distT="0" distB="0" distL="114300" distR="114300">
            <wp:extent cx="5485130" cy="1792605"/>
            <wp:effectExtent l="0" t="0" r="1270" b="17145"/>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12"/>
                    <a:stretch>
                      <a:fillRect/>
                    </a:stretch>
                  </pic:blipFill>
                  <pic:spPr>
                    <a:xfrm>
                      <a:off x="0" y="0"/>
                      <a:ext cx="5485130" cy="1792605"/>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03766E4"/>
    <w:rsid w:val="06E555DF"/>
    <w:rsid w:val="11BF1E15"/>
    <w:rsid w:val="133D418F"/>
    <w:rsid w:val="14B34094"/>
    <w:rsid w:val="1DA01543"/>
    <w:rsid w:val="39DF2F15"/>
    <w:rsid w:val="4BDF489E"/>
    <w:rsid w:val="64466580"/>
    <w:rsid w:val="65214EDC"/>
    <w:rsid w:val="690C2504"/>
    <w:rsid w:val="7B087941"/>
    <w:rsid w:val="7C085A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character" w:styleId="5">
    <w:name w:val="Strong"/>
    <w:basedOn w:val="4"/>
    <w:qFormat/>
    <w:uiPriority w:val="0"/>
    <w:rPr>
      <w:b/>
    </w:rPr>
  </w:style>
  <w:style w:type="paragraph" w:customStyle="1" w:styleId="6">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2025-08-12T11:22:00Z</dcterms:created>
  <dc:creator>Administrator</dc:creator>
  <cp:lastModifiedBy>lenovo</cp:lastModifiedBy>
  <dcterms:modified xsi:type="dcterms:W3CDTF">2025-09-02T03:13:09Z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523C605E4B0B4CBDB16266C46A44750C</vt:lpwstr>
  </property>
</Properties>
</file>