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部门专项-社区党建工作经费项目支出绩效评价报告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2"/>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项目名称：部门专项-社区党建工作经费</w:t>
      </w:r>
    </w:p>
    <w:p>
      <w:pPr>
        <w:spacing w:line="700" w:lineRule="exact"/>
        <w:ind w:left="1436" w:leftChars="684" w:firstLine="0" w:firstLineChars="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2"/>
          <w:szCs w:val="32"/>
          <w:lang w:val="en-US" w:eastAsia="zh-CN"/>
        </w:rPr>
        <w:t>库尔勒市西尼尔镇人民政府</w:t>
      </w: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库尔勒市人民政府</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李阳</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25</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8"/>
          <w:rFonts w:hint="default" w:ascii="Times New Roman" w:hAnsi="Times New Roman" w:eastAsia="黑体" w:cs="Times New Roman"/>
          <w:b w:val="0"/>
          <w:spacing w:val="-4"/>
          <w:sz w:val="32"/>
          <w:szCs w:val="32"/>
        </w:rPr>
      </w:pPr>
    </w:p>
    <w:p>
      <w:pPr>
        <w:spacing w:line="540" w:lineRule="exact"/>
        <w:ind w:firstLine="640"/>
        <w:rPr>
          <w:rStyle w:val="18"/>
          <w:rFonts w:hint="default" w:ascii="Times New Roman" w:hAnsi="Times New Roman" w:eastAsia="黑体" w:cs="Times New Roman"/>
          <w:b w:val="0"/>
          <w:spacing w:val="-4"/>
          <w:sz w:val="32"/>
          <w:szCs w:val="32"/>
        </w:rPr>
      </w:pPr>
    </w:p>
    <w:p>
      <w:pPr>
        <w:spacing w:line="540" w:lineRule="exact"/>
        <w:rPr>
          <w:rStyle w:val="18"/>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0"/>
          <w:szCs w:val="30"/>
          <w:highlight w:val="none"/>
          <w:lang w:val="en-US" w:eastAsia="zh-CN"/>
        </w:rPr>
      </w:pPr>
      <w:r>
        <w:rPr>
          <w:rFonts w:hint="default" w:eastAsia="仿宋_GB2312" w:cs="Times New Roman"/>
          <w:color w:val="auto"/>
          <w:sz w:val="32"/>
          <w:szCs w:val="32"/>
          <w:highlight w:val="none"/>
          <w:lang w:val="en-US" w:eastAsia="zh-CN"/>
        </w:rPr>
        <w:t>部门专项-社区党建工作经费</w:t>
      </w:r>
      <w:r>
        <w:rPr>
          <w:rFonts w:hint="eastAsia" w:eastAsia="仿宋_GB2312" w:cs="Times New Roman"/>
          <w:color w:val="auto"/>
          <w:sz w:val="32"/>
          <w:szCs w:val="32"/>
          <w:highlight w:val="none"/>
          <w:lang w:val="en-US" w:eastAsia="zh-CN"/>
        </w:rPr>
        <w:t>项目作为基层党建与社会治理的重要保障，其综合影响不仅体现在党组织自身建设上，更通过政治引领、资源整合、服务供给等方式，对社会治理、民生改善、文化凝聚等产生深远影响。</w:t>
      </w:r>
      <w:bookmarkStart w:id="0" w:name="OLE_LINK4"/>
      <w:r>
        <w:rPr>
          <w:rFonts w:hint="eastAsia" w:eastAsia="仿宋_GB2312" w:cs="Times New Roman"/>
          <w:color w:val="auto"/>
          <w:sz w:val="32"/>
          <w:szCs w:val="32"/>
          <w:highlight w:val="none"/>
          <w:lang w:val="en-US" w:eastAsia="zh-CN"/>
        </w:rPr>
        <w:t>此项目的实施让社区党组织能更高效地宣传贯彻党中央决策部署，如党的二十大精神、民生政策，通过“入户宣讲”等形式将政策转化为群众易懂的“本地话”，确保政策解读不偏差、执行无梗阻。</w:t>
      </w:r>
      <w:bookmarkEnd w:id="0"/>
      <w:r>
        <w:rPr>
          <w:rFonts w:hint="eastAsia" w:eastAsia="仿宋_GB2312" w:cs="Times New Roman"/>
          <w:color w:val="auto"/>
          <w:sz w:val="32"/>
          <w:szCs w:val="32"/>
          <w:highlight w:val="none"/>
          <w:lang w:val="en-US" w:eastAsia="zh-CN"/>
        </w:rPr>
        <w:t>通过经费支持党建联建、区域化党建，社区党组织联动辖区企业、社会组织、物业公司等形成“红色联盟”，打破以往单一治理主体的局限性。根据《关于申请2024年中共库尔勒市委员会组织部部门预算经费的请示》，小社区每年经费10万元的标准，西尼尔镇共下辖2个小社区，全年经费共计20万元。</w:t>
      </w:r>
    </w:p>
    <w:p>
      <w:pPr>
        <w:pStyle w:val="1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项目主要内容：在强化基层党组织建设、提升社区治理水平的战略背景</w:t>
      </w:r>
      <w:r>
        <w:rPr>
          <w:rFonts w:hint="eastAsia" w:ascii="Times New Roman" w:hAnsi="Times New Roman" w:eastAsia="仿宋_GB2312" w:cs="Times New Roman"/>
          <w:sz w:val="30"/>
          <w:szCs w:val="30"/>
          <w:highlight w:val="none"/>
          <w:lang w:val="en-US" w:eastAsia="zh-CN"/>
        </w:rPr>
        <w:t>下，本部门依据专项规划，开展社区党建工作经费项目，旨在通过合理调配资金，推动社区党建工作创新发展，增强党组织在社区的凝聚力与战斗力，服务社区居民，助力构建和谐社区。</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项目实施情况：对</w:t>
      </w:r>
      <w:r>
        <w:rPr>
          <w:rFonts w:hint="eastAsia" w:ascii="Times New Roman" w:hAnsi="Times New Roman" w:eastAsia="仿宋_GB2312" w:cs="Times New Roman"/>
          <w:sz w:val="30"/>
          <w:szCs w:val="30"/>
          <w:highlight w:val="none"/>
          <w:lang w:val="en-US" w:eastAsia="zh-CN"/>
        </w:rPr>
        <w:t>2个</w:t>
      </w:r>
      <w:r>
        <w:rPr>
          <w:rFonts w:hint="default" w:ascii="Times New Roman" w:hAnsi="Times New Roman" w:eastAsia="仿宋_GB2312" w:cs="Times New Roman"/>
          <w:sz w:val="30"/>
          <w:szCs w:val="30"/>
          <w:highlight w:val="none"/>
          <w:lang w:val="en-US" w:eastAsia="zh-CN"/>
        </w:rPr>
        <w:t>社区党建活动中心进行升级</w:t>
      </w:r>
      <w:r>
        <w:rPr>
          <w:rFonts w:hint="eastAsia" w:ascii="Times New Roman" w:hAnsi="Times New Roman" w:eastAsia="仿宋_GB2312" w:cs="Times New Roman"/>
          <w:sz w:val="30"/>
          <w:szCs w:val="30"/>
          <w:highlight w:val="none"/>
          <w:lang w:val="en-US" w:eastAsia="zh-CN"/>
        </w:rPr>
        <w:t>改造，完善了会议室、图书阅览室、党员活动室等功能区域的设施设备，营造了浓厚的党建氛围，为党员活动与居民交流提供了良好的场所；有效保障了社区日常水、电、暖、气、通讯费用等基本运转资金的支付，为社区干部日常办公提供有效保障，全年社区服务1500人次。</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20.00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20.00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eastAsia" w:eastAsia="仿宋_GB2312" w:cs="Times New Roman"/>
          <w:sz w:val="32"/>
          <w:szCs w:val="32"/>
          <w:highlight w:val="none"/>
          <w:lang w:val="en-US" w:eastAsia="zh-CN"/>
        </w:rPr>
        <w:t>。</w:t>
      </w:r>
    </w:p>
    <w:p>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20.00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20.00</w:t>
      </w:r>
      <w:r>
        <w:rPr>
          <w:rFonts w:hint="default" w:ascii="Times New Roman" w:hAnsi="Times New Roman" w:eastAsia="仿宋_GB2312" w:cs="Times New Roman"/>
          <w:sz w:val="32"/>
          <w:szCs w:val="32"/>
          <w:highlight w:val="none"/>
          <w:lang w:val="en-US" w:eastAsia="zh-CN"/>
        </w:rPr>
        <w:t>万元，全年执行数</w:t>
      </w:r>
      <w:r>
        <w:rPr>
          <w:rFonts w:hint="eastAsia" w:ascii="Times New Roman" w:hAnsi="Times New Roman" w:eastAsia="仿宋_GB2312" w:cs="Times New Roman"/>
          <w:sz w:val="32"/>
          <w:szCs w:val="32"/>
          <w:highlight w:val="none"/>
          <w:lang w:val="en-US" w:eastAsia="zh-CN"/>
        </w:rPr>
        <w:t>17.36</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86.80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color w:val="auto"/>
          <w:sz w:val="32"/>
          <w:szCs w:val="32"/>
          <w:highlight w:val="none"/>
          <w:lang w:val="en-US" w:eastAsia="zh-CN"/>
        </w:rPr>
        <w:t>保障西尼尔镇人民政府管辖2个社区党组织（居委会）水电气暖支出9.35万元、广告宣传7.06万元、零星维修支出0.95万元，以上支出共计17.36万元。</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目标1：实现社区党委数量全覆盖，确保2个小社区正常运转；</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目标2：开展党员培训、组织党员参观等活动，充分发挥基层学组织战斗堡垒作用；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目标3：教育党员守初心、担使命，充分发挥党员先锋模范作用，为居民做标杆，带动居民做志愿服务，全面提升社区党组织影响力。</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第一、二季度</w:t>
      </w:r>
      <w:r>
        <w:rPr>
          <w:rFonts w:hint="eastAsia" w:eastAsia="仿宋_GB2312" w:cs="Times New Roman"/>
          <w:color w:val="auto"/>
          <w:sz w:val="32"/>
          <w:szCs w:val="32"/>
          <w:highlight w:val="none"/>
          <w:lang w:val="en-US" w:eastAsia="zh-CN"/>
        </w:rPr>
        <w:t>计划</w:t>
      </w:r>
      <w:r>
        <w:rPr>
          <w:rFonts w:hint="eastAsia" w:ascii="Times New Roman" w:hAnsi="Times New Roman" w:eastAsia="仿宋_GB2312" w:cs="Times New Roman"/>
          <w:color w:val="auto"/>
          <w:sz w:val="32"/>
          <w:szCs w:val="32"/>
          <w:highlight w:val="none"/>
          <w:lang w:val="en-US" w:eastAsia="zh-CN"/>
        </w:rPr>
        <w:t>完成对</w:t>
      </w:r>
      <w:r>
        <w:rPr>
          <w:rFonts w:hint="eastAsia" w:eastAsia="仿宋_GB2312" w:cs="Times New Roman"/>
          <w:color w:val="auto"/>
          <w:sz w:val="32"/>
          <w:szCs w:val="32"/>
          <w:highlight w:val="none"/>
          <w:lang w:val="en-US" w:eastAsia="zh-CN"/>
        </w:rPr>
        <w:t>2个</w:t>
      </w:r>
      <w:r>
        <w:rPr>
          <w:rFonts w:hint="eastAsia" w:ascii="Times New Roman" w:hAnsi="Times New Roman" w:eastAsia="仿宋_GB2312" w:cs="Times New Roman"/>
          <w:color w:val="auto"/>
          <w:sz w:val="32"/>
          <w:szCs w:val="32"/>
          <w:highlight w:val="none"/>
          <w:lang w:val="en-US" w:eastAsia="zh-CN"/>
        </w:rPr>
        <w:t>社区的年度规划，</w:t>
      </w:r>
      <w:r>
        <w:rPr>
          <w:rFonts w:hint="default" w:ascii="Times New Roman" w:hAnsi="Times New Roman" w:eastAsia="仿宋_GB2312" w:cs="Times New Roman"/>
          <w:color w:val="auto"/>
          <w:sz w:val="32"/>
          <w:szCs w:val="32"/>
          <w:highlight w:val="none"/>
          <w:lang w:val="en-US" w:eastAsia="zh-CN"/>
        </w:rPr>
        <w:t>实现社区党委数全覆盖，确保</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w:t>
      </w:r>
      <w:r>
        <w:rPr>
          <w:rFonts w:hint="eastAsia" w:eastAsia="仿宋_GB2312" w:cs="Times New Roman"/>
          <w:color w:val="auto"/>
          <w:sz w:val="32"/>
          <w:szCs w:val="32"/>
          <w:highlight w:val="none"/>
          <w:lang w:val="en-US" w:eastAsia="zh-CN"/>
        </w:rPr>
        <w:t>小</w:t>
      </w:r>
      <w:r>
        <w:rPr>
          <w:rFonts w:hint="default" w:ascii="Times New Roman" w:hAnsi="Times New Roman" w:eastAsia="仿宋_GB2312" w:cs="Times New Roman"/>
          <w:color w:val="auto"/>
          <w:sz w:val="32"/>
          <w:szCs w:val="32"/>
          <w:highlight w:val="none"/>
          <w:lang w:val="en-US" w:eastAsia="zh-CN"/>
        </w:rPr>
        <w:t>社区</w:t>
      </w:r>
      <w:r>
        <w:rPr>
          <w:rFonts w:hint="eastAsia" w:ascii="Times New Roman" w:hAnsi="Times New Roman" w:eastAsia="仿宋_GB2312" w:cs="Times New Roman"/>
          <w:color w:val="auto"/>
          <w:sz w:val="32"/>
          <w:szCs w:val="32"/>
          <w:highlight w:val="none"/>
          <w:lang w:val="en-US" w:eastAsia="zh-CN"/>
        </w:rPr>
        <w:t>水、电、暖、</w:t>
      </w:r>
      <w:r>
        <w:rPr>
          <w:rFonts w:hint="eastAsia" w:eastAsia="仿宋_GB2312" w:cs="Times New Roman"/>
          <w:color w:val="auto"/>
          <w:sz w:val="32"/>
          <w:szCs w:val="32"/>
          <w:highlight w:val="none"/>
          <w:lang w:val="en-US" w:eastAsia="zh-CN"/>
        </w:rPr>
        <w:t>广告宣传、</w:t>
      </w:r>
      <w:r>
        <w:rPr>
          <w:rFonts w:hint="eastAsia" w:ascii="Times New Roman" w:hAnsi="Times New Roman" w:eastAsia="仿宋_GB2312" w:cs="Times New Roman"/>
          <w:color w:val="auto"/>
          <w:sz w:val="32"/>
          <w:szCs w:val="32"/>
          <w:highlight w:val="none"/>
          <w:lang w:val="en-US" w:eastAsia="zh-CN"/>
        </w:rPr>
        <w:t>零星维修等</w:t>
      </w:r>
      <w:r>
        <w:rPr>
          <w:rFonts w:hint="default" w:ascii="Times New Roman" w:hAnsi="Times New Roman" w:eastAsia="仿宋_GB2312" w:cs="Times New Roman"/>
          <w:color w:val="auto"/>
          <w:sz w:val="32"/>
          <w:szCs w:val="32"/>
          <w:highlight w:val="none"/>
          <w:lang w:val="en-US" w:eastAsia="zh-CN"/>
        </w:rPr>
        <w:t>正常运转</w:t>
      </w:r>
      <w:r>
        <w:rPr>
          <w:rFonts w:hint="eastAsia" w:ascii="Times New Roman" w:hAnsi="Times New Roman" w:eastAsia="仿宋_GB2312" w:cs="Times New Roman"/>
          <w:color w:val="auto"/>
          <w:sz w:val="32"/>
          <w:szCs w:val="32"/>
          <w:highlight w:val="none"/>
          <w:lang w:val="en-US" w:eastAsia="zh-CN"/>
        </w:rPr>
        <w:t>支出；对各社区基层党组织全盘工作进行全面摸排，制定服务方案，明确服务标准；制定社区干部培训计划，包括服务理念、业务技能、沟通技巧等培训课程设计，组织社区干部参加理论培训课程；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第三季度</w:t>
      </w:r>
      <w:r>
        <w:rPr>
          <w:rFonts w:hint="default" w:ascii="Times New Roman" w:hAnsi="Times New Roman" w:eastAsia="仿宋_GB2312" w:cs="Times New Roman"/>
          <w:color w:val="auto"/>
          <w:sz w:val="32"/>
          <w:szCs w:val="32"/>
          <w:highlight w:val="none"/>
          <w:lang w:val="en-US" w:eastAsia="zh-CN"/>
        </w:rPr>
        <w:t>确保</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w:t>
      </w:r>
      <w:r>
        <w:rPr>
          <w:rFonts w:hint="eastAsia" w:eastAsia="仿宋_GB2312" w:cs="Times New Roman"/>
          <w:color w:val="auto"/>
          <w:sz w:val="32"/>
          <w:szCs w:val="32"/>
          <w:highlight w:val="none"/>
          <w:lang w:val="en-US" w:eastAsia="zh-CN"/>
        </w:rPr>
        <w:t>小</w:t>
      </w:r>
      <w:r>
        <w:rPr>
          <w:rFonts w:hint="default" w:ascii="Times New Roman" w:hAnsi="Times New Roman" w:eastAsia="仿宋_GB2312" w:cs="Times New Roman"/>
          <w:color w:val="auto"/>
          <w:sz w:val="32"/>
          <w:szCs w:val="32"/>
          <w:highlight w:val="none"/>
          <w:lang w:val="en-US" w:eastAsia="zh-CN"/>
        </w:rPr>
        <w:t>社区</w:t>
      </w:r>
      <w:r>
        <w:rPr>
          <w:rFonts w:hint="eastAsia" w:ascii="Times New Roman" w:hAnsi="Times New Roman" w:eastAsia="仿宋_GB2312" w:cs="Times New Roman"/>
          <w:color w:val="auto"/>
          <w:sz w:val="32"/>
          <w:szCs w:val="32"/>
          <w:highlight w:val="none"/>
          <w:lang w:val="en-US" w:eastAsia="zh-CN"/>
        </w:rPr>
        <w:t>水、电、暖、</w:t>
      </w:r>
      <w:r>
        <w:rPr>
          <w:rFonts w:hint="eastAsia" w:eastAsia="仿宋_GB2312" w:cs="Times New Roman"/>
          <w:color w:val="auto"/>
          <w:sz w:val="32"/>
          <w:szCs w:val="32"/>
          <w:highlight w:val="none"/>
          <w:lang w:val="en-US" w:eastAsia="zh-CN"/>
        </w:rPr>
        <w:t>广告宣传、</w:t>
      </w:r>
      <w:r>
        <w:rPr>
          <w:rFonts w:hint="eastAsia" w:ascii="Times New Roman" w:hAnsi="Times New Roman" w:eastAsia="仿宋_GB2312" w:cs="Times New Roman"/>
          <w:color w:val="auto"/>
          <w:sz w:val="32"/>
          <w:szCs w:val="32"/>
          <w:highlight w:val="none"/>
          <w:lang w:val="en-US" w:eastAsia="zh-CN"/>
        </w:rPr>
        <w:t>零星维修等</w:t>
      </w:r>
      <w:r>
        <w:rPr>
          <w:rFonts w:hint="default" w:ascii="Times New Roman" w:hAnsi="Times New Roman" w:eastAsia="仿宋_GB2312" w:cs="Times New Roman"/>
          <w:color w:val="auto"/>
          <w:sz w:val="32"/>
          <w:szCs w:val="32"/>
          <w:highlight w:val="none"/>
          <w:lang w:val="en-US" w:eastAsia="zh-CN"/>
        </w:rPr>
        <w:t>正常运转</w:t>
      </w:r>
      <w:r>
        <w:rPr>
          <w:rFonts w:hint="eastAsia" w:ascii="Times New Roman" w:hAnsi="Times New Roman" w:eastAsia="仿宋_GB2312" w:cs="Times New Roman"/>
          <w:color w:val="auto"/>
          <w:sz w:val="32"/>
          <w:szCs w:val="32"/>
          <w:highlight w:val="none"/>
          <w:lang w:val="en-US" w:eastAsia="zh-CN"/>
        </w:rPr>
        <w:t>支出；各社区基层党组织服务工作，完成至少75%的工作任务，确保服务工作过程规范有序；开展</w:t>
      </w:r>
      <w:r>
        <w:rPr>
          <w:rFonts w:hint="default" w:eastAsia="仿宋_GB2312" w:cs="Times New Roman"/>
          <w:color w:val="auto"/>
          <w:sz w:val="32"/>
          <w:szCs w:val="32"/>
          <w:highlight w:val="none"/>
          <w:lang w:val="en-US" w:eastAsia="zh-CN"/>
        </w:rPr>
        <w:t>各项</w:t>
      </w:r>
      <w:r>
        <w:rPr>
          <w:rFonts w:hint="eastAsia" w:ascii="Times New Roman" w:hAnsi="Times New Roman" w:eastAsia="仿宋_GB2312" w:cs="Times New Roman"/>
          <w:color w:val="auto"/>
          <w:sz w:val="32"/>
          <w:szCs w:val="32"/>
          <w:highlight w:val="none"/>
          <w:lang w:val="en-US" w:eastAsia="zh-CN"/>
        </w:rPr>
        <w:t>活动，如社区服务模拟演练、实地观摩优秀社区服务案例等，让社区干部在实践中提升为民服务能力。</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第四季度</w:t>
      </w:r>
      <w:r>
        <w:rPr>
          <w:rFonts w:hint="default" w:ascii="Times New Roman" w:hAnsi="Times New Roman" w:eastAsia="仿宋_GB2312" w:cs="Times New Roman"/>
          <w:color w:val="auto"/>
          <w:sz w:val="32"/>
          <w:szCs w:val="32"/>
          <w:highlight w:val="none"/>
          <w:lang w:val="en-US" w:eastAsia="zh-CN"/>
        </w:rPr>
        <w:t>确保</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w:t>
      </w:r>
      <w:r>
        <w:rPr>
          <w:rFonts w:hint="eastAsia" w:eastAsia="仿宋_GB2312" w:cs="Times New Roman"/>
          <w:color w:val="auto"/>
          <w:sz w:val="32"/>
          <w:szCs w:val="32"/>
          <w:highlight w:val="none"/>
          <w:lang w:val="en-US" w:eastAsia="zh-CN"/>
        </w:rPr>
        <w:t>小</w:t>
      </w:r>
      <w:r>
        <w:rPr>
          <w:rFonts w:hint="default" w:ascii="Times New Roman" w:hAnsi="Times New Roman" w:eastAsia="仿宋_GB2312" w:cs="Times New Roman"/>
          <w:color w:val="auto"/>
          <w:sz w:val="32"/>
          <w:szCs w:val="32"/>
          <w:highlight w:val="none"/>
          <w:lang w:val="en-US" w:eastAsia="zh-CN"/>
        </w:rPr>
        <w:t>社区</w:t>
      </w:r>
      <w:r>
        <w:rPr>
          <w:rFonts w:hint="eastAsia" w:ascii="Times New Roman" w:hAnsi="Times New Roman" w:eastAsia="仿宋_GB2312" w:cs="Times New Roman"/>
          <w:color w:val="auto"/>
          <w:sz w:val="32"/>
          <w:szCs w:val="32"/>
          <w:highlight w:val="none"/>
          <w:lang w:val="en-US" w:eastAsia="zh-CN"/>
        </w:rPr>
        <w:t>水、电、暖、</w:t>
      </w:r>
      <w:r>
        <w:rPr>
          <w:rFonts w:hint="eastAsia" w:eastAsia="仿宋_GB2312" w:cs="Times New Roman"/>
          <w:color w:val="auto"/>
          <w:sz w:val="32"/>
          <w:szCs w:val="32"/>
          <w:highlight w:val="none"/>
          <w:lang w:val="en-US" w:eastAsia="zh-CN"/>
        </w:rPr>
        <w:t>广告宣传</w:t>
      </w:r>
      <w:r>
        <w:rPr>
          <w:rFonts w:hint="eastAsia" w:ascii="Times New Roman" w:hAnsi="Times New Roman" w:eastAsia="仿宋_GB2312" w:cs="Times New Roman"/>
          <w:color w:val="auto"/>
          <w:sz w:val="32"/>
          <w:szCs w:val="32"/>
          <w:highlight w:val="none"/>
          <w:lang w:val="en-US" w:eastAsia="zh-CN"/>
        </w:rPr>
        <w:t>零星维修等</w:t>
      </w:r>
      <w:r>
        <w:rPr>
          <w:rFonts w:hint="default" w:ascii="Times New Roman" w:hAnsi="Times New Roman" w:eastAsia="仿宋_GB2312" w:cs="Times New Roman"/>
          <w:color w:val="auto"/>
          <w:sz w:val="32"/>
          <w:szCs w:val="32"/>
          <w:highlight w:val="none"/>
          <w:lang w:val="en-US" w:eastAsia="zh-CN"/>
        </w:rPr>
        <w:t>正常运转</w:t>
      </w:r>
      <w:r>
        <w:rPr>
          <w:rFonts w:hint="eastAsia" w:ascii="Times New Roman" w:hAnsi="Times New Roman" w:eastAsia="仿宋_GB2312" w:cs="Times New Roman"/>
          <w:color w:val="auto"/>
          <w:sz w:val="32"/>
          <w:szCs w:val="32"/>
          <w:highlight w:val="none"/>
          <w:lang w:val="en-US" w:eastAsia="zh-CN"/>
        </w:rPr>
        <w:t>支出；确保</w:t>
      </w:r>
      <w:r>
        <w:rPr>
          <w:rFonts w:hint="eastAsia"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个</w:t>
      </w:r>
      <w:r>
        <w:rPr>
          <w:rFonts w:hint="eastAsia" w:eastAsia="仿宋_GB2312" w:cs="Times New Roman"/>
          <w:color w:val="auto"/>
          <w:sz w:val="32"/>
          <w:szCs w:val="32"/>
          <w:highlight w:val="none"/>
          <w:lang w:val="en-US" w:eastAsia="zh-CN"/>
        </w:rPr>
        <w:t>小</w:t>
      </w:r>
      <w:r>
        <w:rPr>
          <w:rFonts w:hint="eastAsia" w:ascii="Times New Roman" w:hAnsi="Times New Roman" w:eastAsia="仿宋_GB2312" w:cs="Times New Roman"/>
          <w:color w:val="auto"/>
          <w:sz w:val="32"/>
          <w:szCs w:val="32"/>
          <w:highlight w:val="none"/>
          <w:lang w:val="en-US" w:eastAsia="zh-CN"/>
        </w:rPr>
        <w:t>社区党委全部工作完成并正常运转，保障基层党组织各项事业稳定有序开展</w:t>
      </w:r>
      <w:r>
        <w:rPr>
          <w:rFonts w:hint="eastAsia" w:eastAsia="仿宋_GB2312" w:cs="Times New Roman"/>
          <w:color w:val="auto"/>
          <w:sz w:val="32"/>
          <w:szCs w:val="32"/>
          <w:highlight w:val="none"/>
          <w:lang w:val="en-US" w:eastAsia="zh-CN"/>
        </w:rPr>
        <w:t>，服务辖区</w:t>
      </w:r>
      <w:r>
        <w:rPr>
          <w:rFonts w:hint="default" w:eastAsia="仿宋_GB2312" w:cs="Times New Roman"/>
          <w:color w:val="auto"/>
          <w:sz w:val="32"/>
          <w:szCs w:val="32"/>
          <w:highlight w:val="none"/>
          <w:lang w:val="en-US" w:eastAsia="zh-CN"/>
        </w:rPr>
        <w:t>居民</w:t>
      </w:r>
      <w:r>
        <w:rPr>
          <w:rFonts w:hint="eastAsia" w:eastAsia="仿宋_GB2312" w:cs="Times New Roman"/>
          <w:color w:val="auto"/>
          <w:sz w:val="32"/>
          <w:szCs w:val="32"/>
          <w:highlight w:val="none"/>
          <w:lang w:val="en-US" w:eastAsia="zh-CN"/>
        </w:rPr>
        <w:t>1500</w:t>
      </w:r>
      <w:r>
        <w:rPr>
          <w:rFonts w:hint="default" w:eastAsia="仿宋_GB2312" w:cs="Times New Roman"/>
          <w:color w:val="auto"/>
          <w:sz w:val="32"/>
          <w:szCs w:val="32"/>
          <w:highlight w:val="none"/>
          <w:lang w:val="en-US" w:eastAsia="zh-CN"/>
        </w:rPr>
        <w:t>人</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1.绩效评价完整性</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预算绩效评价报告在编制过程中，严格遵循</w:t>
      </w:r>
      <w:r>
        <w:rPr>
          <w:rFonts w:hint="eastAsia" w:eastAsia="仿宋_GB2312" w:cs="Times New Roman"/>
          <w:color w:val="auto"/>
          <w:sz w:val="32"/>
          <w:szCs w:val="32"/>
          <w:highlight w:val="none"/>
          <w:lang w:val="en-US" w:eastAsia="zh-CN"/>
        </w:rPr>
        <w:t>小社区每年10万元的</w:t>
      </w:r>
      <w:r>
        <w:rPr>
          <w:rFonts w:hint="default" w:ascii="Times New Roman" w:hAnsi="Times New Roman" w:eastAsia="仿宋_GB2312" w:cs="Times New Roman"/>
          <w:color w:val="auto"/>
          <w:sz w:val="32"/>
          <w:szCs w:val="32"/>
          <w:highlight w:val="none"/>
          <w:lang w:val="en-US" w:eastAsia="zh-CN"/>
        </w:rPr>
        <w:t>标准，确保评价内容的全面性与准确性。报告涵盖了项目从预算编制、执行到完成的全过程，对项目的各项绩效指标进行了细致的梳理与评估。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w:t>
      </w:r>
      <w:r>
        <w:rPr>
          <w:rFonts w:hint="eastAsia" w:eastAsia="仿宋_GB2312" w:cs="Times New Roman"/>
          <w:color w:val="auto"/>
          <w:sz w:val="32"/>
          <w:szCs w:val="32"/>
          <w:highlight w:val="none"/>
          <w:lang w:val="en-US" w:eastAsia="zh-CN"/>
        </w:rPr>
        <w:t>如管辖小社区数量上，涵盖了提高服务群众效率的</w:t>
      </w:r>
      <w:r>
        <w:rPr>
          <w:rFonts w:hint="default" w:ascii="Times New Roman" w:hAnsi="Times New Roman" w:eastAsia="仿宋_GB2312" w:cs="Times New Roman"/>
          <w:color w:val="auto"/>
          <w:sz w:val="32"/>
          <w:szCs w:val="32"/>
          <w:highlight w:val="none"/>
          <w:lang w:val="en-US" w:eastAsia="zh-CN"/>
        </w:rPr>
        <w:t>社会效益维度</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力求全方位反映项目的绩效状况。同时，对于每个指标的评价标准和数据来源均进行了明确说明，确保评价结果的客观性和可追溯性。</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在数据收集环节，采用了多种科学合理的方法，</w:t>
      </w:r>
      <w:r>
        <w:rPr>
          <w:rFonts w:hint="eastAsia" w:eastAsia="仿宋_GB2312" w:cs="Times New Roman"/>
          <w:color w:val="auto"/>
          <w:sz w:val="32"/>
          <w:szCs w:val="32"/>
          <w:highlight w:val="none"/>
          <w:lang w:val="en-US" w:eastAsia="zh-CN"/>
        </w:rPr>
        <w:t>如</w:t>
      </w:r>
      <w:r>
        <w:rPr>
          <w:rFonts w:hint="default" w:ascii="Times New Roman" w:hAnsi="Times New Roman" w:eastAsia="仿宋_GB2312" w:cs="Times New Roman"/>
          <w:color w:val="auto"/>
          <w:sz w:val="32"/>
          <w:szCs w:val="32"/>
          <w:highlight w:val="none"/>
          <w:lang w:val="en-US" w:eastAsia="zh-CN"/>
        </w:rPr>
        <w:t>问卷调查</w:t>
      </w:r>
      <w:r>
        <w:rPr>
          <w:rFonts w:hint="eastAsia" w:eastAsia="仿宋_GB2312" w:cs="Times New Roman"/>
          <w:color w:val="auto"/>
          <w:sz w:val="32"/>
          <w:szCs w:val="32"/>
          <w:highlight w:val="none"/>
          <w:lang w:val="en-US" w:eastAsia="zh-CN"/>
        </w:rPr>
        <w:t>、座谈会</w:t>
      </w:r>
      <w:r>
        <w:rPr>
          <w:rFonts w:hint="default" w:ascii="Times New Roman" w:hAnsi="Times New Roman" w:eastAsia="仿宋_GB2312" w:cs="Times New Roman"/>
          <w:color w:val="auto"/>
          <w:sz w:val="32"/>
          <w:szCs w:val="32"/>
          <w:highlight w:val="none"/>
          <w:lang w:val="en-US" w:eastAsia="zh-CN"/>
        </w:rPr>
        <w:t>，广泛收集了与</w:t>
      </w:r>
      <w:r>
        <w:rPr>
          <w:rFonts w:hint="default" w:eastAsia="仿宋_GB2312" w:cs="Times New Roman"/>
          <w:color w:val="auto"/>
          <w:sz w:val="32"/>
          <w:szCs w:val="32"/>
          <w:highlight w:val="none"/>
          <w:lang w:val="en-US" w:eastAsia="zh-CN"/>
        </w:rPr>
        <w:t>部门专项-社区党建工作经费</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相关数据，</w:t>
      </w:r>
      <w:r>
        <w:rPr>
          <w:rFonts w:hint="eastAsia" w:eastAsia="仿宋_GB2312" w:cs="Times New Roman"/>
          <w:color w:val="auto"/>
          <w:sz w:val="32"/>
          <w:szCs w:val="32"/>
          <w:highlight w:val="none"/>
          <w:lang w:val="en-US" w:eastAsia="zh-CN"/>
        </w:rPr>
        <w:t>通过匿名填写调查问卷内容体现真实服务辖区人员效率情况</w:t>
      </w:r>
      <w:r>
        <w:rPr>
          <w:rFonts w:hint="default" w:ascii="Times New Roman" w:hAnsi="Times New Roman" w:eastAsia="仿宋_GB2312" w:cs="Times New Roman"/>
          <w:color w:val="auto"/>
          <w:sz w:val="32"/>
          <w:szCs w:val="32"/>
          <w:highlight w:val="none"/>
          <w:lang w:val="en-US" w:eastAsia="zh-CN"/>
        </w:rPr>
        <w:t>，以确保评价结论的真实性和有效性。</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在报告的撰写结构上，按照统一的格式和规范进行编排，内容层次分明、条理清晰。对项目的</w:t>
      </w:r>
      <w:r>
        <w:rPr>
          <w:rFonts w:hint="eastAsia" w:eastAsia="仿宋_GB2312" w:cs="Times New Roman"/>
          <w:color w:val="auto"/>
          <w:sz w:val="32"/>
          <w:szCs w:val="32"/>
          <w:highlight w:val="none"/>
          <w:lang w:val="en-US" w:eastAsia="zh-CN"/>
        </w:rPr>
        <w:t>整体</w:t>
      </w:r>
      <w:r>
        <w:rPr>
          <w:rFonts w:hint="default" w:ascii="Times New Roman" w:hAnsi="Times New Roman" w:eastAsia="仿宋_GB2312" w:cs="Times New Roman"/>
          <w:color w:val="auto"/>
          <w:sz w:val="32"/>
          <w:szCs w:val="32"/>
          <w:highlight w:val="none"/>
          <w:lang w:val="en-US" w:eastAsia="zh-CN"/>
        </w:rPr>
        <w:t>背景、</w:t>
      </w:r>
      <w:r>
        <w:rPr>
          <w:rFonts w:hint="eastAsia" w:eastAsia="仿宋_GB2312" w:cs="Times New Roman"/>
          <w:color w:val="auto"/>
          <w:sz w:val="32"/>
          <w:szCs w:val="32"/>
          <w:highlight w:val="none"/>
          <w:lang w:val="en-US" w:eastAsia="zh-CN"/>
        </w:rPr>
        <w:t>评价方法、绩效分析等方面进行分类，形成有效层级</w:t>
      </w:r>
      <w:r>
        <w:rPr>
          <w:rFonts w:hint="default" w:ascii="Times New Roman" w:hAnsi="Times New Roman" w:eastAsia="仿宋_GB2312" w:cs="Times New Roman"/>
          <w:color w:val="auto"/>
          <w:sz w:val="32"/>
          <w:szCs w:val="32"/>
          <w:highlight w:val="none"/>
          <w:lang w:val="en-US" w:eastAsia="zh-CN"/>
        </w:rPr>
        <w:t>为后续的</w:t>
      </w:r>
      <w:r>
        <w:rPr>
          <w:rFonts w:hint="eastAsia" w:eastAsia="仿宋_GB2312" w:cs="Times New Roman"/>
          <w:color w:val="auto"/>
          <w:sz w:val="32"/>
          <w:szCs w:val="32"/>
          <w:highlight w:val="none"/>
          <w:lang w:val="en-US" w:eastAsia="zh-CN"/>
        </w:rPr>
        <w:t>撰写</w:t>
      </w:r>
      <w:r>
        <w:rPr>
          <w:rFonts w:hint="default" w:ascii="Times New Roman" w:hAnsi="Times New Roman" w:eastAsia="仿宋_GB2312" w:cs="Times New Roman"/>
          <w:color w:val="auto"/>
          <w:sz w:val="32"/>
          <w:szCs w:val="32"/>
          <w:highlight w:val="none"/>
          <w:lang w:val="en-US" w:eastAsia="zh-CN"/>
        </w:rPr>
        <w:t>提供</w:t>
      </w:r>
      <w:r>
        <w:rPr>
          <w:rFonts w:hint="eastAsia" w:eastAsia="仿宋_GB2312" w:cs="Times New Roman"/>
          <w:color w:val="auto"/>
          <w:sz w:val="32"/>
          <w:szCs w:val="32"/>
          <w:highlight w:val="none"/>
          <w:lang w:val="en-US" w:eastAsia="zh-CN"/>
        </w:rPr>
        <w:t>框架；</w:t>
      </w:r>
      <w:r>
        <w:rPr>
          <w:rFonts w:hint="default" w:ascii="Times New Roman" w:hAnsi="Times New Roman" w:eastAsia="仿宋_GB2312" w:cs="Times New Roman"/>
          <w:color w:val="auto"/>
          <w:sz w:val="32"/>
          <w:szCs w:val="32"/>
          <w:highlight w:val="none"/>
          <w:lang w:val="en-US" w:eastAsia="zh-CN"/>
        </w:rPr>
        <w:t>然后对各项绩效指标的完成情况进行了逐一分析和评价，指出了项目在实施过程中存在的问题和不足，并提出了相应的改进建议；最后对整个项目的绩效状况进行了</w:t>
      </w:r>
      <w:r>
        <w:rPr>
          <w:rFonts w:hint="eastAsia" w:eastAsia="仿宋_GB2312" w:cs="Times New Roman"/>
          <w:color w:val="auto"/>
          <w:sz w:val="32"/>
          <w:szCs w:val="32"/>
          <w:highlight w:val="none"/>
          <w:lang w:val="en-US" w:eastAsia="zh-CN"/>
        </w:rPr>
        <w:t>结论和建议</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按优先级排序，</w:t>
      </w:r>
      <w:r>
        <w:rPr>
          <w:rFonts w:hint="default" w:ascii="Times New Roman" w:hAnsi="Times New Roman" w:eastAsia="仿宋_GB2312" w:cs="Times New Roman"/>
          <w:color w:val="auto"/>
          <w:sz w:val="32"/>
          <w:szCs w:val="32"/>
          <w:highlight w:val="none"/>
          <w:lang w:val="en-US" w:eastAsia="zh-CN"/>
        </w:rPr>
        <w:t>给出了明确的评价结论和后续工作的建议</w:t>
      </w:r>
      <w:r>
        <w:rPr>
          <w:rFonts w:hint="eastAsia" w:eastAsia="仿宋_GB2312" w:cs="Times New Roman"/>
          <w:color w:val="auto"/>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2.绩效评价的目的</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w:t>
      </w: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rPr>
        <w:t>预算执行情况及各项绩效目标达成程度的系统性分析，全面、客观地评估项目在预定周期内的实施效果，包括提高服务群众效率</w:t>
      </w:r>
      <w:r>
        <w:rPr>
          <w:rFonts w:hint="eastAsia"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rPr>
        <w:t>社会效益指标，为项目后续的改进与优化提供科学依据。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（2）提升资源利用效率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eastAsia" w:eastAsia="仿宋_GB2312" w:cs="Times New Roman"/>
          <w:color w:val="auto"/>
          <w:sz w:val="32"/>
          <w:szCs w:val="32"/>
          <w:highlight w:val="none"/>
          <w:lang w:val="en-US" w:eastAsia="zh-CN"/>
        </w:rPr>
        <w:t>通过对部门专项-社区党建工作经费项目实施，识别短板、优化资源配置，</w:t>
      </w:r>
      <w:r>
        <w:rPr>
          <w:rFonts w:hint="default" w:ascii="Times New Roman" w:hAnsi="Times New Roman" w:eastAsia="仿宋_GB2312" w:cs="Times New Roman"/>
          <w:color w:val="auto"/>
          <w:sz w:val="32"/>
          <w:szCs w:val="32"/>
          <w:highlight w:val="none"/>
        </w:rPr>
        <w:t>识别资金使用过程中的环节与低效领域，挖掘潜在的资源优化配置空间，推动项目在有限的预算资源下实现更高的绩效产出，提升整体资源利用效率</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 xml:space="preserve">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w:t>
      </w:r>
      <w:r>
        <w:rPr>
          <w:rFonts w:hint="eastAsia" w:eastAsia="仿宋_GB2312" w:cs="Times New Roman"/>
          <w:color w:val="auto"/>
          <w:sz w:val="32"/>
          <w:szCs w:val="32"/>
          <w:highlight w:val="none"/>
          <w:lang w:val="en-US" w:eastAsia="zh-CN"/>
        </w:rPr>
        <w:t>部门专项-社区党建工作经费</w:t>
      </w:r>
      <w:r>
        <w:rPr>
          <w:rFonts w:hint="default" w:ascii="Times New Roman" w:hAnsi="Times New Roman" w:eastAsia="仿宋_GB2312" w:cs="Times New Roman"/>
          <w:color w:val="auto"/>
          <w:sz w:val="32"/>
          <w:szCs w:val="32"/>
          <w:highlight w:val="none"/>
        </w:rPr>
        <w:t>项目主管部门、财政部门提供详实、准确的绩效评价信息，</w:t>
      </w:r>
      <w:r>
        <w:rPr>
          <w:rFonts w:hint="eastAsia" w:eastAsia="仿宋_GB2312" w:cs="Times New Roman"/>
          <w:color w:val="auto"/>
          <w:sz w:val="32"/>
          <w:szCs w:val="32"/>
          <w:highlight w:val="none"/>
          <w:lang w:val="en-US" w:eastAsia="zh-CN"/>
        </w:rPr>
        <w:t>在</w:t>
      </w:r>
      <w:r>
        <w:rPr>
          <w:rFonts w:hint="default" w:ascii="Times New Roman" w:hAnsi="Times New Roman" w:eastAsia="仿宋_GB2312" w:cs="Times New Roman"/>
          <w:color w:val="auto"/>
          <w:sz w:val="32"/>
          <w:szCs w:val="32"/>
          <w:highlight w:val="none"/>
        </w:rPr>
        <w:t>关键决策环节做出科学、合理的判断，促进项目资源的合理分配与有效整合，推动</w:t>
      </w:r>
      <w:r>
        <w:rPr>
          <w:rFonts w:hint="eastAsia" w:eastAsia="仿宋_GB2312" w:cs="Times New Roman"/>
          <w:color w:val="auto"/>
          <w:sz w:val="32"/>
          <w:szCs w:val="32"/>
          <w:highlight w:val="none"/>
          <w:lang w:val="en-US" w:eastAsia="zh-CN"/>
        </w:rPr>
        <w:t>决策实施的准确性，</w:t>
      </w:r>
      <w:r>
        <w:rPr>
          <w:rFonts w:hint="default" w:ascii="Times New Roman" w:hAnsi="Times New Roman" w:eastAsia="仿宋_GB2312" w:cs="Times New Roman"/>
          <w:color w:val="auto"/>
          <w:sz w:val="32"/>
          <w:szCs w:val="32"/>
          <w:highlight w:val="none"/>
        </w:rPr>
        <w:t>提升资源</w:t>
      </w:r>
      <w:r>
        <w:rPr>
          <w:rFonts w:hint="eastAsia" w:eastAsia="仿宋_GB2312" w:cs="Times New Roman"/>
          <w:color w:val="auto"/>
          <w:sz w:val="32"/>
          <w:szCs w:val="32"/>
          <w:highlight w:val="none"/>
          <w:lang w:val="en-US" w:eastAsia="zh-CN"/>
        </w:rPr>
        <w:t>高效</w:t>
      </w:r>
      <w:r>
        <w:rPr>
          <w:rFonts w:hint="default" w:ascii="Times New Roman" w:hAnsi="Times New Roman" w:eastAsia="仿宋_GB2312" w:cs="Times New Roman"/>
          <w:color w:val="auto"/>
          <w:sz w:val="32"/>
          <w:szCs w:val="32"/>
          <w:highlight w:val="none"/>
        </w:rPr>
        <w:t>配置。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持续推进动态监测，对于</w:t>
      </w:r>
      <w:r>
        <w:rPr>
          <w:rFonts w:hint="default" w:ascii="Times New Roman" w:hAnsi="Times New Roman" w:eastAsia="仿宋_GB2312" w:cs="Times New Roman"/>
          <w:color w:val="auto"/>
          <w:sz w:val="32"/>
          <w:szCs w:val="32"/>
          <w:highlight w:val="none"/>
        </w:rPr>
        <w:t>绩效评价</w:t>
      </w:r>
      <w:r>
        <w:rPr>
          <w:rFonts w:hint="eastAsia" w:eastAsia="仿宋_GB2312" w:cs="Times New Roman"/>
          <w:color w:val="auto"/>
          <w:sz w:val="32"/>
          <w:szCs w:val="32"/>
          <w:highlight w:val="none"/>
          <w:lang w:val="en-US" w:eastAsia="zh-CN"/>
        </w:rPr>
        <w:t>中</w:t>
      </w:r>
      <w:r>
        <w:rPr>
          <w:rFonts w:hint="default" w:ascii="Times New Roman" w:hAnsi="Times New Roman" w:eastAsia="仿宋_GB2312" w:cs="Times New Roman"/>
          <w:color w:val="auto"/>
          <w:sz w:val="32"/>
          <w:szCs w:val="32"/>
          <w:highlight w:val="none"/>
        </w:rPr>
        <w:t>发现的问题与不足，提出针对性的改进建议与措施，加强过程监控把控，形成项目绩效持续改进的良性循环</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rPr>
        <w:t>预算绩效评价报告的编制以提升项目绩效为核心，旨在通过科学、严谨的评价工作，为项目管理与决策提供全方位的支持，</w:t>
      </w:r>
      <w:r>
        <w:rPr>
          <w:rFonts w:hint="eastAsia" w:eastAsia="仿宋_GB2312" w:cs="Times New Roman"/>
          <w:color w:val="auto"/>
          <w:sz w:val="32"/>
          <w:szCs w:val="32"/>
          <w:highlight w:val="none"/>
          <w:lang w:val="en-US" w:eastAsia="zh-CN"/>
        </w:rPr>
        <w:t>使</w:t>
      </w:r>
      <w:r>
        <w:rPr>
          <w:rFonts w:hint="default" w:ascii="Times New Roman" w:hAnsi="Times New Roman" w:eastAsia="仿宋_GB2312" w:cs="Times New Roman"/>
          <w:color w:val="auto"/>
          <w:sz w:val="32"/>
          <w:szCs w:val="32"/>
          <w:highlight w:val="none"/>
        </w:rPr>
        <w:t>项目在预算约束下实现高质量、可持续发展，充分发挥财政资金的社会效益。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3.绩效评价的对象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本项目预算绩效评价报告的评价对象是部门专项-社区党建工作经费及其预算执行情况。该项目由</w:t>
      </w:r>
      <w:r>
        <w:rPr>
          <w:rFonts w:hint="eastAsia" w:ascii="Times New Roman" w:hAnsi="Times New Roman" w:eastAsia="仿宋_GB2312" w:cs="Times New Roman"/>
          <w:b w:val="0"/>
          <w:bCs w:val="0"/>
          <w:kern w:val="2"/>
          <w:sz w:val="32"/>
          <w:szCs w:val="32"/>
          <w:highlight w:val="none"/>
          <w:lang w:val="en-US" w:eastAsia="zh-CN" w:bidi="ar-SA"/>
        </w:rPr>
        <w:t>西尼尔镇人民政府</w:t>
      </w:r>
      <w:r>
        <w:rPr>
          <w:rFonts w:hint="default" w:ascii="Times New Roman" w:hAnsi="Times New Roman" w:eastAsia="仿宋_GB2312" w:cs="Times New Roman"/>
          <w:b w:val="0"/>
          <w:bCs w:val="0"/>
          <w:kern w:val="2"/>
          <w:sz w:val="32"/>
          <w:szCs w:val="32"/>
          <w:highlight w:val="none"/>
          <w:lang w:val="en-US" w:eastAsia="zh-CN" w:bidi="ar-SA"/>
        </w:rPr>
        <w:t>负责实施，旨在实现社区党委数量全覆盖，确保2个小社区正常运转。项目预算涵盖从</w:t>
      </w:r>
      <w:r>
        <w:rPr>
          <w:rFonts w:hint="eastAsia" w:ascii="Times New Roman" w:hAnsi="Times New Roman" w:eastAsia="仿宋_GB2312" w:cs="Times New Roman"/>
          <w:b w:val="0"/>
          <w:bCs w:val="0"/>
          <w:kern w:val="2"/>
          <w:sz w:val="32"/>
          <w:szCs w:val="32"/>
          <w:highlight w:val="none"/>
          <w:lang w:val="en-US" w:eastAsia="zh-CN" w:bidi="ar-SA"/>
        </w:rPr>
        <w:t>2024年1月1日</w:t>
      </w:r>
      <w:r>
        <w:rPr>
          <w:rFonts w:hint="default" w:ascii="Times New Roman" w:hAnsi="Times New Roman" w:eastAsia="仿宋_GB2312" w:cs="Times New Roman"/>
          <w:b w:val="0"/>
          <w:bCs w:val="0"/>
          <w:kern w:val="2"/>
          <w:sz w:val="32"/>
          <w:szCs w:val="32"/>
          <w:highlight w:val="none"/>
          <w:lang w:val="en-US" w:eastAsia="zh-CN" w:bidi="ar-SA"/>
        </w:rPr>
        <w:t>至</w:t>
      </w:r>
      <w:r>
        <w:rPr>
          <w:rFonts w:hint="eastAsia" w:ascii="Times New Roman" w:hAnsi="Times New Roman" w:eastAsia="仿宋_GB2312" w:cs="Times New Roman"/>
          <w:b w:val="0"/>
          <w:bCs w:val="0"/>
          <w:kern w:val="2"/>
          <w:sz w:val="32"/>
          <w:szCs w:val="32"/>
          <w:highlight w:val="none"/>
          <w:lang w:val="en-US" w:eastAsia="zh-CN" w:bidi="ar-SA"/>
        </w:rPr>
        <w:t>2024年12月31日</w:t>
      </w:r>
      <w:r>
        <w:rPr>
          <w:rFonts w:hint="default" w:ascii="Times New Roman" w:hAnsi="Times New Roman" w:eastAsia="仿宋_GB2312" w:cs="Times New Roman"/>
          <w:b w:val="0"/>
          <w:bCs w:val="0"/>
          <w:kern w:val="2"/>
          <w:sz w:val="32"/>
          <w:szCs w:val="32"/>
          <w:highlight w:val="none"/>
          <w:lang w:val="en-US" w:eastAsia="zh-CN" w:bidi="ar-SA"/>
        </w:rPr>
        <w:t>的全部资金投入与支出，涉及资金总额为</w:t>
      </w:r>
      <w:r>
        <w:rPr>
          <w:rFonts w:hint="eastAsia" w:ascii="Times New Roman" w:hAnsi="Times New Roman" w:eastAsia="仿宋_GB2312" w:cs="Times New Roman"/>
          <w:b w:val="0"/>
          <w:bCs w:val="0"/>
          <w:kern w:val="2"/>
          <w:sz w:val="32"/>
          <w:szCs w:val="32"/>
          <w:highlight w:val="none"/>
          <w:lang w:val="en-US" w:eastAsia="zh-CN" w:bidi="ar-SA"/>
        </w:rPr>
        <w:t>17.36</w:t>
      </w:r>
      <w:r>
        <w:rPr>
          <w:rFonts w:hint="default" w:ascii="Times New Roman" w:hAnsi="Times New Roman" w:eastAsia="仿宋_GB2312" w:cs="Times New Roman"/>
          <w:b w:val="0"/>
          <w:bCs w:val="0"/>
          <w:kern w:val="2"/>
          <w:sz w:val="32"/>
          <w:szCs w:val="32"/>
          <w:highlight w:val="none"/>
          <w:lang w:val="en-US" w:eastAsia="zh-CN" w:bidi="ar-SA"/>
        </w:rPr>
        <w:t>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4.绩效评价的范围</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lang w:eastAsia="zh-CN"/>
        </w:rPr>
        <w:t>部门专项-社区党建工作经费项目</w:t>
      </w:r>
      <w:r>
        <w:rPr>
          <w:rFonts w:hint="default" w:ascii="Times New Roman" w:hAnsi="Times New Roman" w:eastAsia="仿宋_GB2312" w:cs="Times New Roman"/>
          <w:b w:val="0"/>
          <w:bCs w:val="0"/>
          <w:color w:val="auto"/>
          <w:highlight w:val="none"/>
        </w:rPr>
        <w:t>预算绩效评价报告的评价范围广泛而全面，涵盖了从</w:t>
      </w:r>
      <w:r>
        <w:rPr>
          <w:rFonts w:hint="eastAsia" w:ascii="Times New Roman" w:hAnsi="Times New Roman" w:eastAsia="仿宋_GB2312" w:cs="Times New Roman"/>
          <w:b w:val="0"/>
          <w:bCs w:val="0"/>
          <w:color w:val="auto"/>
          <w:highlight w:val="none"/>
          <w:lang w:val="en-US" w:eastAsia="zh-CN"/>
        </w:rPr>
        <w:t>部门专项-社区党建工作经费项目</w:t>
      </w:r>
      <w:r>
        <w:rPr>
          <w:rFonts w:hint="default" w:ascii="Times New Roman" w:hAnsi="Times New Roman" w:eastAsia="仿宋_GB2312" w:cs="Times New Roman"/>
          <w:b w:val="0"/>
          <w:bCs w:val="0"/>
          <w:color w:val="auto"/>
          <w:highlight w:val="none"/>
        </w:rPr>
        <w:t>立项至评价时点期间的所有关键预算活动和财务流程。具体而言，评价范围包括但不限于以下几个方面：</w:t>
      </w:r>
    </w:p>
    <w:p>
      <w:pPr>
        <w:pStyle w:val="12"/>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w:t>
      </w:r>
      <w:r>
        <w:rPr>
          <w:rFonts w:hint="eastAsia" w:ascii="Times New Roman" w:hAnsi="Times New Roman" w:eastAsia="仿宋_GB2312" w:cs="Times New Roman"/>
          <w:b w:val="0"/>
          <w:bCs w:val="0"/>
          <w:color w:val="auto"/>
          <w:highlight w:val="none"/>
          <w:lang w:val="en-US" w:eastAsia="zh-CN"/>
        </w:rPr>
        <w:t>部门专项-社区党建工作经费项目</w:t>
      </w:r>
      <w:r>
        <w:rPr>
          <w:rFonts w:hint="default" w:ascii="Times New Roman" w:hAnsi="Times New Roman" w:eastAsia="仿宋_GB2312" w:cs="Times New Roman"/>
          <w:b w:val="0"/>
          <w:bCs w:val="0"/>
          <w:color w:val="auto"/>
          <w:highlight w:val="none"/>
        </w:rPr>
        <w:t>预算的编制依据、合理性、科学性以及实际执行情况，包括预算调整的原因和效果。</w:t>
      </w:r>
    </w:p>
    <w:p>
      <w:pPr>
        <w:pStyle w:val="12"/>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w:t>
      </w:r>
      <w:r>
        <w:rPr>
          <w:rFonts w:hint="eastAsia" w:ascii="Times New Roman" w:hAnsi="Times New Roman" w:eastAsia="仿宋_GB2312" w:cs="Times New Roman"/>
          <w:b w:val="0"/>
          <w:bCs w:val="0"/>
          <w:color w:val="auto"/>
          <w:highlight w:val="none"/>
          <w:lang w:val="en-US" w:eastAsia="zh-CN"/>
        </w:rPr>
        <w:t>部门专项-社区党建工作经费项目</w:t>
      </w:r>
      <w:r>
        <w:rPr>
          <w:rFonts w:hint="default" w:ascii="Times New Roman" w:hAnsi="Times New Roman" w:eastAsia="仿宋_GB2312" w:cs="Times New Roman"/>
          <w:b w:val="0"/>
          <w:bCs w:val="0"/>
          <w:color w:val="auto"/>
          <w:highlight w:val="none"/>
        </w:rPr>
        <w:t>资金的分配、使用和监管情况，确保资金使用的合规性、高效性和透明度。</w:t>
      </w:r>
    </w:p>
    <w:p>
      <w:pPr>
        <w:pStyle w:val="12"/>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Times New Roman" w:hAnsi="Times New Roman" w:eastAsia="仿宋_GB2312" w:cs="Times New Roman"/>
          <w:b w:val="0"/>
          <w:bCs w:val="0"/>
          <w:color w:val="auto"/>
          <w:highlight w:val="none"/>
          <w:lang w:val="en-US" w:eastAsia="zh-CN"/>
        </w:rPr>
        <w:t>项目</w:t>
      </w:r>
      <w:r>
        <w:rPr>
          <w:rFonts w:hint="default" w:ascii="Times New Roman" w:hAnsi="Times New Roman" w:eastAsia="仿宋_GB2312" w:cs="Times New Roman"/>
          <w:b w:val="0"/>
          <w:bCs w:val="0"/>
          <w:color w:val="auto"/>
          <w:highlight w:val="none"/>
        </w:rPr>
        <w:t>实施进度与产出：评估</w:t>
      </w:r>
      <w:r>
        <w:rPr>
          <w:rFonts w:hint="eastAsia" w:ascii="Times New Roman" w:hAnsi="Times New Roman" w:eastAsia="仿宋_GB2312" w:cs="Times New Roman"/>
          <w:b w:val="0"/>
          <w:bCs w:val="0"/>
          <w:color w:val="auto"/>
          <w:highlight w:val="none"/>
          <w:lang w:val="en-US" w:eastAsia="zh-CN"/>
        </w:rPr>
        <w:t>部门专项-社区党建工作经费项目</w:t>
      </w:r>
      <w:r>
        <w:rPr>
          <w:rFonts w:hint="default" w:ascii="Times New Roman" w:hAnsi="Times New Roman" w:eastAsia="仿宋_GB2312" w:cs="Times New Roman"/>
          <w:b w:val="0"/>
          <w:bCs w:val="0"/>
          <w:color w:val="auto"/>
          <w:highlight w:val="none"/>
        </w:rPr>
        <w:t>是否按照既定计划顺利推进，各项任务是否按时完成，以及</w:t>
      </w:r>
      <w:r>
        <w:rPr>
          <w:rFonts w:hint="eastAsia" w:ascii="Times New Roman" w:hAnsi="Times New Roman" w:eastAsia="仿宋_GB2312" w:cs="Times New Roman"/>
          <w:b w:val="0"/>
          <w:bCs w:val="0"/>
          <w:color w:val="auto"/>
          <w:highlight w:val="none"/>
          <w:lang w:val="en-US" w:eastAsia="zh-CN"/>
        </w:rPr>
        <w:t>部门专项-社区党建工作经费项目</w:t>
      </w:r>
      <w:r>
        <w:rPr>
          <w:rFonts w:hint="default" w:ascii="Times New Roman" w:hAnsi="Times New Roman" w:eastAsia="仿宋_GB2312" w:cs="Times New Roman"/>
          <w:b w:val="0"/>
          <w:bCs w:val="0"/>
          <w:color w:val="auto"/>
          <w:highlight w:val="none"/>
        </w:rPr>
        <w:t>产出的数量、质量和时效性是否符合预期。</w:t>
      </w:r>
    </w:p>
    <w:p>
      <w:pPr>
        <w:pStyle w:val="13"/>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eastAsia" w:eastAsia="仿宋_GB2312" w:cs="Times New Roman"/>
          <w:b w:val="0"/>
          <w:bCs w:val="0"/>
          <w:color w:val="auto"/>
          <w:kern w:val="28"/>
          <w:sz w:val="32"/>
          <w:szCs w:val="32"/>
          <w:highlight w:val="none"/>
          <w:lang w:val="en-US" w:eastAsia="zh-CN" w:bidi="ar-SA"/>
        </w:rPr>
        <w:t>（4）</w:t>
      </w:r>
      <w:r>
        <w:rPr>
          <w:rFonts w:hint="default" w:ascii="Times New Roman" w:hAnsi="Times New Roman" w:eastAsia="仿宋_GB2312" w:cs="Times New Roman"/>
          <w:b w:val="0"/>
          <w:bCs w:val="0"/>
          <w:color w:val="auto"/>
          <w:kern w:val="28"/>
          <w:sz w:val="32"/>
          <w:szCs w:val="32"/>
          <w:highlight w:val="none"/>
          <w:lang w:val="en-US" w:eastAsia="zh-CN" w:bidi="ar-SA"/>
        </w:rPr>
        <w:t>社会影响：考察</w:t>
      </w:r>
      <w:r>
        <w:rPr>
          <w:rFonts w:hint="eastAsia" w:ascii="Times New Roman" w:hAnsi="Times New Roman" w:eastAsia="仿宋_GB2312" w:cs="Times New Roman"/>
          <w:b w:val="0"/>
          <w:bCs w:val="0"/>
          <w:color w:val="auto"/>
          <w:kern w:val="28"/>
          <w:sz w:val="32"/>
          <w:szCs w:val="32"/>
          <w:highlight w:val="none"/>
          <w:lang w:val="en-US" w:eastAsia="zh-CN" w:bidi="ar-SA"/>
        </w:rPr>
        <w:t>部门专项-社区党建工作经费项目</w:t>
      </w:r>
      <w:r>
        <w:rPr>
          <w:rFonts w:hint="eastAsia" w:eastAsia="仿宋_GB2312" w:cs="Times New Roman"/>
          <w:b w:val="0"/>
          <w:bCs w:val="0"/>
          <w:color w:val="auto"/>
          <w:kern w:val="28"/>
          <w:sz w:val="32"/>
          <w:szCs w:val="32"/>
          <w:highlight w:val="none"/>
          <w:lang w:val="en-US" w:eastAsia="zh-CN" w:bidi="ar-SA"/>
        </w:rPr>
        <w:t>是否有效提高服务居民质量。</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1.绩效评价原则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本次项目绩效评价遵循以下基本原则：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（1）科学公正。绩效评价应当运用科学合理的方法，按照规范的程序，对项目绩效进行客观、公正的反映。</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（3）激励约束。绩效评价结果应与预算安排、政策调整、改进管理实质性挂钩，体现奖优罚劣和激励相容导向，有效要安排、低效要压减、无效要问责。</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2.评价指标体系</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（1）确定评价指标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（2）确定权重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确定各个指标相对于项目总体绩效的权重分值。在绩效评价指标体系中，项目决策权重为20分，项目过程权重为20分，项目产出权重为40分，项目效益权重为20分。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（3）确定指标标准值</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指标标准值是绩效评价指标的尺度，既要反映同类项目的先进水平，又要符合项目的实际绩效水平。具体采用计划标准等确定此次绩效评价指标标准值。</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绩效评价总分值100分，根据综合评分结果，90（含）-100分为优、80（含）-90分为良、60（含）-80分为中、60分以下为差。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具体评价指标体系详情见附件1</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3.绩效评价方法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绩效评价从项目决策、项目过程、项目产出、项目效益四个维度进行评价。评价对象为项目目标实施情况，评价核心为资金的支出完成情况和项目的产出效益。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因素分析法。是指综合分析影响绩效目标实现、实施效果的内外部因素的方法。</w:t>
      </w:r>
      <w:r>
        <w:rPr>
          <w:rFonts w:hint="eastAsia" w:eastAsia="仿宋_GB2312" w:cs="Times New Roman"/>
          <w:b w:val="0"/>
          <w:bCs w:val="0"/>
          <w:kern w:val="2"/>
          <w:sz w:val="32"/>
          <w:szCs w:val="32"/>
          <w:highlight w:val="none"/>
          <w:lang w:val="en-US" w:eastAsia="zh-CN" w:bidi="ar-SA"/>
        </w:rPr>
        <w:t>通过使用</w:t>
      </w:r>
      <w:r>
        <w:rPr>
          <w:rFonts w:hint="default" w:ascii="Times New Roman" w:hAnsi="Times New Roman" w:eastAsia="仿宋_GB2312" w:cs="Times New Roman"/>
          <w:b w:val="0"/>
          <w:bCs w:val="0"/>
          <w:kern w:val="2"/>
          <w:sz w:val="32"/>
          <w:szCs w:val="32"/>
          <w:highlight w:val="none"/>
          <w:lang w:val="en-US" w:eastAsia="zh-CN" w:bidi="ar-SA"/>
        </w:rPr>
        <w:t>因素分析法</w:t>
      </w:r>
      <w:r>
        <w:rPr>
          <w:rFonts w:hint="eastAsia" w:eastAsia="仿宋_GB2312" w:cs="Times New Roman"/>
          <w:b w:val="0"/>
          <w:bCs w:val="0"/>
          <w:kern w:val="2"/>
          <w:sz w:val="32"/>
          <w:szCs w:val="32"/>
          <w:highlight w:val="none"/>
          <w:lang w:val="en-US" w:eastAsia="zh-CN" w:bidi="ar-SA"/>
        </w:rPr>
        <w:t>，部门专项-社区党建工作经费项目在绩效自评中能更好的计算投入产出比，帮助评价者从多个角度分析问题，确保评价的全面性和客观性</w:t>
      </w:r>
      <w:r>
        <w:rPr>
          <w:rFonts w:hint="default" w:ascii="Times New Roman" w:hAnsi="Times New Roman" w:eastAsia="仿宋_GB2312" w:cs="Times New Roman"/>
          <w:b w:val="0"/>
          <w:bCs w:val="0"/>
          <w:kern w:val="2"/>
          <w:sz w:val="32"/>
          <w:szCs w:val="32"/>
          <w:highlight w:val="none"/>
          <w:lang w:val="en-US" w:eastAsia="zh-CN" w:bidi="ar-SA"/>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4.评价标准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绩效评价标准通常包括计划标准、行业标准、历史标准等，用于对绩效指标完成情况进行比较、分析、评价。本次评价主要采用了历史标准</w:t>
      </w:r>
      <w:r>
        <w:rPr>
          <w:rFonts w:hint="eastAsia" w:eastAsia="仿宋_GB2312" w:cs="Times New Roman"/>
          <w:b w:val="0"/>
          <w:bCs w:val="0"/>
          <w:kern w:val="2"/>
          <w:sz w:val="32"/>
          <w:szCs w:val="32"/>
          <w:highlight w:val="none"/>
          <w:lang w:val="en-US" w:eastAsia="zh-CN" w:bidi="ar-SA"/>
        </w:rPr>
        <w:t>，使用历史标准减少了评价过程中的客观性和随意性，使得评价结果会更加客观和可信，可以避免因个人偏好或解释差异而导致的评价偏差。</w:t>
      </w:r>
    </w:p>
    <w:p>
      <w:pPr>
        <w:pStyle w:val="12"/>
        <w:keepNext w:val="0"/>
        <w:keepLines w:val="0"/>
        <w:pageBreakBefore w:val="0"/>
        <w:widowControl/>
        <w:numPr>
          <w:ilvl w:val="0"/>
          <w:numId w:val="2"/>
        </w:numPr>
        <w:kinsoku/>
        <w:wordWrap/>
        <w:overflowPunct/>
        <w:topLinePunct w:val="0"/>
        <w:autoSpaceDE/>
        <w:autoSpaceDN/>
        <w:bidi w:val="0"/>
        <w:adjustRightInd/>
        <w:snapToGrid/>
        <w:spacing w:before="0" w:after="0" w:line="560" w:lineRule="exact"/>
        <w:ind w:firstLine="0" w:firstLineChars="0"/>
        <w:jc w:val="both"/>
        <w:textAlignment w:val="auto"/>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w:t>
      </w:r>
      <w:r>
        <w:rPr>
          <w:rFonts w:hint="eastAsia" w:eastAsia="仿宋_GB2312" w:cs="Times New Roman"/>
          <w:color w:val="auto"/>
          <w:sz w:val="32"/>
          <w:szCs w:val="32"/>
          <w:highlight w:val="none"/>
          <w:lang w:val="en-US" w:eastAsia="zh-CN"/>
        </w:rPr>
        <w:t>包括：财务分管领导李阳和财政所工作人员杨卫峰、赖军及各科室干部组成，</w:t>
      </w:r>
      <w:r>
        <w:rPr>
          <w:rFonts w:hint="default" w:ascii="Times New Roman" w:hAnsi="Times New Roman" w:eastAsia="仿宋_GB2312" w:cs="Times New Roman"/>
          <w:color w:val="auto"/>
          <w:sz w:val="32"/>
          <w:szCs w:val="32"/>
          <w:highlight w:val="none"/>
        </w:rPr>
        <w:t>确保从多角度、全方位对项目绩效进行评价。同时，明确了评价工作的目标、范围、重点及时间安排，制定了详细的工作计划，为评价工作的顺利开展奠定了坚实基础。</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清晰阐述</w:t>
      </w:r>
      <w:r>
        <w:rPr>
          <w:rFonts w:hint="default" w:ascii="Times New Roman" w:hAnsi="Times New Roman" w:eastAsia="仿宋_GB2312" w:cs="Times New Roman"/>
          <w:color w:val="auto"/>
          <w:sz w:val="32"/>
          <w:szCs w:val="32"/>
          <w:highlight w:val="none"/>
          <w:lang w:eastAsia="zh-CN"/>
        </w:rPr>
        <w:t>项目</w:t>
      </w:r>
      <w:r>
        <w:rPr>
          <w:rFonts w:hint="eastAsia" w:eastAsia="仿宋_GB2312" w:cs="Times New Roman"/>
          <w:color w:val="auto"/>
          <w:sz w:val="32"/>
          <w:szCs w:val="32"/>
          <w:highlight w:val="none"/>
          <w:lang w:val="en-US" w:eastAsia="zh-CN"/>
        </w:rPr>
        <w:t>目的</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为后续指标设计提供方向指引。</w:t>
      </w:r>
      <w:r>
        <w:rPr>
          <w:rFonts w:hint="default" w:ascii="Times New Roman" w:hAnsi="Times New Roman" w:eastAsia="仿宋_GB2312" w:cs="Times New Roman"/>
          <w:color w:val="auto"/>
          <w:sz w:val="32"/>
          <w:szCs w:val="32"/>
          <w:highlight w:val="none"/>
          <w:lang w:eastAsia="zh-CN"/>
        </w:rPr>
        <w:t>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w:t>
      </w:r>
      <w:r>
        <w:rPr>
          <w:rFonts w:hint="eastAsia" w:eastAsia="仿宋_GB2312" w:cs="Times New Roman"/>
          <w:color w:val="auto"/>
          <w:sz w:val="32"/>
          <w:szCs w:val="32"/>
          <w:highlight w:val="none"/>
          <w:lang w:val="en-US" w:eastAsia="zh-CN"/>
        </w:rPr>
        <w:t>合理搭配确保全面评估</w:t>
      </w:r>
      <w:r>
        <w:rPr>
          <w:rFonts w:hint="default" w:ascii="Times New Roman" w:hAnsi="Times New Roman" w:eastAsia="仿宋_GB2312" w:cs="Times New Roman"/>
          <w:color w:val="auto"/>
          <w:sz w:val="32"/>
          <w:szCs w:val="32"/>
          <w:highlight w:val="none"/>
          <w:lang w:eastAsia="zh-CN"/>
        </w:rPr>
        <w:t>。</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有效</w:t>
      </w:r>
      <w:r>
        <w:rPr>
          <w:rFonts w:hint="default" w:ascii="Times New Roman" w:hAnsi="Times New Roman" w:eastAsia="仿宋_GB2312" w:cs="Times New Roman"/>
          <w:color w:val="auto"/>
          <w:sz w:val="32"/>
          <w:szCs w:val="32"/>
          <w:highlight w:val="none"/>
          <w:lang w:eastAsia="zh-CN"/>
        </w:rPr>
        <w:t>收集社区党建工作</w:t>
      </w:r>
      <w:r>
        <w:rPr>
          <w:rFonts w:hint="eastAsia"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lang w:eastAsia="zh-CN"/>
        </w:rPr>
        <w:t>相关数据，包括财务报表、</w:t>
      </w:r>
      <w:r>
        <w:rPr>
          <w:rFonts w:hint="eastAsia" w:eastAsia="仿宋_GB2312" w:cs="Times New Roman"/>
          <w:color w:val="auto"/>
          <w:sz w:val="32"/>
          <w:szCs w:val="32"/>
          <w:highlight w:val="none"/>
          <w:lang w:val="en-US" w:eastAsia="zh-CN"/>
        </w:rPr>
        <w:t>问卷调查、国库集中支付凭证等</w:t>
      </w:r>
      <w:r>
        <w:rPr>
          <w:rFonts w:hint="default" w:ascii="Times New Roman" w:hAnsi="Times New Roman" w:eastAsia="仿宋_GB2312" w:cs="Times New Roman"/>
          <w:color w:val="auto"/>
          <w:sz w:val="32"/>
          <w:szCs w:val="32"/>
          <w:highlight w:val="none"/>
          <w:lang w:eastAsia="zh-CN"/>
        </w:rPr>
        <w:t>。在数据收集过程中，注重数据的</w:t>
      </w:r>
      <w:r>
        <w:rPr>
          <w:rFonts w:hint="eastAsia" w:eastAsia="仿宋_GB2312" w:cs="Times New Roman"/>
          <w:color w:val="auto"/>
          <w:sz w:val="32"/>
          <w:szCs w:val="32"/>
          <w:highlight w:val="none"/>
          <w:lang w:val="en-US" w:eastAsia="zh-CN"/>
        </w:rPr>
        <w:t>真实性</w:t>
      </w:r>
      <w:r>
        <w:rPr>
          <w:rFonts w:hint="default" w:ascii="Times New Roman" w:hAnsi="Times New Roman" w:eastAsia="仿宋_GB2312" w:cs="Times New Roman"/>
          <w:color w:val="auto"/>
          <w:sz w:val="32"/>
          <w:szCs w:val="32"/>
          <w:highlight w:val="none"/>
          <w:lang w:eastAsia="zh-CN"/>
        </w:rPr>
        <w:t>与完整性，对收集到的数据进行了系统的整理与分类，为后续的数据分析提供了有力支持。</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（4）数据分析与评估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w:t>
      </w:r>
      <w:r>
        <w:rPr>
          <w:rFonts w:hint="eastAsia" w:eastAsia="仿宋_GB2312" w:cs="Times New Roman"/>
          <w:color w:val="auto"/>
          <w:sz w:val="32"/>
          <w:szCs w:val="32"/>
          <w:highlight w:val="none"/>
          <w:lang w:val="en-US" w:eastAsia="zh-CN"/>
        </w:rPr>
        <w:t>挖掘、</w:t>
      </w:r>
      <w:r>
        <w:rPr>
          <w:rFonts w:hint="default" w:ascii="Times New Roman" w:hAnsi="Times New Roman" w:eastAsia="仿宋_GB2312" w:cs="Times New Roman"/>
          <w:color w:val="auto"/>
          <w:sz w:val="32"/>
          <w:szCs w:val="32"/>
          <w:highlight w:val="none"/>
          <w:lang w:eastAsia="zh-CN"/>
        </w:rPr>
        <w:t>分析。通过对各项绩效指标的实际完成情况与预期目标进行对比，</w:t>
      </w:r>
      <w:r>
        <w:rPr>
          <w:rFonts w:hint="eastAsia" w:eastAsia="仿宋_GB2312" w:cs="Times New Roman"/>
          <w:color w:val="auto"/>
          <w:sz w:val="32"/>
          <w:szCs w:val="32"/>
          <w:highlight w:val="none"/>
          <w:lang w:val="en-US" w:eastAsia="zh-CN"/>
        </w:rPr>
        <w:t>通过数据分析揭示项目绩效状况和存在的问题</w:t>
      </w:r>
      <w:r>
        <w:rPr>
          <w:rFonts w:hint="default" w:ascii="Times New Roman" w:hAnsi="Times New Roman" w:eastAsia="仿宋_GB2312" w:cs="Times New Roman"/>
          <w:color w:val="auto"/>
          <w:sz w:val="32"/>
          <w:szCs w:val="32"/>
          <w:highlight w:val="none"/>
          <w:lang w:eastAsia="zh-CN"/>
        </w:rPr>
        <w:t>，注重数据之间的关联性，深入剖析项目绩效背后的原因，为提出有针对性的改进建议提供了依据。</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（5）报告撰写与反馈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eastAsia="仿宋_GB2312" w:cs="Times New Roman"/>
          <w:color w:val="auto"/>
          <w:sz w:val="32"/>
          <w:szCs w:val="32"/>
          <w:highlight w:val="none"/>
          <w:lang w:val="en-US" w:eastAsia="zh-CN"/>
        </w:rPr>
        <w:t>在报告撰写完成后，及时向项目实施主体及相关利益相关者进行反馈，通过规范的报告撰写与高效的反馈机制，既能系统的展示项目价值，又能推动经验沉淀与能力迭代，实现项目全周期管理的良性循环。</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（6）后续跟踪与改进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在评价报告提交后，我们将持续跟踪项目的改进措施落实情况，定期对项目绩效进行复查与评估，优化</w:t>
      </w:r>
      <w:r>
        <w:rPr>
          <w:rFonts w:hint="eastAsia" w:eastAsia="仿宋_GB2312" w:cs="Times New Roman"/>
          <w:color w:val="auto"/>
          <w:sz w:val="32"/>
          <w:szCs w:val="32"/>
          <w:highlight w:val="none"/>
          <w:lang w:val="en-US" w:eastAsia="zh-CN"/>
        </w:rPr>
        <w:t>反馈机制本身的效率与覆盖面</w:t>
      </w:r>
      <w:r>
        <w:rPr>
          <w:rFonts w:hint="default" w:ascii="Times New Roman" w:hAnsi="Times New Roman" w:eastAsia="仿宋_GB2312" w:cs="Times New Roman"/>
          <w:color w:val="auto"/>
          <w:sz w:val="32"/>
          <w:szCs w:val="32"/>
          <w:highlight w:val="none"/>
          <w:lang w:eastAsia="zh-CN"/>
        </w:rPr>
        <w:t>，实现绩效的持续提升。</w:t>
      </w:r>
      <w:r>
        <w:rPr>
          <w:rFonts w:hint="eastAsia" w:eastAsia="仿宋_GB2312" w:cs="Times New Roman"/>
          <w:color w:val="auto"/>
          <w:sz w:val="32"/>
          <w:szCs w:val="32"/>
          <w:highlight w:val="none"/>
          <w:lang w:val="en-US" w:eastAsia="zh-CN"/>
        </w:rPr>
        <w:t>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2"/>
        <w:keepNext w:val="0"/>
        <w:keepLines w:val="0"/>
        <w:pageBreakBefore w:val="0"/>
        <w:widowControl/>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本</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rPr>
        <w:t>的综合评价基于对项目各方面绩效的深入分析与评估。从项目目标的达成情况来看，</w:t>
      </w:r>
      <w:r>
        <w:rPr>
          <w:rFonts w:hint="default" w:ascii="Times New Roman" w:hAnsi="Times New Roman" w:eastAsia="仿宋_GB2312" w:cs="Times New Roman"/>
          <w:color w:val="auto"/>
          <w:kern w:val="0"/>
          <w:sz w:val="32"/>
          <w:szCs w:val="32"/>
          <w:highlight w:val="none"/>
          <w:lang w:val="en-US" w:eastAsia="zh-CN" w:bidi="ar"/>
        </w:rPr>
        <w:t>部门专项-社区党建工作经费</w:t>
      </w:r>
      <w:r>
        <w:rPr>
          <w:rFonts w:hint="eastAsia" w:eastAsia="仿宋_GB2312" w:cs="Times New Roman"/>
          <w:color w:val="auto"/>
          <w:kern w:val="0"/>
          <w:sz w:val="32"/>
          <w:szCs w:val="32"/>
          <w:highlight w:val="none"/>
          <w:lang w:val="en-US" w:eastAsia="zh-CN" w:bidi="ar"/>
        </w:rPr>
        <w:t>项目</w:t>
      </w:r>
      <w:r>
        <w:rPr>
          <w:rFonts w:hint="default" w:ascii="Times New Roman" w:hAnsi="Times New Roman" w:eastAsia="仿宋_GB2312" w:cs="Times New Roman"/>
          <w:color w:val="auto"/>
          <w:sz w:val="32"/>
          <w:szCs w:val="32"/>
          <w:highlight w:val="none"/>
        </w:rPr>
        <w:t>在确保</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个</w:t>
      </w:r>
      <w:r>
        <w:rPr>
          <w:rFonts w:hint="eastAsia" w:eastAsia="仿宋_GB2312" w:cs="Times New Roman"/>
          <w:color w:val="auto"/>
          <w:sz w:val="32"/>
          <w:szCs w:val="32"/>
          <w:highlight w:val="none"/>
          <w:lang w:val="en-US" w:eastAsia="zh-CN"/>
        </w:rPr>
        <w:t>小</w:t>
      </w:r>
      <w:r>
        <w:rPr>
          <w:rFonts w:hint="default" w:ascii="Times New Roman" w:hAnsi="Times New Roman" w:eastAsia="仿宋_GB2312" w:cs="Times New Roman"/>
          <w:color w:val="auto"/>
          <w:sz w:val="32"/>
          <w:szCs w:val="32"/>
          <w:highlight w:val="none"/>
        </w:rPr>
        <w:t>社区正常运转、提升社区干部为民服务能力、提高服务水平，顺利服务于居民，提高</w:t>
      </w:r>
      <w:r>
        <w:rPr>
          <w:rFonts w:hint="eastAsia" w:eastAsia="仿宋_GB2312" w:cs="Times New Roman"/>
          <w:color w:val="auto"/>
          <w:sz w:val="32"/>
          <w:szCs w:val="32"/>
          <w:highlight w:val="none"/>
          <w:lang w:eastAsia="zh-CN"/>
        </w:rPr>
        <w:t>居民</w:t>
      </w:r>
      <w:r>
        <w:rPr>
          <w:rFonts w:hint="default" w:ascii="Times New Roman" w:hAnsi="Times New Roman" w:eastAsia="仿宋_GB2312" w:cs="Times New Roman"/>
          <w:color w:val="auto"/>
          <w:sz w:val="32"/>
          <w:szCs w:val="32"/>
          <w:highlight w:val="none"/>
        </w:rPr>
        <w:t>幸福指数等方面表现出色，达到了预期的标准与要求。同时，项目也在</w:t>
      </w:r>
      <w:r>
        <w:rPr>
          <w:rFonts w:hint="eastAsia" w:ascii="Times New Roman" w:hAnsi="Times New Roman" w:eastAsia="仿宋_GB2312" w:cs="Times New Roman"/>
          <w:color w:val="auto"/>
          <w:sz w:val="32"/>
          <w:szCs w:val="32"/>
          <w:highlight w:val="none"/>
        </w:rPr>
        <w:t>社会治理、民生改善、文化凝聚</w:t>
      </w:r>
      <w:r>
        <w:rPr>
          <w:rFonts w:hint="eastAsia" w:eastAsia="仿宋_GB2312" w:cs="Times New Roman"/>
          <w:color w:val="auto"/>
          <w:sz w:val="32"/>
          <w:szCs w:val="32"/>
          <w:highlight w:val="none"/>
          <w:lang w:eastAsia="zh-CN"/>
        </w:rPr>
        <w:t>等</w:t>
      </w:r>
      <w:r>
        <w:rPr>
          <w:rFonts w:hint="default" w:ascii="Times New Roman" w:hAnsi="Times New Roman" w:eastAsia="仿宋_GB2312" w:cs="Times New Roman"/>
          <w:color w:val="auto"/>
          <w:sz w:val="32"/>
          <w:szCs w:val="32"/>
          <w:highlight w:val="none"/>
        </w:rPr>
        <w:t>取得了显著的成效，如</w:t>
      </w:r>
      <w:r>
        <w:rPr>
          <w:rFonts w:hint="eastAsia" w:eastAsia="仿宋_GB2312" w:cs="Times New Roman"/>
          <w:color w:val="auto"/>
          <w:sz w:val="32"/>
          <w:szCs w:val="32"/>
          <w:highlight w:val="none"/>
          <w:lang w:val="en-US" w:eastAsia="zh-CN"/>
        </w:rPr>
        <w:t>社区党组织能更高效地宣传贯彻党中央决策部署、党的二十大精神、民生政策，通过“入户宣讲”等形式将政策转化为群众易懂的“本地话”，确保政策解读不偏差、执行无梗阻</w:t>
      </w:r>
      <w:r>
        <w:rPr>
          <w:rFonts w:hint="default" w:ascii="Times New Roman" w:hAnsi="Times New Roman" w:eastAsia="仿宋_GB2312" w:cs="Times New Roman"/>
          <w:color w:val="auto"/>
          <w:sz w:val="32"/>
          <w:szCs w:val="32"/>
          <w:highlight w:val="none"/>
        </w:rPr>
        <w:t>等。</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eastAsia="zh-CN"/>
        </w:rPr>
        <w:t>库尔勒市</w:t>
      </w:r>
      <w:r>
        <w:rPr>
          <w:rFonts w:hint="eastAsia" w:eastAsia="仿宋_GB2312" w:cs="Times New Roman"/>
          <w:color w:val="auto"/>
          <w:sz w:val="32"/>
          <w:szCs w:val="32"/>
          <w:highlight w:val="none"/>
          <w:lang w:val="en-US" w:eastAsia="zh-CN"/>
        </w:rPr>
        <w:t>西尼尔镇人民政府</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rPr>
        <w:t>实现了预期的社会效益</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产生了积极的影响。具体而言，</w:t>
      </w:r>
      <w:r>
        <w:rPr>
          <w:rFonts w:hint="eastAsia" w:eastAsia="仿宋_GB2312" w:cs="Times New Roman"/>
          <w:color w:val="auto"/>
          <w:sz w:val="32"/>
          <w:szCs w:val="32"/>
          <w:highlight w:val="none"/>
          <w:lang w:val="en-US" w:eastAsia="zh-CN"/>
        </w:rPr>
        <w:t>在群众文化生活、居民生活环境等方面、通过经费支持党建联建、区域化党建，社区党组织联动辖区企业、社会组织等形成“红色联盟”，打破以往单一治理主体的局限性，</w:t>
      </w:r>
      <w:r>
        <w:rPr>
          <w:rFonts w:hint="default" w:ascii="Times New Roman" w:hAnsi="Times New Roman" w:eastAsia="仿宋_GB2312" w:cs="Times New Roman"/>
          <w:color w:val="auto"/>
          <w:sz w:val="32"/>
          <w:szCs w:val="32"/>
          <w:highlight w:val="none"/>
        </w:rPr>
        <w:t>为项目的利益相关者带来了实实在在的利益。</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综上所述，部门专项-社区党建工作经费</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pPr>
        <w:pStyle w:val="12"/>
        <w:keepNext w:val="0"/>
        <w:keepLines w:val="0"/>
        <w:pageBreakBefore w:val="0"/>
        <w:widowControl/>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lang w:val="en-US" w:eastAsia="zh-CN"/>
        </w:rPr>
        <w:t>97</w:t>
      </w:r>
      <w:r>
        <w:rPr>
          <w:rFonts w:hint="default" w:ascii="Times New Roman" w:hAnsi="Times New Roman" w:eastAsia="仿宋_GB2312" w:cs="Times New Roman"/>
          <w:b w:val="0"/>
          <w:bCs w:val="0"/>
        </w:rPr>
        <w:t xml:space="preserve">分，属于“优”。其中，项目决策类指标权重为20分，得分为 </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%。项目过程类指标权重为20分，得分为</w:t>
      </w:r>
      <w:r>
        <w:rPr>
          <w:rFonts w:hint="eastAsia" w:ascii="Times New Roman" w:hAnsi="Times New Roman" w:eastAsia="仿宋_GB2312" w:cs="Times New Roman"/>
          <w:b w:val="0"/>
          <w:bCs w:val="0"/>
          <w:lang w:val="en-US" w:eastAsia="zh-CN"/>
        </w:rPr>
        <w:t>19</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95</w:t>
      </w:r>
      <w:r>
        <w:rPr>
          <w:rFonts w:hint="default" w:ascii="Times New Roman" w:hAnsi="Times New Roman" w:eastAsia="仿宋_GB2312" w:cs="Times New Roman"/>
          <w:b w:val="0"/>
          <w:bCs w:val="0"/>
        </w:rPr>
        <w:t>%。项目产出类指标权重为40分，得分为</w:t>
      </w:r>
      <w:r>
        <w:rPr>
          <w:rFonts w:hint="eastAsia" w:ascii="Times New Roman" w:hAnsi="Times New Roman" w:eastAsia="仿宋_GB2312" w:cs="Times New Roman"/>
          <w:b w:val="0"/>
          <w:bCs w:val="0"/>
          <w:lang w:val="en-US" w:eastAsia="zh-CN"/>
        </w:rPr>
        <w:t>38</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95</w:t>
      </w:r>
      <w:r>
        <w:rPr>
          <w:rFonts w:hint="default" w:ascii="Times New Roman" w:hAnsi="Times New Roman" w:eastAsia="仿宋_GB2312" w:cs="Times New Roman"/>
          <w:b w:val="0"/>
          <w:bCs w:val="0"/>
        </w:rPr>
        <w:t>%。项目效益类指标权重为20分，得分为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38</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97</w:t>
            </w:r>
          </w:p>
        </w:tc>
      </w:tr>
    </w:tbl>
    <w:p>
      <w:pPr>
        <w:spacing w:line="56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2"/>
        <w:spacing w:before="0" w:after="0" w:line="560" w:lineRule="exact"/>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lang w:val="en-US" w:eastAsia="zh-CN"/>
        </w:rPr>
        <w:t>该项目立项符合</w:t>
      </w:r>
      <w:r>
        <w:rPr>
          <w:rFonts w:hint="eastAsia" w:eastAsia="仿宋_GB2312" w:cs="Times New Roman"/>
          <w:color w:val="auto"/>
          <w:sz w:val="32"/>
          <w:szCs w:val="32"/>
          <w:highlight w:val="none"/>
          <w:lang w:val="en-US" w:eastAsia="zh-CN"/>
        </w:rPr>
        <w:t>《关于村组（社区、网格）运行经费和FHJ驻村工作队为民办实事经费使用的工作提示》，符合</w:t>
      </w:r>
      <w:r>
        <w:rPr>
          <w:rFonts w:hint="default" w:ascii="Times New Roman" w:hAnsi="Times New Roman" w:eastAsia="仿宋_GB2312" w:cs="Times New Roman"/>
          <w:color w:val="auto"/>
          <w:sz w:val="32"/>
          <w:szCs w:val="32"/>
          <w:highlight w:val="none"/>
          <w:lang w:val="en-US" w:eastAsia="zh-CN"/>
        </w:rPr>
        <w:t>国家相关法律法规及发展政策，符合行业规划要求，围绕本年度工作重点和工作计划制定经费预算，属于公共财政支持范围。</w:t>
      </w: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的预算编制过程严谨、科学，充分体现了精细化管理的要求。预算编制之初，进行了全面的成本估算，</w:t>
      </w:r>
      <w:r>
        <w:rPr>
          <w:rFonts w:hint="eastAsia" w:eastAsia="仿宋_GB2312" w:cs="Times New Roman"/>
          <w:color w:val="auto"/>
          <w:sz w:val="32"/>
          <w:szCs w:val="32"/>
          <w:highlight w:val="none"/>
          <w:lang w:eastAsia="zh-CN"/>
        </w:rPr>
        <w:t>按管辖社区数量，</w:t>
      </w:r>
      <w:r>
        <w:rPr>
          <w:rFonts w:hint="eastAsia" w:eastAsia="仿宋_GB2312" w:cs="Times New Roman"/>
          <w:color w:val="auto"/>
          <w:sz w:val="32"/>
          <w:szCs w:val="32"/>
          <w:highlight w:val="none"/>
          <w:lang w:val="en-US" w:eastAsia="zh-CN"/>
        </w:rPr>
        <w:t>2个小社区每年10万元，</w:t>
      </w:r>
      <w:r>
        <w:rPr>
          <w:rFonts w:hint="default" w:ascii="Times New Roman" w:hAnsi="Times New Roman" w:eastAsia="仿宋_GB2312" w:cs="Times New Roman"/>
          <w:color w:val="auto"/>
          <w:sz w:val="32"/>
          <w:szCs w:val="32"/>
          <w:highlight w:val="none"/>
          <w:lang w:eastAsia="zh-CN"/>
        </w:rPr>
        <w:t>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w:t>
      </w:r>
      <w:r>
        <w:rPr>
          <w:rFonts w:hint="eastAsia" w:eastAsia="仿宋_GB2312" w:cs="Times New Roman"/>
          <w:color w:val="auto"/>
          <w:sz w:val="32"/>
          <w:szCs w:val="32"/>
          <w:highlight w:val="none"/>
          <w:lang w:eastAsia="zh-CN"/>
        </w:rPr>
        <w:t>对红旗社区进行</w:t>
      </w:r>
      <w:r>
        <w:rPr>
          <w:rFonts w:hint="default" w:ascii="Times New Roman" w:hAnsi="Times New Roman" w:eastAsia="仿宋_GB2312" w:cs="Times New Roman"/>
          <w:color w:val="auto"/>
          <w:sz w:val="32"/>
          <w:szCs w:val="32"/>
          <w:highlight w:val="none"/>
          <w:lang w:eastAsia="zh-CN"/>
        </w:rPr>
        <w:t>优化资源配置、提高资金使用效率等措施，确保项目在有限的预算内取得最大的经济效益与社会效益。此外，预算编制还充分考虑了风险因素，对</w:t>
      </w:r>
      <w:bookmarkStart w:id="1" w:name="OLE_LINK5"/>
      <w:r>
        <w:rPr>
          <w:rFonts w:hint="default" w:ascii="Times New Roman" w:hAnsi="Times New Roman" w:eastAsia="仿宋_GB2312" w:cs="Times New Roman"/>
          <w:color w:val="auto"/>
          <w:sz w:val="32"/>
          <w:szCs w:val="32"/>
          <w:highlight w:val="none"/>
          <w:lang w:eastAsia="zh-CN"/>
        </w:rPr>
        <w:t>可能出现的超支情况</w:t>
      </w:r>
      <w:bookmarkEnd w:id="1"/>
      <w:r>
        <w:rPr>
          <w:rFonts w:hint="default" w:ascii="Times New Roman" w:hAnsi="Times New Roman" w:eastAsia="仿宋_GB2312" w:cs="Times New Roman"/>
          <w:color w:val="auto"/>
          <w:sz w:val="32"/>
          <w:szCs w:val="32"/>
          <w:highlight w:val="none"/>
          <w:lang w:eastAsia="zh-CN"/>
        </w:rPr>
        <w:t>进行了</w:t>
      </w:r>
      <w:r>
        <w:rPr>
          <w:rFonts w:hint="eastAsia" w:eastAsia="仿宋_GB2312" w:cs="Times New Roman"/>
          <w:color w:val="auto"/>
          <w:sz w:val="32"/>
          <w:szCs w:val="32"/>
          <w:highlight w:val="none"/>
          <w:lang w:eastAsia="zh-CN"/>
        </w:rPr>
        <w:t>提前</w:t>
      </w:r>
      <w:r>
        <w:rPr>
          <w:rFonts w:hint="default" w:ascii="Times New Roman" w:hAnsi="Times New Roman" w:eastAsia="仿宋_GB2312" w:cs="Times New Roman"/>
          <w:color w:val="auto"/>
          <w:sz w:val="32"/>
          <w:szCs w:val="32"/>
          <w:highlight w:val="none"/>
          <w:lang w:eastAsia="zh-CN"/>
        </w:rPr>
        <w:t>规划，</w:t>
      </w:r>
      <w:r>
        <w:rPr>
          <w:rFonts w:hint="eastAsia" w:eastAsia="仿宋_GB2312" w:cs="Times New Roman"/>
          <w:color w:val="auto"/>
          <w:sz w:val="32"/>
          <w:szCs w:val="32"/>
          <w:highlight w:val="none"/>
          <w:lang w:eastAsia="zh-CN"/>
        </w:rPr>
        <w:t>在管辖</w:t>
      </w:r>
      <w:r>
        <w:rPr>
          <w:rFonts w:hint="eastAsia" w:eastAsia="仿宋_GB2312" w:cs="Times New Roman"/>
          <w:color w:val="auto"/>
          <w:sz w:val="32"/>
          <w:szCs w:val="32"/>
          <w:highlight w:val="none"/>
          <w:lang w:val="en-US" w:eastAsia="zh-CN"/>
        </w:rPr>
        <w:t>2个社区间进行资源调配，</w:t>
      </w:r>
      <w:r>
        <w:rPr>
          <w:rFonts w:hint="default" w:ascii="Times New Roman" w:hAnsi="Times New Roman" w:eastAsia="仿宋_GB2312" w:cs="Times New Roman"/>
          <w:color w:val="auto"/>
          <w:sz w:val="32"/>
          <w:szCs w:val="32"/>
          <w:highlight w:val="none"/>
          <w:lang w:eastAsia="zh-CN"/>
        </w:rPr>
        <w:t>以</w:t>
      </w:r>
      <w:r>
        <w:rPr>
          <w:rFonts w:hint="eastAsia" w:eastAsia="仿宋_GB2312" w:cs="Times New Roman"/>
          <w:color w:val="auto"/>
          <w:sz w:val="32"/>
          <w:szCs w:val="32"/>
          <w:highlight w:val="none"/>
          <w:lang w:eastAsia="zh-CN"/>
        </w:rPr>
        <w:t>应对</w:t>
      </w:r>
      <w:r>
        <w:rPr>
          <w:rFonts w:hint="default" w:ascii="Times New Roman" w:hAnsi="Times New Roman" w:eastAsia="仿宋_GB2312" w:cs="Times New Roman"/>
          <w:color w:val="auto"/>
          <w:sz w:val="32"/>
          <w:szCs w:val="32"/>
          <w:highlight w:val="none"/>
          <w:lang w:eastAsia="zh-CN"/>
        </w:rPr>
        <w:t>可能出现的超支情况。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的资金分配</w:t>
      </w:r>
      <w:r>
        <w:rPr>
          <w:rFonts w:hint="eastAsia" w:eastAsia="仿宋_GB2312" w:cs="Times New Roman"/>
          <w:color w:val="auto"/>
          <w:sz w:val="32"/>
          <w:szCs w:val="32"/>
          <w:highlight w:val="none"/>
          <w:lang w:val="en-US" w:eastAsia="zh-CN"/>
        </w:rPr>
        <w:t>的合理性是保障项目顺利实施、实现预期绩效目标的关键</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资金分配的过程应当公开透明，确保资金的使用合理性。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12"/>
        <w:keepNext w:val="0"/>
        <w:keepLines w:val="0"/>
        <w:pageBreakBefore w:val="0"/>
        <w:widowControl/>
        <w:numPr>
          <w:ilvl w:val="0"/>
          <w:numId w:val="4"/>
        </w:numPr>
        <w:kinsoku/>
        <w:wordWrap/>
        <w:overflowPunct/>
        <w:topLinePunct w:val="0"/>
        <w:autoSpaceDE/>
        <w:autoSpaceDN/>
        <w:bidi w:val="0"/>
        <w:adjustRightInd/>
        <w:snapToGrid/>
        <w:spacing w:before="0" w:after="0" w:line="560" w:lineRule="exact"/>
        <w:ind w:firstLine="0" w:firstLineChars="0"/>
        <w:jc w:val="both"/>
        <w:textAlignment w:val="auto"/>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项目过程类指标包括资金管理和组织实施两方面的内容，由5个三级指标构成，权重分值为20分，实际得分</w:t>
      </w:r>
      <w:r>
        <w:rPr>
          <w:rFonts w:hint="eastAsia" w:ascii="Times New Roman" w:hAnsi="Times New Roman" w:eastAsia="仿宋_GB2312" w:cs="Times New Roman"/>
          <w:sz w:val="32"/>
          <w:szCs w:val="32"/>
          <w:lang w:val="en-US" w:eastAsia="zh-CN"/>
        </w:rPr>
        <w:t>19</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eastAsia" w:ascii="Times New Roman" w:hAnsi="Times New Roman" w:eastAsia="仿宋_GB2312" w:cs="Times New Roman"/>
          <w:sz w:val="32"/>
          <w:szCs w:val="32"/>
          <w:lang w:val="en-US" w:eastAsia="zh-CN"/>
        </w:rPr>
        <w:t>20.00</w:t>
      </w:r>
      <w:r>
        <w:rPr>
          <w:rFonts w:hint="default" w:ascii="Times New Roman" w:hAnsi="Times New Roman" w:eastAsia="仿宋_GB2312" w:cs="Times New Roman"/>
          <w:sz w:val="32"/>
          <w:szCs w:val="32"/>
          <w:lang w:val="en-US" w:eastAsia="zh-CN"/>
        </w:rPr>
        <w:t>万元，财政资金及时足额到位，到位率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ascii="Times New Roman" w:hAnsi="Times New Roman" w:eastAsia="仿宋_GB2312" w:cs="Times New Roman"/>
          <w:sz w:val="32"/>
          <w:szCs w:val="32"/>
          <w:lang w:val="en-US" w:eastAsia="zh-CN"/>
        </w:rPr>
        <w:t>17.36</w:t>
      </w:r>
      <w:r>
        <w:rPr>
          <w:rFonts w:hint="default" w:ascii="Times New Roman" w:hAnsi="Times New Roman" w:eastAsia="仿宋_GB2312" w:cs="Times New Roman"/>
          <w:sz w:val="32"/>
          <w:szCs w:val="32"/>
          <w:lang w:val="en-US" w:eastAsia="zh-CN"/>
        </w:rPr>
        <w:t>万元，预算执行率为</w:t>
      </w:r>
      <w:r>
        <w:rPr>
          <w:rFonts w:hint="eastAsia" w:ascii="Times New Roman" w:hAnsi="Times New Roman" w:eastAsia="仿宋_GB2312" w:cs="Times New Roman"/>
          <w:sz w:val="32"/>
          <w:szCs w:val="32"/>
          <w:lang w:val="en-US" w:eastAsia="zh-CN"/>
        </w:rPr>
        <w:t>86.80</w:t>
      </w:r>
      <w:r>
        <w:rPr>
          <w:rFonts w:hint="default" w:ascii="Times New Roman" w:hAnsi="Times New Roman" w:eastAsia="仿宋_GB2312"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此项权重分值为4分，得分为3分。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的资金使用严格遵循了</w:t>
      </w:r>
      <w:r>
        <w:rPr>
          <w:rFonts w:hint="eastAsia" w:eastAsia="仿宋_GB2312" w:cs="Times New Roman"/>
          <w:color w:val="auto"/>
          <w:sz w:val="32"/>
          <w:szCs w:val="32"/>
          <w:highlight w:val="none"/>
          <w:lang w:val="en-US" w:eastAsia="zh-CN"/>
        </w:rPr>
        <w:t>《关于村组（社区、网格）运行经费和FHJ驻村工作队为民办实事经费使用的工作提示》和</w:t>
      </w:r>
      <w:r>
        <w:rPr>
          <w:rFonts w:hint="default" w:ascii="Times New Roman" w:hAnsi="Times New Roman" w:eastAsia="仿宋_GB2312" w:cs="Times New Roman"/>
          <w:color w:val="auto"/>
          <w:sz w:val="32"/>
          <w:szCs w:val="32"/>
          <w:highlight w:val="none"/>
          <w:lang w:eastAsia="zh-CN"/>
        </w:rPr>
        <w:t>国家相关法律法规与财务制度，确保了资金的合规性与安全性。在资金使用过程中，我们建立了</w:t>
      </w:r>
      <w:r>
        <w:rPr>
          <w:rFonts w:hint="eastAsia" w:eastAsia="仿宋_GB2312" w:cs="Times New Roman"/>
          <w:color w:val="auto"/>
          <w:sz w:val="32"/>
          <w:szCs w:val="32"/>
          <w:highlight w:val="none"/>
          <w:lang w:eastAsia="zh-CN"/>
        </w:rPr>
        <w:t>《西尼尔镇人民政府财务管理制度》</w:t>
      </w:r>
      <w:r>
        <w:rPr>
          <w:rFonts w:hint="default" w:ascii="Times New Roman" w:hAnsi="Times New Roman" w:eastAsia="仿宋_GB2312" w:cs="Times New Roman"/>
          <w:color w:val="auto"/>
          <w:sz w:val="32"/>
          <w:szCs w:val="32"/>
          <w:highlight w:val="none"/>
          <w:lang w:eastAsia="zh-CN"/>
        </w:rPr>
        <w:t>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的资金使用是合规的、安全的，既符合国家法律法规的要求，又满足了项目实施的实际需要。资金使用的合规性为项目的成功实施提供了有力的保障</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eastAsia" w:eastAsia="仿宋_GB2312" w:cs="Times New Roman"/>
          <w:color w:val="auto"/>
          <w:sz w:val="32"/>
          <w:szCs w:val="32"/>
          <w:highlight w:val="none"/>
          <w:lang w:val="en-US" w:eastAsia="zh-CN"/>
        </w:rPr>
        <w:t>制定了《西尼尔镇人民政府</w:t>
      </w:r>
      <w:r>
        <w:rPr>
          <w:rFonts w:hint="default" w:ascii="Times New Roman" w:hAnsi="Times New Roman" w:eastAsia="仿宋_GB2312" w:cs="Times New Roman"/>
          <w:color w:val="auto"/>
          <w:sz w:val="32"/>
          <w:szCs w:val="32"/>
          <w:highlight w:val="none"/>
          <w:lang w:eastAsia="zh-CN"/>
        </w:rPr>
        <w:t>财务管理制度</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体系，为项目的成功实施提供了坚实的制度保障</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突出管理制度对项目的有序推进的支撑作用</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完整性、执行有效性</w:t>
      </w:r>
      <w:r>
        <w:rPr>
          <w:rFonts w:hint="default" w:ascii="Times New Roman" w:hAnsi="Times New Roman" w:eastAsia="仿宋_GB2312" w:cs="Times New Roman"/>
          <w:color w:val="auto"/>
          <w:sz w:val="32"/>
          <w:szCs w:val="32"/>
          <w:highlight w:val="none"/>
          <w:lang w:eastAsia="zh-CN"/>
        </w:rPr>
        <w:t>，确保制度能够切实指导项目的执行与管理。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的管理制度是健全</w:t>
      </w:r>
      <w:r>
        <w:rPr>
          <w:rFonts w:hint="eastAsia" w:eastAsia="仿宋_GB2312" w:cs="Times New Roman"/>
          <w:color w:val="auto"/>
          <w:sz w:val="32"/>
          <w:szCs w:val="32"/>
          <w:highlight w:val="none"/>
          <w:lang w:val="en-US" w:eastAsia="zh-CN"/>
        </w:rPr>
        <w:t>性，体现管理制度在保障项目规范运行、防范风险、提升效能方面的重要作用，</w:t>
      </w:r>
      <w:r>
        <w:rPr>
          <w:rFonts w:hint="default" w:ascii="Times New Roman" w:hAnsi="Times New Roman" w:eastAsia="仿宋_GB2312" w:cs="Times New Roman"/>
          <w:color w:val="auto"/>
          <w:sz w:val="32"/>
          <w:szCs w:val="32"/>
          <w:highlight w:val="none"/>
          <w:lang w:eastAsia="zh-CN"/>
        </w:rPr>
        <w:t>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在具体执行过程中，</w:t>
      </w:r>
      <w:r>
        <w:rPr>
          <w:rFonts w:hint="eastAsia" w:eastAsia="仿宋_GB2312" w:cs="Times New Roman"/>
          <w:color w:val="auto"/>
          <w:sz w:val="32"/>
          <w:szCs w:val="32"/>
          <w:highlight w:val="none"/>
          <w:lang w:val="en-US" w:eastAsia="zh-CN"/>
        </w:rPr>
        <w:t>选取能体现制度执行效果的量化指标，用数据直接反映执行率与质量。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个三级指标构成，权重分为40分，实际得分</w:t>
      </w:r>
      <w:r>
        <w:rPr>
          <w:rFonts w:hint="eastAsia" w:ascii="Times New Roman" w:hAnsi="Times New Roman" w:eastAsia="仿宋_GB2312" w:cs="Times New Roman"/>
          <w:sz w:val="32"/>
          <w:szCs w:val="32"/>
          <w:lang w:val="en-US" w:eastAsia="zh-CN"/>
        </w:rPr>
        <w:t>38</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指标1：社区个数，指标值：&gt;=2个  ，实际完成值：=2个，指标完成率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社区服务人次</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1500人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1500人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保障社区正常运转率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指标1：资金支付及时率，指标值：=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指标1：社区平均运转经费数</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指标值：&lt;=10万元/个，实际完成值：=8.68万元/个，指标完成率86.8</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偏差原因：正在办理支出手续。改进措施：加快办理资金支付手续。</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此项权重分值为40分，得分为38分。</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w:t>
      </w:r>
      <w:r>
        <w:rPr>
          <w:rFonts w:hint="default"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个三级指标构成，权重分为20分，实际</w:t>
      </w:r>
      <w:r>
        <w:rPr>
          <w:rFonts w:hint="eastAsia" w:eastAsia="仿宋_GB2312" w:cs="Times New Roman"/>
          <w:sz w:val="32"/>
          <w:szCs w:val="32"/>
          <w:highlight w:val="none"/>
          <w:lang w:val="en-US" w:eastAsia="zh-CN"/>
        </w:rPr>
        <w:t>20</w:t>
      </w:r>
      <w:r>
        <w:rPr>
          <w:rFonts w:hint="default"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%。具体效益指标及满意度指标完成情况如下：</w:t>
      </w:r>
    </w:p>
    <w:p>
      <w:pPr>
        <w:keepNext w:val="0"/>
        <w:keepLines w:val="0"/>
        <w:pageBreakBefore w:val="0"/>
        <w:widowControl w:val="0"/>
        <w:numPr>
          <w:ilvl w:val="0"/>
          <w:numId w:val="5"/>
        </w:numPr>
        <w:shd w:val="clear"/>
        <w:tabs>
          <w:tab w:val="left" w:pos="0"/>
        </w:tabs>
        <w:kinsoku/>
        <w:wordWrap/>
        <w:overflowPunct/>
        <w:topLinePunct w:val="0"/>
        <w:autoSpaceDE/>
        <w:autoSpaceDN/>
        <w:bidi w:val="0"/>
        <w:adjustRightInd/>
        <w:snapToGrid/>
        <w:spacing w:line="600" w:lineRule="exact"/>
        <w:ind w:left="-11" w:leftChars="0" w:firstLine="641" w:firstLineChars="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ascii="微软雅黑" w:hAnsi="微软雅黑" w:eastAsia="微软雅黑" w:cs="微软雅黑"/>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指标1：受益社区数量</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指标值：&gt;=2个，实际完成值：=2个</w:t>
      </w:r>
      <w:r>
        <w:rPr>
          <w:rFonts w:hint="default" w:ascii="Times New Roman" w:hAnsi="Times New Roman" w:eastAsia="仿宋_GB2312" w:cs="Times New Roman"/>
          <w:sz w:val="32"/>
          <w:szCs w:val="32"/>
          <w:highlight w:val="none"/>
        </w:rPr>
        <w:tab/>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numPr>
          <w:ilvl w:val="0"/>
          <w:numId w:val="5"/>
        </w:numPr>
        <w:shd w:val="clear"/>
        <w:spacing w:line="600" w:lineRule="exact"/>
        <w:ind w:left="-10" w:leftChars="0" w:firstLine="640" w:firstLineChars="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w:t>
      </w:r>
    </w:p>
    <w:p>
      <w:pPr>
        <w:shd w:val="clear"/>
        <w:spacing w:line="600" w:lineRule="exact"/>
        <w:ind w:firstLine="420" w:firstLineChars="200"/>
        <w:outlineLvl w:val="0"/>
        <w:rPr>
          <w:rFonts w:hint="default"/>
          <w:lang w:val="en-US" w:eastAsia="zh-CN"/>
        </w:rPr>
      </w:pPr>
      <w:r>
        <w:rPr>
          <w:rFonts w:hint="eastAsia"/>
          <w:lang w:val="en-US" w:eastAsia="zh-CN"/>
        </w:rPr>
        <w:t xml:space="preserve">  </w:t>
      </w:r>
      <w:r>
        <w:rPr>
          <w:rFonts w:hint="default" w:ascii="Times New Roman" w:hAnsi="Times New Roman" w:eastAsia="仿宋_GB2312" w:cs="Times New Roman"/>
          <w:sz w:val="32"/>
          <w:szCs w:val="32"/>
          <w:highlight w:val="none"/>
        </w:rPr>
        <w:t>指标1：居民满意度</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指标值：&gt;=95%，实际完成值：=95%，指标完成率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此项权重分值为20分，得分为20分。</w:t>
      </w:r>
    </w:p>
    <w:p>
      <w:pPr>
        <w:spacing w:line="560" w:lineRule="exact"/>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部门专项-社区党建工作经费项目年初预算</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万元，全年预算</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万元，实际支出</w:t>
      </w:r>
      <w:r>
        <w:rPr>
          <w:rFonts w:hint="eastAsia" w:ascii="Times New Roman" w:hAnsi="Times New Roman" w:eastAsia="仿宋_GB2312" w:cs="Times New Roman"/>
          <w:sz w:val="32"/>
          <w:szCs w:val="32"/>
          <w:highlight w:val="none"/>
          <w:lang w:val="en-US" w:eastAsia="zh-CN"/>
        </w:rPr>
        <w:t>17.36</w:t>
      </w:r>
      <w:r>
        <w:rPr>
          <w:rFonts w:hint="default" w:ascii="Times New Roman" w:hAnsi="Times New Roman" w:eastAsia="仿宋_GB2312" w:cs="Times New Roman"/>
          <w:sz w:val="32"/>
          <w:szCs w:val="32"/>
          <w:highlight w:val="none"/>
        </w:rPr>
        <w:t>万元，预算执行率为</w:t>
      </w:r>
      <w:r>
        <w:rPr>
          <w:rFonts w:hint="eastAsia" w:ascii="Times New Roman" w:hAnsi="Times New Roman" w:eastAsia="仿宋_GB2312" w:cs="Times New Roman"/>
          <w:sz w:val="32"/>
          <w:szCs w:val="32"/>
          <w:highlight w:val="none"/>
          <w:lang w:val="en-US" w:eastAsia="zh-CN"/>
        </w:rPr>
        <w:t>86.80</w:t>
      </w:r>
      <w:r>
        <w:rPr>
          <w:rFonts w:hint="default" w:ascii="Times New Roman" w:hAnsi="Times New Roman" w:eastAsia="仿宋_GB2312" w:cs="Times New Roman"/>
          <w:sz w:val="32"/>
          <w:szCs w:val="32"/>
          <w:highlight w:val="none"/>
        </w:rPr>
        <w:t>%，项目绩效指标总体完成率为</w:t>
      </w:r>
      <w:r>
        <w:rPr>
          <w:rFonts w:hint="eastAsia" w:ascii="Times New Roman" w:hAnsi="Times New Roman" w:eastAsia="仿宋_GB2312" w:cs="Times New Roman"/>
          <w:sz w:val="32"/>
          <w:szCs w:val="32"/>
          <w:highlight w:val="none"/>
          <w:lang w:val="en-US" w:eastAsia="zh-CN"/>
        </w:rPr>
        <w:t>98.11</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Hans"/>
        </w:rPr>
        <w:t>总体</w:t>
      </w:r>
      <w:r>
        <w:rPr>
          <w:rFonts w:hint="default" w:ascii="Times New Roman" w:hAnsi="Times New Roman" w:eastAsia="仿宋_GB2312" w:cs="Times New Roman"/>
          <w:sz w:val="32"/>
          <w:szCs w:val="32"/>
          <w:highlight w:val="none"/>
        </w:rPr>
        <w:t>偏差率为</w:t>
      </w:r>
      <w:r>
        <w:rPr>
          <w:rFonts w:hint="eastAsia" w:ascii="Times New Roman" w:hAnsi="Times New Roman" w:eastAsia="仿宋_GB2312" w:cs="Times New Roman"/>
          <w:sz w:val="32"/>
          <w:szCs w:val="32"/>
          <w:highlight w:val="none"/>
          <w:lang w:val="en-US" w:eastAsia="zh-CN"/>
        </w:rPr>
        <w:t>1.89</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偏差原因：</w:t>
      </w:r>
      <w:r>
        <w:rPr>
          <w:rFonts w:hint="eastAsia" w:ascii="Times New Roman" w:hAnsi="Times New Roman" w:eastAsia="仿宋_GB2312" w:cs="Times New Roman"/>
          <w:sz w:val="32"/>
          <w:szCs w:val="32"/>
          <w:highlight w:val="none"/>
          <w:lang w:eastAsia="zh-CN"/>
        </w:rPr>
        <w:t>正在办理支出手续。改进措施：加快办理资金支付手续。</w:t>
      </w:r>
    </w:p>
    <w:p>
      <w:pPr>
        <w:spacing w:line="560" w:lineRule="exact"/>
        <w:rPr>
          <w:rStyle w:val="20"/>
          <w:rFonts w:hint="default" w:ascii="Times New Roman" w:hAnsi="Times New Roman" w:cs="Times New Roman"/>
          <w:color w:val="auto"/>
        </w:rPr>
      </w:pPr>
      <w:r>
        <w:rPr>
          <w:rFonts w:hint="eastAsia" w:eastAsia="黑体" w:cs="Times New Roman"/>
          <w:sz w:val="32"/>
          <w:szCs w:val="32"/>
          <w:lang w:val="en-US" w:eastAsia="zh-CN"/>
        </w:rPr>
        <w:t>五</w:t>
      </w:r>
      <w:r>
        <w:rPr>
          <w:rFonts w:hint="eastAsia"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在项目资金使用过程中，严格落实把关，再三审核。</w:t>
      </w:r>
      <w:r>
        <w:rPr>
          <w:rFonts w:hint="eastAsia" w:eastAsia="仿宋_GB2312" w:cs="Times New Roman"/>
          <w:color w:val="auto"/>
          <w:sz w:val="32"/>
          <w:szCs w:val="32"/>
          <w:highlight w:val="none"/>
          <w:lang w:val="en-US" w:eastAsia="zh-CN"/>
        </w:rPr>
        <w:t>同时</w:t>
      </w:r>
      <w:r>
        <w:rPr>
          <w:rFonts w:hint="default" w:ascii="Times New Roman" w:hAnsi="Times New Roman" w:eastAsia="仿宋_GB2312" w:cs="Times New Roman"/>
          <w:color w:val="auto"/>
          <w:sz w:val="32"/>
          <w:szCs w:val="32"/>
          <w:highlight w:val="none"/>
        </w:rPr>
        <w:t>做好监督检查</w:t>
      </w:r>
      <w:r>
        <w:rPr>
          <w:rFonts w:hint="eastAsia" w:eastAsia="仿宋_GB2312" w:cs="Times New Roman"/>
          <w:color w:val="auto"/>
          <w:sz w:val="32"/>
          <w:szCs w:val="32"/>
          <w:highlight w:val="none"/>
          <w:lang w:val="en-US" w:eastAsia="zh-CN"/>
        </w:rPr>
        <w:t>工作</w:t>
      </w:r>
      <w:r>
        <w:rPr>
          <w:rFonts w:hint="default" w:ascii="Times New Roman" w:hAnsi="Times New Roman" w:eastAsia="仿宋_GB2312" w:cs="Times New Roman"/>
          <w:color w:val="auto"/>
          <w:sz w:val="32"/>
          <w:szCs w:val="32"/>
          <w:highlight w:val="none"/>
        </w:rPr>
        <w:t>，严格按照项目管理规范进行，按照项目资金使用范围做好审核工作，让项目资金落于实处。</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在项目完成后，</w:t>
      </w:r>
      <w:r>
        <w:rPr>
          <w:rFonts w:hint="eastAsia" w:eastAsia="仿宋_GB2312" w:cs="Times New Roman"/>
          <w:color w:val="auto"/>
          <w:sz w:val="32"/>
          <w:szCs w:val="32"/>
          <w:highlight w:val="none"/>
          <w:lang w:val="en-US" w:eastAsia="zh-CN"/>
        </w:rPr>
        <w:t>通过利益相关深度，公众参与评价，通过问卷满意度调查，盛情邀请辖区居民进行评价填写，将群众的意见纳入评价结果，</w:t>
      </w:r>
      <w:r>
        <w:rPr>
          <w:rFonts w:hint="default" w:ascii="Times New Roman" w:hAnsi="Times New Roman" w:eastAsia="仿宋_GB2312" w:cs="Times New Roman"/>
          <w:color w:val="auto"/>
          <w:sz w:val="32"/>
          <w:szCs w:val="32"/>
          <w:highlight w:val="none"/>
        </w:rPr>
        <w:t>做好调查工作。</w:t>
      </w:r>
    </w:p>
    <w:p>
      <w:pPr>
        <w:keepNext/>
        <w:keepLines/>
        <w:pageBreakBefore w:val="0"/>
        <w:widowControl w:val="0"/>
        <w:numPr>
          <w:ilvl w:val="0"/>
          <w:numId w:val="6"/>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line="560" w:lineRule="exact"/>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eastAsia"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spacing w:line="560" w:lineRule="exact"/>
        <w:rPr>
          <w:rFonts w:hint="default" w:ascii="Times New Roman" w:hAnsi="Times New Roman" w:eastAsia="黑体" w:cs="Times New Roman"/>
          <w:sz w:val="32"/>
          <w:szCs w:val="32"/>
        </w:rPr>
      </w:pPr>
      <w:bookmarkStart w:id="5" w:name="_GoBack"/>
      <w:bookmarkEnd w:id="5"/>
      <w:r>
        <w:rPr>
          <w:rFonts w:hint="eastAsia" w:eastAsia="黑体" w:cs="Times New Roman"/>
          <w:sz w:val="32"/>
          <w:szCs w:val="32"/>
          <w:lang w:val="en-US" w:eastAsia="zh-CN"/>
        </w:rPr>
        <w:t>七</w:t>
      </w:r>
      <w:r>
        <w:rPr>
          <w:rFonts w:hint="eastAsia"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2" w:name="page8"/>
      <w:bookmarkEnd w:id="2"/>
      <w:r>
        <w:rPr>
          <w:rFonts w:hint="default" w:ascii="Times New Roman" w:hAnsi="Times New Roman" w:eastAsia="黑体" w:cs="Times New Roman"/>
          <w:sz w:val="32"/>
          <w:szCs w:val="32"/>
        </w:rPr>
        <w:t>明的问题</w:t>
      </w:r>
    </w:p>
    <w:p>
      <w:pPr>
        <w:pStyle w:val="15"/>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5"/>
        <w:spacing w:after="0" w:line="560" w:lineRule="exact"/>
        <w:ind w:left="0" w:leftChars="0" w:firstLine="640"/>
        <w:rPr>
          <w:rFonts w:hint="eastAsia" w:ascii="Times New Roman" w:hAnsi="Times New Roman" w:eastAsia="仿宋_GB2312" w:cs="Times New Roman"/>
          <w:sz w:val="32"/>
          <w:szCs w:val="32"/>
          <w:lang w:eastAsia="zh-CN"/>
        </w:rPr>
      </w:pPr>
    </w:p>
    <w:p>
      <w:pPr>
        <w:pStyle w:val="15"/>
        <w:spacing w:after="0" w:line="560" w:lineRule="exact"/>
        <w:ind w:left="0" w:leftChars="0" w:firstLine="640"/>
        <w:rPr>
          <w:rFonts w:hint="eastAsia" w:ascii="Times New Roman" w:hAnsi="Times New Roman" w:eastAsia="仿宋_GB2312" w:cs="Times New Roman"/>
          <w:sz w:val="32"/>
          <w:szCs w:val="32"/>
          <w:lang w:eastAsia="zh-CN"/>
        </w:rPr>
      </w:pPr>
    </w:p>
    <w:p>
      <w:pPr>
        <w:pStyle w:val="15"/>
        <w:spacing w:after="0" w:line="560" w:lineRule="exact"/>
        <w:ind w:left="0" w:leftChars="0" w:firstLine="640"/>
        <w:rPr>
          <w:rFonts w:hint="eastAsia" w:ascii="Times New Roman" w:hAnsi="Times New Roman" w:eastAsia="仿宋_GB2312" w:cs="Times New Roman"/>
          <w:sz w:val="32"/>
          <w:szCs w:val="32"/>
          <w:lang w:eastAsia="zh-CN"/>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1"/>
        <w:ind w:firstLine="562"/>
        <w:jc w:val="center"/>
        <w:rPr>
          <w:rFonts w:hint="eastAsia" w:ascii="仿宋_GB2312" w:hAnsi="仿宋_GB2312" w:eastAsia="仿宋_GB2312" w:cs="仿宋_GB2312"/>
          <w:b/>
          <w:bCs/>
          <w:sz w:val="28"/>
          <w:szCs w:val="40"/>
          <w:highlight w:val="yellow"/>
        </w:rPr>
      </w:pPr>
      <w:bookmarkStart w:id="3" w:name="_Toc26499_WPSOffice_Level2"/>
      <w:bookmarkStart w:id="4" w:name="_Toc30064_WPSOffice_Level1"/>
    </w:p>
    <w:p>
      <w:pPr>
        <w:pStyle w:val="21"/>
        <w:ind w:firstLine="562"/>
        <w:jc w:val="center"/>
        <w:rPr>
          <w:rFonts w:hint="eastAsia" w:ascii="仿宋_GB2312" w:hAnsi="仿宋_GB2312" w:eastAsia="仿宋_GB2312" w:cs="仿宋_GB2312"/>
          <w:sz w:val="28"/>
          <w:szCs w:val="40"/>
        </w:rPr>
      </w:pPr>
      <w:r>
        <w:rPr>
          <w:rFonts w:hint="eastAsia" w:ascii="仿宋_GB2312" w:hAnsi="仿宋_GB2312" w:eastAsia="仿宋_GB2312" w:cs="仿宋_GB2312"/>
          <w:b/>
          <w:bCs/>
          <w:sz w:val="28"/>
          <w:szCs w:val="40"/>
        </w:rPr>
        <w:t>部门专项-社区党建工作经费项目绩效评价指标体系及综合评分表</w:t>
      </w:r>
      <w:bookmarkEnd w:id="3"/>
      <w:bookmarkEnd w:id="4"/>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6"/>
        <w:tblW w:w="141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3"/>
        <w:gridCol w:w="1078"/>
        <w:gridCol w:w="1078"/>
        <w:gridCol w:w="1868"/>
        <w:gridCol w:w="944"/>
        <w:gridCol w:w="1078"/>
        <w:gridCol w:w="749"/>
        <w:gridCol w:w="928"/>
        <w:gridCol w:w="1078"/>
        <w:gridCol w:w="1078"/>
        <w:gridCol w:w="824"/>
        <w:gridCol w:w="716"/>
        <w:gridCol w:w="690"/>
        <w:gridCol w:w="11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13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u w:val="none"/>
              </w:rPr>
            </w:pPr>
            <w:r>
              <w:rPr>
                <w:rFonts w:hint="eastAsia" w:ascii="华文中宋" w:hAnsi="华文中宋" w:eastAsia="华文中宋" w:cs="华文中宋"/>
                <w:b/>
                <w:bCs/>
                <w:i w:val="0"/>
                <w:iCs w:val="0"/>
                <w:color w:val="000000"/>
                <w:kern w:val="0"/>
                <w:sz w:val="40"/>
                <w:szCs w:val="40"/>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13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219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部门专项-社区党建工作经费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57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库尔勒市西尼尔镇人民政府</w:t>
            </w: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44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库尔勒市西尼尔镇人民政府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9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2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资金来源</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8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9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p>
        </w:tc>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9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18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17.36</w:t>
            </w:r>
          </w:p>
        </w:tc>
        <w:tc>
          <w:tcPr>
            <w:tcW w:w="19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86.80%</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9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8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17.36</w:t>
            </w:r>
          </w:p>
        </w:tc>
        <w:tc>
          <w:tcPr>
            <w:tcW w:w="19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9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8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88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w:t>
            </w:r>
          </w:p>
        </w:tc>
        <w:tc>
          <w:tcPr>
            <w:tcW w:w="44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目标1：实现社区党委数量全覆盖，确保2个小社区正常运转；</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目标2：开展党员培训、组织党员参观等活动，充分发挥基层学组织战斗堡垒作用；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目标3：教育党员守初心、担使命，充分发挥党员先锋模范作用，为居民做标杆，带动居民做志愿服务，全面提升社区党组织影响力。</w:t>
            </w:r>
          </w:p>
        </w:tc>
        <w:tc>
          <w:tcPr>
            <w:tcW w:w="44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项目已完成，确保2个小社区正常运转；通过项目的顺利实施受益社区2个，居民满意度显著提高。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指标值设置依据</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上年完成值</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指标分值权重</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指标赋分规则</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佐证资料</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指标实际完成值</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指标得分</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社区个数</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&gt;=2个</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2个</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社区服务人次</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&gt;=1500人</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1400人</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=1500人</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保障社区正常运转率</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资金支付及时率</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社区平均运转经费数</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&lt;=10万元/个</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10万元/个</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=8.68万元/个</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仿宋_GB2312" w:hAnsi="仿宋_GB2312" w:eastAsia="仿宋_GB2312" w:cs="仿宋_GB2312"/>
                <w:b/>
                <w:bCs/>
                <w:i w:val="0"/>
                <w:iCs w:val="0"/>
                <w:color w:val="000000"/>
                <w:kern w:val="0"/>
                <w:sz w:val="12"/>
                <w:szCs w:val="12"/>
                <w:u w:val="none"/>
                <w:lang w:val="en-US" w:eastAsia="zh-CN" w:bidi="ar"/>
              </w:rPr>
              <w:t>未完成原因分析： 正在办理支出手续。 改进措施：加快办理资金支付手续</w:t>
            </w:r>
            <w:r>
              <w:rPr>
                <w:rFonts w:hint="eastAsia" w:ascii="宋体" w:hAnsi="宋体" w:eastAsia="宋体" w:cs="宋体"/>
                <w:b/>
                <w:bCs/>
                <w:i w:val="0"/>
                <w:iCs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受益社区数量</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&gt;=2个</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居民满意度</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8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90.10分</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D42893"/>
    <w:multiLevelType w:val="singleLevel"/>
    <w:tmpl w:val="8BD42893"/>
    <w:lvl w:ilvl="0" w:tentative="0">
      <w:start w:val="1"/>
      <w:numFmt w:val="decimal"/>
      <w:lvlText w:val="%1."/>
      <w:lvlJc w:val="left"/>
      <w:pPr>
        <w:tabs>
          <w:tab w:val="left" w:pos="312"/>
        </w:tabs>
        <w:ind w:left="-10"/>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NDhhZjQ3YWJiYzJkODA2MTlmMmVlZjg5YTNjMTIifQ=="/>
  </w:docVars>
  <w:rsids>
    <w:rsidRoot w:val="00172A27"/>
    <w:rsid w:val="006F7242"/>
    <w:rsid w:val="007B168A"/>
    <w:rsid w:val="008B2CFE"/>
    <w:rsid w:val="00F26FF6"/>
    <w:rsid w:val="01610122"/>
    <w:rsid w:val="01F12C93"/>
    <w:rsid w:val="02510197"/>
    <w:rsid w:val="03EC461B"/>
    <w:rsid w:val="0461077D"/>
    <w:rsid w:val="049E2DA5"/>
    <w:rsid w:val="04CA3600"/>
    <w:rsid w:val="07397B77"/>
    <w:rsid w:val="073A569E"/>
    <w:rsid w:val="079C13C2"/>
    <w:rsid w:val="09784BAE"/>
    <w:rsid w:val="0AD007F3"/>
    <w:rsid w:val="0B067E26"/>
    <w:rsid w:val="0D2C3489"/>
    <w:rsid w:val="0E3C619F"/>
    <w:rsid w:val="0EA73BC7"/>
    <w:rsid w:val="100F38EC"/>
    <w:rsid w:val="107D61B7"/>
    <w:rsid w:val="11170296"/>
    <w:rsid w:val="12C66037"/>
    <w:rsid w:val="12CD1ABC"/>
    <w:rsid w:val="13471461"/>
    <w:rsid w:val="135B7E15"/>
    <w:rsid w:val="13B90F01"/>
    <w:rsid w:val="1491124C"/>
    <w:rsid w:val="155E4C4D"/>
    <w:rsid w:val="181066D2"/>
    <w:rsid w:val="195D4854"/>
    <w:rsid w:val="19CA39DA"/>
    <w:rsid w:val="1A421597"/>
    <w:rsid w:val="1C010930"/>
    <w:rsid w:val="1C671E73"/>
    <w:rsid w:val="1D322C47"/>
    <w:rsid w:val="20193C9B"/>
    <w:rsid w:val="23441026"/>
    <w:rsid w:val="23616034"/>
    <w:rsid w:val="23696C97"/>
    <w:rsid w:val="24480FA2"/>
    <w:rsid w:val="25227A45"/>
    <w:rsid w:val="2673407D"/>
    <w:rsid w:val="26AC3A6A"/>
    <w:rsid w:val="27564FC7"/>
    <w:rsid w:val="2B9D7E25"/>
    <w:rsid w:val="2C7C7A3B"/>
    <w:rsid w:val="2D040891"/>
    <w:rsid w:val="2F364819"/>
    <w:rsid w:val="2FD63906"/>
    <w:rsid w:val="30123030"/>
    <w:rsid w:val="31E13CB4"/>
    <w:rsid w:val="37215DAE"/>
    <w:rsid w:val="37672B02"/>
    <w:rsid w:val="38CA40DD"/>
    <w:rsid w:val="395F2B56"/>
    <w:rsid w:val="39EE4F3D"/>
    <w:rsid w:val="3B341847"/>
    <w:rsid w:val="3BBA0580"/>
    <w:rsid w:val="3BECE841"/>
    <w:rsid w:val="3CDE204C"/>
    <w:rsid w:val="3D363C36"/>
    <w:rsid w:val="3D453151"/>
    <w:rsid w:val="3D901A9C"/>
    <w:rsid w:val="3E9C3F6D"/>
    <w:rsid w:val="3FF7797D"/>
    <w:rsid w:val="43384C72"/>
    <w:rsid w:val="46690BD8"/>
    <w:rsid w:val="4670593B"/>
    <w:rsid w:val="48A979D5"/>
    <w:rsid w:val="49F70BF1"/>
    <w:rsid w:val="4B4340EE"/>
    <w:rsid w:val="4BBF74EC"/>
    <w:rsid w:val="4CAE37E9"/>
    <w:rsid w:val="4D3123BD"/>
    <w:rsid w:val="4E5C7BBC"/>
    <w:rsid w:val="4ED10CD7"/>
    <w:rsid w:val="4F0740EB"/>
    <w:rsid w:val="4F942D23"/>
    <w:rsid w:val="503D507A"/>
    <w:rsid w:val="51FA74D0"/>
    <w:rsid w:val="52AA4A52"/>
    <w:rsid w:val="57A304DC"/>
    <w:rsid w:val="57C82BE1"/>
    <w:rsid w:val="59943D66"/>
    <w:rsid w:val="599C0B4E"/>
    <w:rsid w:val="59E051FD"/>
    <w:rsid w:val="59E6355E"/>
    <w:rsid w:val="5B821531"/>
    <w:rsid w:val="5BFF6039"/>
    <w:rsid w:val="5D76A616"/>
    <w:rsid w:val="5D7F20B9"/>
    <w:rsid w:val="5DAC7D0E"/>
    <w:rsid w:val="5F98B5AF"/>
    <w:rsid w:val="5FFE8511"/>
    <w:rsid w:val="5FFEACE2"/>
    <w:rsid w:val="608114AE"/>
    <w:rsid w:val="609D5BF6"/>
    <w:rsid w:val="61073070"/>
    <w:rsid w:val="61B9080E"/>
    <w:rsid w:val="61DF3FED"/>
    <w:rsid w:val="63180800"/>
    <w:rsid w:val="64287BE8"/>
    <w:rsid w:val="642B176B"/>
    <w:rsid w:val="643EE26D"/>
    <w:rsid w:val="64D321E2"/>
    <w:rsid w:val="656019A0"/>
    <w:rsid w:val="65E7619A"/>
    <w:rsid w:val="65F242EE"/>
    <w:rsid w:val="666D7E19"/>
    <w:rsid w:val="68376930"/>
    <w:rsid w:val="68F91E38"/>
    <w:rsid w:val="6B3158B9"/>
    <w:rsid w:val="6BA02A3F"/>
    <w:rsid w:val="6C1E5A53"/>
    <w:rsid w:val="6F5C41AC"/>
    <w:rsid w:val="6F995469"/>
    <w:rsid w:val="6FA20419"/>
    <w:rsid w:val="6FAF6C78"/>
    <w:rsid w:val="716167CC"/>
    <w:rsid w:val="718A7AD1"/>
    <w:rsid w:val="71B5078B"/>
    <w:rsid w:val="72A44BC2"/>
    <w:rsid w:val="7317C656"/>
    <w:rsid w:val="734ED73F"/>
    <w:rsid w:val="73C82B32"/>
    <w:rsid w:val="73F94DAE"/>
    <w:rsid w:val="74220495"/>
    <w:rsid w:val="747D1B6F"/>
    <w:rsid w:val="749E5641"/>
    <w:rsid w:val="76271066"/>
    <w:rsid w:val="77FD8BE9"/>
    <w:rsid w:val="78000AED"/>
    <w:rsid w:val="79342B9F"/>
    <w:rsid w:val="79A9BD3F"/>
    <w:rsid w:val="7B776F12"/>
    <w:rsid w:val="7BFFFDD0"/>
    <w:rsid w:val="7C336E5F"/>
    <w:rsid w:val="7C8D4919"/>
    <w:rsid w:val="7CD73DE6"/>
    <w:rsid w:val="7D7A5F86"/>
    <w:rsid w:val="7E4B683A"/>
    <w:rsid w:val="7E5E656D"/>
    <w:rsid w:val="7E8F2BCB"/>
    <w:rsid w:val="7F0F2ACD"/>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样式1"/>
    <w:basedOn w:val="3"/>
    <w:qFormat/>
    <w:uiPriority w:val="0"/>
  </w:style>
  <w:style w:type="paragraph" w:styleId="3">
    <w:name w:val="Plain Text"/>
    <w:basedOn w:val="1"/>
    <w:next w:val="1"/>
    <w:qFormat/>
    <w:uiPriority w:val="0"/>
    <w:rPr>
      <w:rFonts w:hAnsi="Courier New" w:cs="Courier New"/>
      <w:szCs w:val="21"/>
    </w:rPr>
  </w:style>
  <w:style w:type="paragraph" w:styleId="5">
    <w:name w:val="annotation text"/>
    <w:basedOn w:val="1"/>
    <w:link w:val="24"/>
    <w:qFormat/>
    <w:uiPriority w:val="0"/>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Balloon Text"/>
    <w:basedOn w:val="1"/>
    <w:link w:val="22"/>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3">
    <w:name w:val="annotation subject"/>
    <w:basedOn w:val="5"/>
    <w:next w:val="5"/>
    <w:link w:val="25"/>
    <w:qFormat/>
    <w:uiPriority w:val="0"/>
    <w:rPr>
      <w:b/>
      <w:bCs/>
    </w:rPr>
  </w:style>
  <w:style w:type="paragraph" w:styleId="14">
    <w:name w:val="Body Text First Indent"/>
    <w:basedOn w:val="6"/>
    <w:qFormat/>
    <w:uiPriority w:val="0"/>
    <w:pPr>
      <w:spacing w:after="0"/>
      <w:ind w:firstLine="200" w:firstLineChars="200"/>
    </w:pPr>
  </w:style>
  <w:style w:type="paragraph" w:styleId="15">
    <w:name w:val="Body Text First Indent 2"/>
    <w:basedOn w:val="7"/>
    <w:qFormat/>
    <w:uiPriority w:val="0"/>
    <w:pPr>
      <w:ind w:firstLine="420" w:firstLineChars="200"/>
    </w:pPr>
  </w:style>
  <w:style w:type="character" w:styleId="18">
    <w:name w:val="Strong"/>
    <w:basedOn w:val="17"/>
    <w:qFormat/>
    <w:uiPriority w:val="0"/>
    <w:rPr>
      <w:b/>
      <w:bCs/>
    </w:rPr>
  </w:style>
  <w:style w:type="character" w:styleId="19">
    <w:name w:val="annotation reference"/>
    <w:basedOn w:val="17"/>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7"/>
    <w:link w:val="8"/>
    <w:qFormat/>
    <w:uiPriority w:val="0"/>
    <w:rPr>
      <w:rFonts w:ascii="Times New Roman" w:hAnsi="Times New Roman" w:eastAsia="宋体" w:cs="Times New Roman"/>
      <w:kern w:val="2"/>
      <w:sz w:val="18"/>
      <w:szCs w:val="18"/>
    </w:rPr>
  </w:style>
  <w:style w:type="character" w:customStyle="1" w:styleId="23">
    <w:name w:val="页眉 字符"/>
    <w:basedOn w:val="17"/>
    <w:link w:val="10"/>
    <w:qFormat/>
    <w:uiPriority w:val="0"/>
    <w:rPr>
      <w:rFonts w:ascii="Times New Roman" w:hAnsi="Times New Roman" w:eastAsia="宋体" w:cs="Times New Roman"/>
      <w:kern w:val="2"/>
      <w:sz w:val="18"/>
      <w:szCs w:val="18"/>
    </w:rPr>
  </w:style>
  <w:style w:type="character" w:customStyle="1" w:styleId="24">
    <w:name w:val="批注文字 字符"/>
    <w:basedOn w:val="17"/>
    <w:link w:val="5"/>
    <w:qFormat/>
    <w:uiPriority w:val="0"/>
    <w:rPr>
      <w:rFonts w:ascii="Times New Roman" w:hAnsi="Times New Roman" w:eastAsia="宋体" w:cs="Times New Roman"/>
      <w:kern w:val="2"/>
      <w:sz w:val="21"/>
      <w:szCs w:val="24"/>
    </w:rPr>
  </w:style>
  <w:style w:type="character" w:customStyle="1" w:styleId="25">
    <w:name w:val="批注主题 字符"/>
    <w:basedOn w:val="24"/>
    <w:link w:val="13"/>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9476</Words>
  <Characters>9747</Characters>
  <Lines>58</Lines>
  <Paragraphs>16</Paragraphs>
  <TotalTime>78</TotalTime>
  <ScaleCrop>false</ScaleCrop>
  <LinksUpToDate>false</LinksUpToDate>
  <CharactersWithSpaces>9758</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cp:lastPrinted>2025-04-29T09:43:00Z</cp:lastPrinted>
  <dcterms:modified xsi:type="dcterms:W3CDTF">2025-08-19T02:02:26Z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F1A32EB7C53F433780EB4BD1AD3DECDF_13</vt:lpwstr>
  </property>
  <property fmtid="{D5CDD505-2E9C-101B-9397-08002B2CF9AE}" pid="4" name="KSOTemplateDocerSaveRecord">
    <vt:lpwstr>eyJoZGlkIjoiZDRmNmJmZGEzYzE4NDkxYTYyZmVjYzI3ZWFlM2ZiZDUifQ==</vt:lpwstr>
  </property>
</Properties>
</file>