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adjustRightInd/>
        <w:snapToGrid/>
        <w:spacing w:line="560" w:lineRule="exact"/>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560" w:lineRule="exact"/>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560" w:lineRule="exact"/>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560" w:lineRule="exact"/>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560" w:lineRule="exact"/>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560" w:lineRule="exact"/>
        <w:jc w:val="center"/>
        <w:textAlignment w:val="auto"/>
        <w:rPr>
          <w:rFonts w:hint="eastAsia" w:ascii="方正小标宋_GBK" w:hAnsi="宋体" w:eastAsia="方正小标宋_GBK"/>
          <w:sz w:val="44"/>
          <w:szCs w:val="44"/>
          <w:highlight w:val="none"/>
          <w:lang w:eastAsia="zh-CN"/>
        </w:rPr>
      </w:pPr>
      <w:r>
        <w:rPr>
          <w:rFonts w:hint="eastAsia" w:ascii="方正小标宋_GBK" w:hAnsi="宋体" w:eastAsia="方正小标宋_GBK"/>
          <w:sz w:val="44"/>
          <w:szCs w:val="44"/>
          <w:highlight w:val="none"/>
          <w:lang w:eastAsia="zh-CN"/>
        </w:rPr>
        <w:t>新疆库尔勒市西尼尔镇人民政府</w:t>
      </w:r>
    </w:p>
    <w:p>
      <w:pPr>
        <w:keepNext w:val="0"/>
        <w:keepLines w:val="0"/>
        <w:pageBreakBefore w:val="0"/>
        <w:widowControl w:val="0"/>
        <w:kinsoku/>
        <w:wordWrap/>
        <w:overflowPunct/>
        <w:topLinePunct w:val="0"/>
        <w:bidi w:val="0"/>
        <w:adjustRightInd/>
        <w:snapToGrid/>
        <w:spacing w:line="56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eastAsia="zh-CN"/>
        </w:rPr>
        <w:t>2024年度</w:t>
      </w:r>
      <w:r>
        <w:rPr>
          <w:rFonts w:hint="eastAsia" w:ascii="方正小标宋_GBK" w:hAnsi="宋体" w:eastAsia="方正小标宋_GBK"/>
          <w:sz w:val="44"/>
          <w:szCs w:val="44"/>
          <w:highlight w:val="none"/>
        </w:rPr>
        <w:t>部门决算</w:t>
      </w:r>
    </w:p>
    <w:p>
      <w:pPr>
        <w:keepNext w:val="0"/>
        <w:keepLines w:val="0"/>
        <w:pageBreakBefore w:val="0"/>
        <w:widowControl w:val="0"/>
        <w:kinsoku/>
        <w:wordWrap/>
        <w:overflowPunct/>
        <w:topLinePunct w:val="0"/>
        <w:bidi w:val="0"/>
        <w:adjustRightInd/>
        <w:snapToGrid/>
        <w:spacing w:line="56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pPr>
        <w:keepNext w:val="0"/>
        <w:keepLines w:val="0"/>
        <w:pageBreakBefore w:val="0"/>
        <w:widowControl w:val="0"/>
        <w:kinsoku/>
        <w:wordWrap/>
        <w:overflowPunct/>
        <w:topLinePunct w:val="0"/>
        <w:autoSpaceDE/>
        <w:autoSpaceDN/>
        <w:bidi w:val="0"/>
        <w:adjustRightInd/>
        <w:snapToGrid/>
        <w:spacing w:line="560" w:lineRule="exact"/>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pPr>
        <w:pStyle w:val="6"/>
        <w:keepNext w:val="0"/>
        <w:keepLines w:val="0"/>
        <w:pageBreakBefore w:val="0"/>
        <w:widowControl w:val="0"/>
        <w:tabs>
          <w:tab w:val="right" w:leader="dot" w:pos="8306"/>
        </w:tabs>
        <w:kinsoku/>
        <w:wordWrap/>
        <w:overflowPunct/>
        <w:topLinePunct w:val="0"/>
        <w:autoSpaceDE/>
        <w:autoSpaceDN/>
        <w:bidi w:val="0"/>
        <w:adjustRightInd/>
        <w:snapToGrid/>
        <w:spacing w:line="560" w:lineRule="exact"/>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部门（单位）概况</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spacing w:line="560" w:lineRule="exact"/>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spacing w:line="560" w:lineRule="exact"/>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spacing w:line="560" w:lineRule="exact"/>
        <w:ind w:left="0" w:leftChars="0"/>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spacing w:line="560" w:lineRule="exact"/>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spacing w:line="560" w:lineRule="exact"/>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spacing w:line="560" w:lineRule="exact"/>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spacing w:line="560" w:lineRule="exact"/>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spacing w:line="560" w:lineRule="exact"/>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spacing w:line="560" w:lineRule="exact"/>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spacing w:line="560" w:lineRule="exact"/>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spacing w:line="560" w:lineRule="exact"/>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spacing w:line="560" w:lineRule="exact"/>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spacing w:line="560" w:lineRule="exact"/>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spacing w:line="560" w:lineRule="exact"/>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spacing w:line="560" w:lineRule="exact"/>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spacing w:line="560" w:lineRule="exact"/>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spacing w:line="560" w:lineRule="exact"/>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spacing w:line="560" w:lineRule="exact"/>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spacing w:line="560" w:lineRule="exact"/>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spacing w:line="560" w:lineRule="exact"/>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spacing w:line="560" w:lineRule="exact"/>
        <w:ind w:left="0" w:leftChars="0"/>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spacing w:line="560" w:lineRule="exact"/>
        <w:ind w:left="0" w:leftChars="0"/>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spacing w:line="560" w:lineRule="exact"/>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spacing w:line="560" w:lineRule="exact"/>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spacing w:line="560" w:lineRule="exact"/>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spacing w:line="560" w:lineRule="exact"/>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spacing w:line="560" w:lineRule="exact"/>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spacing w:line="560" w:lineRule="exact"/>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spacing w:line="560" w:lineRule="exact"/>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spacing w:line="560" w:lineRule="exact"/>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spacing w:line="560" w:lineRule="exact"/>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pPr>
        <w:keepNext w:val="0"/>
        <w:keepLines w:val="0"/>
        <w:pageBreakBefore w:val="0"/>
        <w:widowControl w:val="0"/>
        <w:kinsoku/>
        <w:wordWrap/>
        <w:overflowPunct/>
        <w:topLinePunct w:val="0"/>
        <w:autoSpaceDE/>
        <w:autoSpaceDN/>
        <w:bidi w:val="0"/>
        <w:adjustRightInd/>
        <w:snapToGrid/>
        <w:spacing w:line="560" w:lineRule="exact"/>
        <w:ind w:left="0" w:leftChars="0"/>
        <w:jc w:val="center"/>
        <w:textAlignment w:val="auto"/>
        <w:rPr>
          <w:rFonts w:hint="eastAsia" w:ascii="黑体" w:hAnsi="黑体" w:eastAsia="黑体"/>
          <w:sz w:val="32"/>
          <w:szCs w:val="32"/>
          <w:highlight w:val="none"/>
        </w:rPr>
      </w:pPr>
      <w:r>
        <w:rPr>
          <w:rFonts w:hint="eastAsia" w:ascii="仿宋_GB2312" w:hAnsi="仿宋_GB2312" w:eastAsia="仿宋_GB2312" w:cs="仿宋_GB2312"/>
          <w:sz w:val="32"/>
          <w:szCs w:val="32"/>
          <w:highlight w:val="none"/>
        </w:rPr>
        <w:fldChar w:fldCharType="end"/>
      </w:r>
      <w:r>
        <w:rPr>
          <w:rFonts w:hint="eastAsia" w:ascii="仿宋_GB2312" w:eastAsia="仿宋_GB2312"/>
          <w:sz w:val="32"/>
          <w:szCs w:val="32"/>
          <w:highlight w:val="none"/>
        </w:rPr>
        <w:br w:type="page"/>
      </w:r>
      <w:bookmarkStart w:id="0" w:name="_Toc31918"/>
      <w:bookmarkStart w:id="1" w:name="_Toc24028"/>
      <w:r>
        <w:rPr>
          <w:rFonts w:hint="eastAsia" w:ascii="黑体" w:hAnsi="黑体" w:eastAsia="黑体"/>
          <w:sz w:val="32"/>
          <w:szCs w:val="32"/>
          <w:highlight w:val="none"/>
        </w:rPr>
        <w:t>第一部分 部门（单位）概况</w:t>
      </w:r>
      <w:bookmarkEnd w:id="0"/>
      <w:bookmarkEnd w:id="1"/>
    </w:p>
    <w:p>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1"/>
        <w:rPr>
          <w:rFonts w:ascii="黑体" w:hAnsi="黑体" w:eastAsia="黑体" w:cs="宋体"/>
          <w:bCs/>
          <w:kern w:val="0"/>
          <w:sz w:val="32"/>
          <w:szCs w:val="32"/>
          <w:highlight w:val="none"/>
        </w:rPr>
      </w:pPr>
      <w:bookmarkStart w:id="2" w:name="_Toc30738"/>
      <w:bookmarkStart w:id="3" w:name="_Toc2898"/>
      <w:r>
        <w:rPr>
          <w:rFonts w:hint="eastAsia" w:ascii="黑体" w:hAnsi="黑体" w:eastAsia="黑体" w:cs="宋体"/>
          <w:bCs/>
          <w:kern w:val="0"/>
          <w:sz w:val="32"/>
          <w:szCs w:val="32"/>
          <w:highlight w:val="none"/>
        </w:rPr>
        <w:t>一、主要职能</w:t>
      </w:r>
      <w:bookmarkEnd w:id="2"/>
      <w:bookmarkEnd w:id="3"/>
    </w:p>
    <w:p>
      <w:pPr>
        <w:keepNext w:val="0"/>
        <w:keepLines w:val="0"/>
        <w:pageBreakBefore w:val="0"/>
        <w:widowControl w:val="0"/>
        <w:kinsoku/>
        <w:wordWrap/>
        <w:overflowPunct/>
        <w:topLinePunct w:val="0"/>
        <w:bidi w:val="0"/>
        <w:adjustRightInd/>
        <w:snapToGrid/>
        <w:spacing w:line="560" w:lineRule="exact"/>
        <w:ind w:firstLine="640" w:firstLineChars="200"/>
        <w:jc w:val="both"/>
        <w:textAlignment w:val="auto"/>
        <w:rPr>
          <w:rFonts w:hint="eastAsia" w:ascii="仿宋_GB2312" w:eastAsia="仿宋_GB2312"/>
          <w:sz w:val="32"/>
          <w:szCs w:val="32"/>
          <w:highlight w:val="none"/>
        </w:rPr>
      </w:pPr>
      <w:r>
        <w:rPr>
          <w:rFonts w:hint="eastAsia" w:ascii="仿宋_GB2312" w:eastAsia="仿宋_GB2312"/>
          <w:sz w:val="32"/>
          <w:szCs w:val="32"/>
          <w:highlight w:val="none"/>
        </w:rPr>
        <w:t>（一）加强党的建设。落实基层党建工作责任制，加强党员队伍的思想建设、组织建设、作风建设、制度建设和党风廉政建设；宣传贯彻党的路线方针政策和法律法规，加强党对意识形态和统一战线工作的领导；指导工会、共青团、妇联等群团工作。坚持党管武装的基本原则和制度，协调各方力量，对镇人民武装工作实行统一管理。</w:t>
      </w:r>
    </w:p>
    <w:p>
      <w:pPr>
        <w:keepNext w:val="0"/>
        <w:keepLines w:val="0"/>
        <w:pageBreakBefore w:val="0"/>
        <w:widowControl w:val="0"/>
        <w:kinsoku/>
        <w:wordWrap/>
        <w:overflowPunct/>
        <w:topLinePunct w:val="0"/>
        <w:bidi w:val="0"/>
        <w:adjustRightInd/>
        <w:snapToGrid/>
        <w:spacing w:line="560" w:lineRule="exact"/>
        <w:ind w:firstLine="640" w:firstLineChars="200"/>
        <w:jc w:val="both"/>
        <w:textAlignment w:val="auto"/>
        <w:rPr>
          <w:rFonts w:hint="eastAsia" w:ascii="仿宋_GB2312" w:eastAsia="仿宋_GB2312"/>
          <w:sz w:val="32"/>
          <w:szCs w:val="32"/>
          <w:highlight w:val="none"/>
        </w:rPr>
      </w:pPr>
      <w:r>
        <w:rPr>
          <w:rFonts w:hint="eastAsia" w:ascii="仿宋_GB2312" w:eastAsia="仿宋_GB2312"/>
          <w:sz w:val="32"/>
          <w:szCs w:val="32"/>
          <w:highlight w:val="none"/>
        </w:rPr>
        <w:t>（二）组织领导城乡区域经济工作。制定地方经济社会发展规划和年度计划并组织实施；坚持依法行政，推进民主政治，加强基层政权建设；做好居民服务管理和社区工作，推进乡村振兴；规范经济管理，组织指导经济发展和经济结构调整；加强综合生产能力建设；加强基础设施建设；健全社会化服务体系，完善产业支持保护体系，推进产业现代化；为辖区内企业做好服务工作，优化投资环境、人才服务、创业创新；积极维护经济秩序，落实“放管服”改革各项举措，着力提升经济发展的质量和水平，增加居民收入，不断提高人民生活水平。</w:t>
      </w:r>
    </w:p>
    <w:p>
      <w:pPr>
        <w:keepNext w:val="0"/>
        <w:keepLines w:val="0"/>
        <w:pageBreakBefore w:val="0"/>
        <w:widowControl w:val="0"/>
        <w:kinsoku/>
        <w:wordWrap/>
        <w:overflowPunct/>
        <w:topLinePunct w:val="0"/>
        <w:bidi w:val="0"/>
        <w:adjustRightInd/>
        <w:snapToGrid/>
        <w:spacing w:line="560" w:lineRule="exact"/>
        <w:ind w:firstLine="640" w:firstLineChars="200"/>
        <w:jc w:val="both"/>
        <w:textAlignment w:val="auto"/>
        <w:rPr>
          <w:rFonts w:hint="eastAsia" w:ascii="仿宋_GB2312" w:eastAsia="仿宋_GB2312"/>
          <w:sz w:val="32"/>
          <w:szCs w:val="32"/>
          <w:highlight w:val="none"/>
        </w:rPr>
      </w:pPr>
      <w:r>
        <w:rPr>
          <w:rFonts w:hint="eastAsia" w:ascii="仿宋_GB2312" w:eastAsia="仿宋_GB2312"/>
          <w:sz w:val="32"/>
          <w:szCs w:val="32"/>
          <w:highlight w:val="none"/>
        </w:rPr>
        <w:t>（三）组织公共服务。加强公共设施建设，开展就业和社会保障等服务，发展科教文卫事业，组织实施与居民生活密切相关的各项公共服务事项，着力解决群众生产生活中的问题；制订公共服务事项目录，加强公共服务体系建设。</w:t>
      </w:r>
    </w:p>
    <w:p>
      <w:pPr>
        <w:keepNext w:val="0"/>
        <w:keepLines w:val="0"/>
        <w:pageBreakBefore w:val="0"/>
        <w:widowControl w:val="0"/>
        <w:kinsoku/>
        <w:wordWrap/>
        <w:overflowPunct/>
        <w:topLinePunct w:val="0"/>
        <w:bidi w:val="0"/>
        <w:adjustRightInd/>
        <w:snapToGrid/>
        <w:spacing w:line="560" w:lineRule="exact"/>
        <w:ind w:firstLine="640" w:firstLineChars="200"/>
        <w:jc w:val="both"/>
        <w:textAlignment w:val="auto"/>
        <w:rPr>
          <w:rFonts w:hint="eastAsia" w:ascii="仿宋_GB2312" w:eastAsia="仿宋_GB2312"/>
          <w:sz w:val="32"/>
          <w:szCs w:val="32"/>
          <w:highlight w:val="none"/>
        </w:rPr>
      </w:pPr>
      <w:r>
        <w:rPr>
          <w:rFonts w:hint="eastAsia" w:ascii="仿宋_GB2312" w:eastAsia="仿宋_GB2312"/>
          <w:sz w:val="32"/>
          <w:szCs w:val="32"/>
          <w:highlight w:val="none"/>
        </w:rPr>
        <w:t xml:space="preserve">（四）实施公共管理。推进政务、居务公开，抓好卫生健康、人口计划生育工作，实施一票否决制，保障妇女儿童合法权益；加强自然资源管理、生态环境保护和修复工作；负责辖区内城镇管理、控违拆违、征地拆迁等综合性管理工作；负责辖区内统计工作。 </w:t>
      </w:r>
    </w:p>
    <w:p>
      <w:pPr>
        <w:keepNext w:val="0"/>
        <w:keepLines w:val="0"/>
        <w:pageBreakBefore w:val="0"/>
        <w:widowControl w:val="0"/>
        <w:kinsoku/>
        <w:wordWrap/>
        <w:overflowPunct/>
        <w:topLinePunct w:val="0"/>
        <w:bidi w:val="0"/>
        <w:adjustRightInd/>
        <w:snapToGrid/>
        <w:spacing w:line="560" w:lineRule="exact"/>
        <w:ind w:firstLine="640" w:firstLineChars="200"/>
        <w:jc w:val="both"/>
        <w:textAlignment w:val="auto"/>
        <w:rPr>
          <w:rFonts w:hint="eastAsia" w:ascii="仿宋_GB2312" w:eastAsia="仿宋_GB2312"/>
          <w:sz w:val="32"/>
          <w:szCs w:val="32"/>
          <w:highlight w:val="none"/>
        </w:rPr>
      </w:pPr>
      <w:r>
        <w:rPr>
          <w:rFonts w:hint="eastAsia" w:ascii="仿宋_GB2312" w:eastAsia="仿宋_GB2312"/>
          <w:sz w:val="32"/>
          <w:szCs w:val="32"/>
          <w:highlight w:val="none"/>
        </w:rPr>
        <w:t>（五）维护公共安全。承担辖区内社会治安综合治理、信访、平安建设、应急管理、安全生产、脱贫攻坚等有关工作；对辖区内各单位综合治理工作实行一票否决权；强化法制宣传教育、畅通诉求渠道、调解民事纠纷、化解社会矛盾，处理群众性突发事件，做好社会安置帮教、社区矫正和特殊群体帮教帮扶，维护社会秩序和社会稳定；组织抢险救灾，及时上报和处置重大社情、疫情、险情等，保护人民群众的生命财产安全；承担民兵预备役、征兵、退役军人服务、拥军优属工作。</w:t>
      </w:r>
    </w:p>
    <w:p>
      <w:pPr>
        <w:keepNext w:val="0"/>
        <w:keepLines w:val="0"/>
        <w:pageBreakBefore w:val="0"/>
        <w:widowControl w:val="0"/>
        <w:kinsoku/>
        <w:wordWrap/>
        <w:overflowPunct/>
        <w:topLinePunct w:val="0"/>
        <w:bidi w:val="0"/>
        <w:adjustRightInd/>
        <w:snapToGrid/>
        <w:spacing w:line="560" w:lineRule="exact"/>
        <w:ind w:firstLine="640" w:firstLineChars="200"/>
        <w:jc w:val="both"/>
        <w:textAlignment w:val="auto"/>
        <w:rPr>
          <w:rFonts w:hint="eastAsia" w:ascii="仿宋_GB2312" w:eastAsia="仿宋_GB2312"/>
          <w:sz w:val="32"/>
          <w:szCs w:val="32"/>
          <w:highlight w:val="none"/>
        </w:rPr>
      </w:pPr>
      <w:r>
        <w:rPr>
          <w:rFonts w:hint="eastAsia" w:ascii="仿宋_GB2312" w:eastAsia="仿宋_GB2312"/>
          <w:sz w:val="32"/>
          <w:szCs w:val="32"/>
          <w:highlight w:val="none"/>
        </w:rPr>
        <w:t>（六）监督执法管理。对辖区内各类行政执法工作进行统筹协调，组织开展群众监督和社会监督。</w:t>
      </w:r>
    </w:p>
    <w:p>
      <w:pPr>
        <w:keepNext w:val="0"/>
        <w:keepLines w:val="0"/>
        <w:pageBreakBefore w:val="0"/>
        <w:widowControl w:val="0"/>
        <w:kinsoku/>
        <w:wordWrap/>
        <w:overflowPunct/>
        <w:topLinePunct w:val="0"/>
        <w:bidi w:val="0"/>
        <w:adjustRightInd/>
        <w:snapToGrid/>
        <w:spacing w:line="560" w:lineRule="exact"/>
        <w:ind w:firstLine="640" w:firstLineChars="200"/>
        <w:jc w:val="both"/>
        <w:textAlignment w:val="auto"/>
        <w:rPr>
          <w:rFonts w:hint="eastAsia" w:ascii="仿宋_GB2312" w:eastAsia="仿宋_GB2312"/>
          <w:sz w:val="32"/>
          <w:szCs w:val="32"/>
          <w:highlight w:val="none"/>
        </w:rPr>
      </w:pPr>
      <w:r>
        <w:rPr>
          <w:rFonts w:hint="eastAsia" w:ascii="仿宋_GB2312" w:eastAsia="仿宋_GB2312"/>
          <w:sz w:val="32"/>
          <w:szCs w:val="32"/>
          <w:highlight w:val="none"/>
        </w:rPr>
        <w:t>（七）动员社会参与。动员辖区内各类单位、社会组织居民等社会力量参与社会治理，为乡镇发展服务。</w:t>
      </w:r>
    </w:p>
    <w:p>
      <w:pPr>
        <w:keepNext w:val="0"/>
        <w:keepLines w:val="0"/>
        <w:pageBreakBefore w:val="0"/>
        <w:widowControl w:val="0"/>
        <w:kinsoku/>
        <w:wordWrap/>
        <w:overflowPunct/>
        <w:topLinePunct w:val="0"/>
        <w:bidi w:val="0"/>
        <w:adjustRightInd/>
        <w:snapToGrid/>
        <w:spacing w:line="560" w:lineRule="exact"/>
        <w:ind w:firstLine="640" w:firstLineChars="200"/>
        <w:jc w:val="both"/>
        <w:textAlignment w:val="auto"/>
        <w:rPr>
          <w:rFonts w:hint="eastAsia" w:ascii="仿宋_GB2312" w:eastAsia="仿宋_GB2312"/>
          <w:sz w:val="32"/>
          <w:szCs w:val="32"/>
          <w:highlight w:val="none"/>
        </w:rPr>
      </w:pPr>
      <w:r>
        <w:rPr>
          <w:rFonts w:hint="eastAsia" w:ascii="仿宋_GB2312" w:eastAsia="仿宋_GB2312"/>
          <w:sz w:val="32"/>
          <w:szCs w:val="32"/>
          <w:highlight w:val="none"/>
        </w:rPr>
        <w:t>（八）保障居民自治。指导居民委员会建设，健全居民自治平台，组织驻镇单位和居民参与社区建设、管理。</w:t>
      </w: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1"/>
        <w:rPr>
          <w:rFonts w:hint="eastAsia" w:ascii="黑体" w:hAnsi="黑体" w:eastAsia="黑体" w:cs="宋体"/>
          <w:bCs/>
          <w:kern w:val="0"/>
          <w:sz w:val="32"/>
          <w:szCs w:val="32"/>
          <w:highlight w:val="none"/>
        </w:rPr>
      </w:pPr>
      <w:bookmarkStart w:id="4" w:name="_Toc31238"/>
      <w:bookmarkStart w:id="5" w:name="_Toc1387"/>
      <w:r>
        <w:rPr>
          <w:rFonts w:hint="eastAsia" w:ascii="黑体" w:hAnsi="黑体" w:eastAsia="黑体" w:cs="宋体"/>
          <w:bCs/>
          <w:kern w:val="0"/>
          <w:sz w:val="32"/>
          <w:szCs w:val="32"/>
          <w:highlight w:val="none"/>
        </w:rPr>
        <w:t>二、机构设置</w:t>
      </w:r>
      <w:r>
        <w:rPr>
          <w:rFonts w:hint="eastAsia" w:ascii="黑体" w:hAnsi="黑体" w:eastAsia="黑体" w:cs="宋体"/>
          <w:bCs/>
          <w:kern w:val="0"/>
          <w:sz w:val="32"/>
          <w:szCs w:val="32"/>
          <w:highlight w:val="none"/>
          <w:lang w:eastAsia="zh-CN"/>
        </w:rPr>
        <w:t>及</w:t>
      </w:r>
      <w:bookmarkEnd w:id="4"/>
      <w:r>
        <w:rPr>
          <w:rFonts w:hint="eastAsia" w:ascii="黑体" w:hAnsi="黑体" w:eastAsia="黑体" w:cs="宋体"/>
          <w:bCs/>
          <w:kern w:val="0"/>
          <w:sz w:val="32"/>
          <w:szCs w:val="32"/>
          <w:highlight w:val="none"/>
          <w:lang w:eastAsia="zh-CN"/>
        </w:rPr>
        <w:t>人员</w:t>
      </w:r>
      <w:r>
        <w:rPr>
          <w:rFonts w:hint="eastAsia" w:ascii="黑体" w:hAnsi="黑体" w:eastAsia="黑体" w:cs="宋体"/>
          <w:bCs/>
          <w:kern w:val="0"/>
          <w:sz w:val="32"/>
          <w:szCs w:val="32"/>
          <w:highlight w:val="none"/>
        </w:rPr>
        <w:t>情况</w:t>
      </w:r>
      <w:bookmarkEnd w:id="5"/>
    </w:p>
    <w:p>
      <w:pPr>
        <w:keepNext w:val="0"/>
        <w:keepLines w:val="0"/>
        <w:pageBreakBefore w:val="0"/>
        <w:widowControl w:val="0"/>
        <w:kinsoku/>
        <w:wordWrap/>
        <w:overflowPunct/>
        <w:topLinePunct w:val="0"/>
        <w:bidi w:val="0"/>
        <w:adjustRightInd/>
        <w:snapToGrid/>
        <w:spacing w:line="560" w:lineRule="exact"/>
        <w:ind w:firstLine="640" w:firstLineChars="200"/>
        <w:jc w:val="both"/>
        <w:textAlignment w:val="auto"/>
        <w:rPr>
          <w:rFonts w:hint="eastAsia" w:ascii="仿宋_GB2312" w:eastAsia="仿宋_GB2312"/>
          <w:sz w:val="32"/>
          <w:szCs w:val="32"/>
          <w:highlight w:val="none"/>
        </w:rPr>
      </w:pPr>
      <w:r>
        <w:rPr>
          <w:rFonts w:hint="eastAsia" w:ascii="仿宋_GB2312" w:eastAsia="仿宋_GB2312"/>
          <w:spacing w:val="0"/>
          <w:sz w:val="32"/>
          <w:szCs w:val="32"/>
          <w:highlight w:val="none"/>
          <w:lang w:eastAsia="zh-CN"/>
        </w:rPr>
        <w:t>新疆库尔勒市西尼尔镇人民政府2024年度</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实有人数</w:t>
      </w:r>
      <w:r>
        <w:rPr>
          <w:rFonts w:hint="eastAsia" w:ascii="仿宋_GB2312" w:eastAsia="仿宋_GB2312"/>
          <w:sz w:val="32"/>
          <w:szCs w:val="32"/>
          <w:highlight w:val="none"/>
          <w:lang w:val="en-US" w:eastAsia="zh-CN"/>
        </w:rPr>
        <w:t>75</w:t>
      </w:r>
      <w:r>
        <w:rPr>
          <w:rFonts w:hint="eastAsia" w:ascii="仿宋_GB2312" w:eastAsia="仿宋_GB2312"/>
          <w:sz w:val="32"/>
          <w:szCs w:val="32"/>
          <w:highlight w:val="none"/>
        </w:rPr>
        <w:t>人，其中：在职人员</w:t>
      </w:r>
      <w:r>
        <w:rPr>
          <w:rFonts w:hint="eastAsia" w:ascii="仿宋_GB2312" w:eastAsia="仿宋_GB2312"/>
          <w:sz w:val="32"/>
          <w:szCs w:val="32"/>
          <w:highlight w:val="none"/>
          <w:lang w:val="en-US" w:eastAsia="zh-CN"/>
        </w:rPr>
        <w:t>60</w:t>
      </w:r>
      <w:r>
        <w:rPr>
          <w:rFonts w:hint="eastAsia" w:ascii="仿宋_GB2312" w:eastAsia="仿宋_GB2312"/>
          <w:sz w:val="32"/>
          <w:szCs w:val="32"/>
          <w:highlight w:val="none"/>
        </w:rPr>
        <w:t>人</w:t>
      </w:r>
      <w:r>
        <w:rPr>
          <w:rFonts w:hint="eastAsia" w:ascii="仿宋_GB2312" w:hAnsi="宋体" w:eastAsia="仿宋_GB2312" w:cs="宋体"/>
          <w:color w:val="auto"/>
          <w:kern w:val="0"/>
          <w:sz w:val="32"/>
          <w:szCs w:val="32"/>
          <w:highlight w:val="none"/>
        </w:rPr>
        <w:t>，增加</w:t>
      </w:r>
      <w:r>
        <w:rPr>
          <w:rFonts w:hint="eastAsia" w:ascii="仿宋_GB2312" w:hAnsi="宋体" w:eastAsia="仿宋_GB2312" w:cs="宋体"/>
          <w:color w:val="auto"/>
          <w:kern w:val="0"/>
          <w:sz w:val="32"/>
          <w:szCs w:val="32"/>
          <w:highlight w:val="none"/>
          <w:lang w:val="en-US" w:eastAsia="zh-CN"/>
        </w:rPr>
        <w:t>3</w:t>
      </w:r>
      <w:r>
        <w:rPr>
          <w:rFonts w:hint="eastAsia" w:ascii="仿宋_GB2312" w:hAnsi="宋体" w:eastAsia="仿宋_GB2312" w:cs="宋体"/>
          <w:color w:val="auto"/>
          <w:kern w:val="0"/>
          <w:sz w:val="32"/>
          <w:szCs w:val="32"/>
          <w:highlight w:val="none"/>
        </w:rPr>
        <w:t>人；</w:t>
      </w:r>
      <w:r>
        <w:rPr>
          <w:rFonts w:hint="eastAsia" w:ascii="仿宋_GB2312" w:eastAsia="仿宋_GB2312"/>
          <w:sz w:val="32"/>
          <w:szCs w:val="32"/>
          <w:highlight w:val="none"/>
        </w:rPr>
        <w:t>离休人员</w:t>
      </w:r>
      <w:r>
        <w:rPr>
          <w:rFonts w:hint="eastAsia" w:ascii="仿宋_GB2312" w:eastAsia="仿宋_GB2312"/>
          <w:sz w:val="32"/>
          <w:szCs w:val="32"/>
          <w:highlight w:val="none"/>
          <w:lang w:val="en-US" w:eastAsia="zh-CN"/>
        </w:rPr>
        <w:t>0</w:t>
      </w:r>
      <w:r>
        <w:rPr>
          <w:rFonts w:hint="eastAsia" w:ascii="仿宋_GB2312" w:eastAsia="仿宋_GB2312"/>
          <w:sz w:val="32"/>
          <w:szCs w:val="32"/>
          <w:highlight w:val="none"/>
        </w:rPr>
        <w:t>人，</w:t>
      </w:r>
      <w:r>
        <w:rPr>
          <w:rFonts w:hint="eastAsia" w:ascii="仿宋_GB2312" w:hAnsi="宋体" w:eastAsia="仿宋_GB2312" w:cs="宋体"/>
          <w:color w:val="auto"/>
          <w:kern w:val="0"/>
          <w:sz w:val="32"/>
          <w:szCs w:val="32"/>
          <w:highlight w:val="none"/>
        </w:rPr>
        <w:t>增加</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人；</w:t>
      </w:r>
      <w:r>
        <w:rPr>
          <w:rFonts w:hint="eastAsia" w:ascii="仿宋_GB2312" w:eastAsia="仿宋_GB2312"/>
          <w:sz w:val="32"/>
          <w:szCs w:val="32"/>
          <w:highlight w:val="none"/>
        </w:rPr>
        <w:t>退休人员</w:t>
      </w:r>
      <w:r>
        <w:rPr>
          <w:rFonts w:hint="eastAsia" w:ascii="仿宋_GB2312" w:eastAsia="仿宋_GB2312"/>
          <w:sz w:val="32"/>
          <w:szCs w:val="32"/>
          <w:highlight w:val="none"/>
          <w:lang w:val="en-US" w:eastAsia="zh-CN"/>
        </w:rPr>
        <w:t>15</w:t>
      </w:r>
      <w:r>
        <w:rPr>
          <w:rFonts w:hint="eastAsia" w:ascii="仿宋_GB2312" w:eastAsia="仿宋_GB2312"/>
          <w:sz w:val="32"/>
          <w:szCs w:val="32"/>
          <w:highlight w:val="none"/>
        </w:rPr>
        <w:t>人</w:t>
      </w:r>
      <w:r>
        <w:rPr>
          <w:rFonts w:hint="eastAsia" w:ascii="仿宋_GB2312" w:eastAsia="仿宋_GB2312"/>
          <w:sz w:val="32"/>
          <w:szCs w:val="32"/>
          <w:highlight w:val="none"/>
          <w:lang w:eastAsia="zh-CN"/>
        </w:rPr>
        <w:t>，</w:t>
      </w:r>
      <w:r>
        <w:rPr>
          <w:rFonts w:hint="eastAsia" w:ascii="仿宋_GB2312" w:hAnsi="宋体" w:eastAsia="仿宋_GB2312" w:cs="宋体"/>
          <w:color w:val="auto"/>
          <w:kern w:val="0"/>
          <w:sz w:val="32"/>
          <w:szCs w:val="32"/>
          <w:highlight w:val="none"/>
        </w:rPr>
        <w:t>增加</w:t>
      </w:r>
      <w:r>
        <w:rPr>
          <w:rFonts w:hint="eastAsia" w:ascii="仿宋_GB2312" w:hAnsi="宋体" w:eastAsia="仿宋_GB2312" w:cs="宋体"/>
          <w:color w:val="auto"/>
          <w:kern w:val="0"/>
          <w:sz w:val="32"/>
          <w:szCs w:val="32"/>
          <w:highlight w:val="none"/>
          <w:lang w:val="en-US" w:eastAsia="zh-CN"/>
        </w:rPr>
        <w:t>4</w:t>
      </w:r>
      <w:r>
        <w:rPr>
          <w:rFonts w:hint="eastAsia" w:ascii="仿宋_GB2312" w:hAnsi="宋体" w:eastAsia="仿宋_GB2312" w:cs="宋体"/>
          <w:color w:val="auto"/>
          <w:kern w:val="0"/>
          <w:sz w:val="32"/>
          <w:szCs w:val="32"/>
          <w:highlight w:val="none"/>
        </w:rPr>
        <w:t>人</w:t>
      </w:r>
      <w:r>
        <w:rPr>
          <w:rFonts w:hint="eastAsia" w:ascii="仿宋_GB2312" w:eastAsia="仿宋_GB2312"/>
          <w:sz w:val="32"/>
          <w:szCs w:val="32"/>
          <w:highlight w:val="none"/>
        </w:rPr>
        <w:t>。</w:t>
      </w:r>
    </w:p>
    <w:p>
      <w:pPr>
        <w:keepNext w:val="0"/>
        <w:keepLines w:val="0"/>
        <w:pageBreakBefore w:val="0"/>
        <w:widowControl w:val="0"/>
        <w:kinsoku/>
        <w:wordWrap/>
        <w:overflowPunct/>
        <w:topLinePunct w:val="0"/>
        <w:bidi w:val="0"/>
        <w:adjustRightInd/>
        <w:snapToGrid/>
        <w:spacing w:line="560" w:lineRule="exact"/>
        <w:ind w:firstLine="640" w:firstLineChars="200"/>
        <w:jc w:val="both"/>
        <w:textAlignment w:val="auto"/>
        <w:rPr>
          <w:rFonts w:hint="eastAsia" w:ascii="仿宋_GB2312" w:hAnsi="宋体" w:eastAsia="仿宋_GB2312" w:cs="宋体"/>
          <w:kern w:val="0"/>
          <w:sz w:val="32"/>
          <w:szCs w:val="32"/>
          <w:highlight w:val="none"/>
        </w:rPr>
        <w:sectPr>
          <w:footerReference r:id="rId3" w:type="default"/>
          <w:pgSz w:w="11906" w:h="16838"/>
          <w:pgMar w:top="1440" w:right="1800" w:bottom="1440" w:left="1800" w:header="851" w:footer="992" w:gutter="0"/>
          <w:cols w:space="720" w:num="1"/>
          <w:docGrid w:type="lines" w:linePitch="312" w:charSpace="0"/>
        </w:sectPr>
      </w:pPr>
      <w:r>
        <w:rPr>
          <w:rFonts w:hint="eastAsia" w:ascii="仿宋_GB2312" w:hAnsi="黑体" w:eastAsia="仿宋_GB2312" w:cs="宋体"/>
          <w:bCs/>
          <w:kern w:val="0"/>
          <w:sz w:val="32"/>
          <w:szCs w:val="32"/>
          <w:highlight w:val="none"/>
        </w:rPr>
        <w:t>单位无下属预算单位，下设5个科室，分别是：党政综合办公室、党建工作办公室、经济发展和财政办公室、社会事务办公室、综合执法办公室。</w:t>
      </w:r>
    </w:p>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center"/>
        <w:textAlignment w:val="auto"/>
        <w:outlineLvl w:val="0"/>
        <w:rPr>
          <w:rFonts w:hint="eastAsia" w:ascii="黑体" w:hAnsi="黑体" w:eastAsia="黑体"/>
          <w:sz w:val="32"/>
          <w:szCs w:val="32"/>
          <w:highlight w:val="none"/>
        </w:rPr>
      </w:pPr>
      <w:bookmarkStart w:id="6" w:name="_Toc3092"/>
      <w:bookmarkStart w:id="7" w:name="_Toc7559"/>
      <w:r>
        <w:rPr>
          <w:rFonts w:hint="eastAsia" w:ascii="黑体" w:hAnsi="黑体" w:eastAsia="黑体"/>
          <w:sz w:val="32"/>
          <w:szCs w:val="32"/>
          <w:highlight w:val="none"/>
        </w:rPr>
        <w:t>第</w:t>
      </w:r>
      <w:r>
        <w:rPr>
          <w:rFonts w:hint="eastAsia" w:ascii="黑体" w:hAnsi="黑体" w:eastAsia="黑体"/>
          <w:sz w:val="32"/>
          <w:szCs w:val="32"/>
          <w:highlight w:val="none"/>
          <w:lang w:val="en-US" w:eastAsia="zh-CN"/>
        </w:rPr>
        <w:t>二</w:t>
      </w:r>
      <w:r>
        <w:rPr>
          <w:rFonts w:hint="eastAsia" w:ascii="黑体" w:hAnsi="黑体" w:eastAsia="黑体"/>
          <w:sz w:val="32"/>
          <w:szCs w:val="32"/>
          <w:highlight w:val="none"/>
        </w:rPr>
        <w:t>部分 部门决算情况说明</w:t>
      </w:r>
      <w:bookmarkEnd w:id="6"/>
      <w:bookmarkEnd w:id="7"/>
    </w:p>
    <w:p>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1"/>
        <w:rPr>
          <w:rFonts w:hint="eastAsia" w:ascii="黑体" w:hAnsi="黑体" w:eastAsia="黑体" w:cs="宋体"/>
          <w:bCs/>
          <w:kern w:val="0"/>
          <w:sz w:val="32"/>
          <w:szCs w:val="32"/>
          <w:highlight w:val="none"/>
        </w:rPr>
      </w:pPr>
      <w:bookmarkStart w:id="8" w:name="_Toc6321"/>
      <w:bookmarkStart w:id="9" w:name="_Toc12566"/>
      <w:r>
        <w:rPr>
          <w:rFonts w:hint="eastAsia" w:ascii="黑体" w:hAnsi="黑体" w:eastAsia="黑体" w:cs="宋体"/>
          <w:bCs/>
          <w:kern w:val="0"/>
          <w:sz w:val="32"/>
          <w:szCs w:val="32"/>
          <w:highlight w:val="none"/>
        </w:rPr>
        <w:t>一、收入支出决算总体情况说明</w:t>
      </w:r>
      <w:bookmarkEnd w:id="8"/>
      <w:bookmarkEnd w:id="9"/>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_GB2312" w:eastAsia="仿宋_GB2312"/>
          <w:sz w:val="32"/>
          <w:szCs w:val="32"/>
          <w:highlight w:val="none"/>
          <w:lang w:eastAsia="zh-CN"/>
        </w:rPr>
      </w:pPr>
      <w:r>
        <w:rPr>
          <w:rFonts w:hint="eastAsia" w:ascii="仿宋_GB2312" w:eastAsia="仿宋_GB2312"/>
          <w:b/>
          <w:bCs/>
          <w:spacing w:val="0"/>
          <w:sz w:val="32"/>
          <w:szCs w:val="32"/>
          <w:highlight w:val="none"/>
          <w:lang w:eastAsia="zh-CN"/>
        </w:rPr>
        <w:t>2024年度</w:t>
      </w:r>
      <w:r>
        <w:rPr>
          <w:rFonts w:hint="eastAsia" w:ascii="仿宋_GB2312" w:eastAsia="仿宋_GB2312"/>
          <w:b/>
          <w:bCs/>
          <w:spacing w:val="0"/>
          <w:sz w:val="32"/>
          <w:szCs w:val="32"/>
          <w:highlight w:val="none"/>
          <w:lang w:val="en-US" w:eastAsia="zh-CN"/>
        </w:rPr>
        <w:t>收入总计3,404.82</w:t>
      </w:r>
      <w:r>
        <w:rPr>
          <w:rFonts w:hint="eastAsia" w:ascii="仿宋_GB2312" w:eastAsia="仿宋_GB2312"/>
          <w:b/>
          <w:bCs/>
          <w:sz w:val="32"/>
          <w:szCs w:val="32"/>
          <w:highlight w:val="none"/>
        </w:rPr>
        <w:t>万元</w:t>
      </w:r>
      <w:r>
        <w:rPr>
          <w:rFonts w:hint="eastAsia" w:ascii="仿宋_GB2312" w:eastAsia="仿宋_GB2312"/>
          <w:b/>
          <w:bCs/>
          <w:sz w:val="32"/>
          <w:szCs w:val="32"/>
          <w:highlight w:val="none"/>
          <w:lang w:eastAsia="zh-CN"/>
        </w:rPr>
        <w:t>，</w:t>
      </w:r>
      <w:r>
        <w:rPr>
          <w:rFonts w:hint="eastAsia" w:ascii="仿宋_GB2312" w:eastAsia="仿宋_GB2312"/>
          <w:sz w:val="32"/>
          <w:szCs w:val="32"/>
          <w:highlight w:val="none"/>
          <w:lang w:val="en-US" w:eastAsia="zh-CN"/>
        </w:rPr>
        <w:t>其中：本年收入合计</w:t>
      </w:r>
      <w:r>
        <w:rPr>
          <w:rFonts w:hint="eastAsia" w:ascii="仿宋_GB2312" w:eastAsia="仿宋_GB2312"/>
          <w:b/>
          <w:bCs/>
          <w:spacing w:val="0"/>
          <w:sz w:val="32"/>
          <w:szCs w:val="32"/>
          <w:highlight w:val="none"/>
          <w:lang w:val="en-US" w:eastAsia="zh-CN"/>
        </w:rPr>
        <w:t>3,404.82</w:t>
      </w:r>
      <w:r>
        <w:rPr>
          <w:rFonts w:hint="eastAsia" w:ascii="仿宋_GB2312" w:eastAsia="仿宋_GB2312"/>
          <w:sz w:val="32"/>
          <w:szCs w:val="32"/>
          <w:highlight w:val="none"/>
        </w:rPr>
        <w:t>万元</w:t>
      </w:r>
      <w:r>
        <w:rPr>
          <w:rFonts w:hint="eastAsia" w:ascii="仿宋_GB2312" w:eastAsia="仿宋_GB2312"/>
          <w:sz w:val="32"/>
          <w:szCs w:val="32"/>
          <w:highlight w:val="none"/>
          <w:lang w:eastAsia="zh-CN"/>
        </w:rPr>
        <w:t>，使用非财政拨款结余</w:t>
      </w:r>
      <w:r>
        <w:rPr>
          <w:rFonts w:ascii="仿宋_GB2312" w:eastAsia="仿宋_GB2312"/>
          <w:b w:val="0"/>
          <w:sz w:val="32"/>
          <w:szCs w:val="32"/>
        </w:rPr>
        <w:t>（含专用结余）0.00万元，年初结转和结余0.00万元</w:t>
      </w:r>
      <w:r>
        <w:rPr>
          <w:rFonts w:hint="eastAsia" w:ascii="仿宋_GB2312" w:eastAsia="仿宋_GB2312"/>
          <w:sz w:val="32"/>
          <w:szCs w:val="32"/>
          <w:highlight w:val="none"/>
          <w:lang w:eastAsia="zh-CN"/>
        </w:rPr>
        <w:t>。</w:t>
      </w:r>
    </w:p>
    <w:p>
      <w:pPr>
        <w:keepNext w:val="0"/>
        <w:keepLines w:val="0"/>
        <w:pageBreakBefore w:val="0"/>
        <w:widowControl w:val="0"/>
        <w:kinsoku/>
        <w:wordWrap/>
        <w:overflowPunct/>
        <w:topLinePunct w:val="0"/>
        <w:bidi w:val="0"/>
        <w:adjustRightInd/>
        <w:snapToGrid/>
        <w:spacing w:before="0" w:beforeLines="0" w:beforeAutospacing="0" w:after="0" w:afterLines="0" w:afterAutospacing="0" w:line="560" w:lineRule="exact"/>
        <w:ind w:firstLine="643" w:firstLineChars="200"/>
        <w:jc w:val="both"/>
        <w:textAlignment w:val="auto"/>
        <w:rPr>
          <w:rFonts w:hint="eastAsia" w:ascii="仿宋_GB2312" w:eastAsia="仿宋_GB2312"/>
          <w:sz w:val="32"/>
          <w:szCs w:val="32"/>
          <w:highlight w:val="none"/>
          <w:lang w:eastAsia="zh-CN"/>
        </w:rPr>
      </w:pPr>
      <w:r>
        <w:rPr>
          <w:rFonts w:hint="eastAsia" w:ascii="仿宋_GB2312" w:eastAsia="仿宋_GB2312"/>
          <w:b/>
          <w:bCs/>
          <w:spacing w:val="0"/>
          <w:sz w:val="32"/>
          <w:szCs w:val="32"/>
          <w:highlight w:val="none"/>
          <w:lang w:eastAsia="zh-CN"/>
        </w:rPr>
        <w:t>2024年度</w:t>
      </w:r>
      <w:r>
        <w:rPr>
          <w:rFonts w:hint="eastAsia" w:ascii="仿宋_GB2312" w:eastAsia="仿宋_GB2312"/>
          <w:b/>
          <w:bCs/>
          <w:sz w:val="32"/>
          <w:szCs w:val="32"/>
          <w:highlight w:val="none"/>
        </w:rPr>
        <w:t>支出</w:t>
      </w:r>
      <w:r>
        <w:rPr>
          <w:rFonts w:hint="eastAsia" w:ascii="仿宋_GB2312" w:eastAsia="仿宋_GB2312"/>
          <w:b/>
          <w:bCs/>
          <w:sz w:val="32"/>
          <w:szCs w:val="32"/>
          <w:highlight w:val="none"/>
          <w:lang w:val="en-US" w:eastAsia="zh-CN"/>
        </w:rPr>
        <w:t>总计</w:t>
      </w:r>
      <w:r>
        <w:rPr>
          <w:rFonts w:ascii="仿宋_GB2312" w:eastAsia="仿宋_GB2312"/>
          <w:b w:val="0"/>
          <w:sz w:val="32"/>
          <w:szCs w:val="32"/>
        </w:rPr>
        <w:t>3,404.82万元，其中：本年支出合计3,404.82万元，结余分配0.00万元，年末结转和结余0.00万元。</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_GB2312" w:eastAsia="仿宋_GB2312"/>
          <w:sz w:val="32"/>
          <w:szCs w:val="32"/>
          <w:highlight w:val="none"/>
        </w:rPr>
      </w:pPr>
      <w:r>
        <w:rPr>
          <w:rFonts w:hint="eastAsia" w:ascii="仿宋_GB2312" w:hAnsi="仿宋_GB2312" w:eastAsia="仿宋_GB2312" w:cs="仿宋_GB2312"/>
          <w:b/>
          <w:bCs w:val="0"/>
          <w:kern w:val="0"/>
          <w:sz w:val="32"/>
          <w:szCs w:val="32"/>
          <w:highlight w:val="none"/>
        </w:rPr>
        <w:t>收入支出总体</w:t>
      </w:r>
      <w:r>
        <w:rPr>
          <w:rFonts w:hint="eastAsia" w:ascii="仿宋_GB2312" w:eastAsia="仿宋_GB2312"/>
          <w:b/>
          <w:bCs w:val="0"/>
          <w:sz w:val="32"/>
          <w:szCs w:val="32"/>
          <w:highlight w:val="none"/>
        </w:rPr>
        <w:t>与上年相比</w:t>
      </w:r>
      <w:r>
        <w:rPr>
          <w:rFonts w:hint="eastAsia" w:ascii="仿宋_GB2312" w:eastAsia="仿宋_GB2312"/>
          <w:b/>
          <w:bCs w:val="0"/>
          <w:sz w:val="32"/>
          <w:szCs w:val="32"/>
          <w:highlight w:val="none"/>
          <w:lang w:eastAsia="zh-CN"/>
        </w:rPr>
        <w:t>，</w:t>
      </w:r>
      <w:r>
        <w:rPr>
          <w:rFonts w:hint="eastAsia" w:ascii="仿宋_GB2312" w:eastAsia="仿宋_GB2312"/>
          <w:sz w:val="32"/>
          <w:szCs w:val="32"/>
          <w:highlight w:val="none"/>
        </w:rPr>
        <w:t>增加</w:t>
      </w:r>
      <w:r>
        <w:rPr>
          <w:rFonts w:ascii="仿宋_GB2312" w:eastAsia="仿宋_GB2312"/>
          <w:b w:val="0"/>
          <w:sz w:val="32"/>
          <w:szCs w:val="32"/>
        </w:rPr>
        <w:t>977.57</w:t>
      </w:r>
      <w:r>
        <w:rPr>
          <w:rFonts w:hint="eastAsia" w:ascii="仿宋_GB2312" w:eastAsia="仿宋_GB2312"/>
          <w:sz w:val="32"/>
          <w:szCs w:val="32"/>
          <w:highlight w:val="none"/>
        </w:rPr>
        <w:t>万元</w:t>
      </w:r>
      <w:r>
        <w:rPr>
          <w:rFonts w:hint="eastAsia" w:ascii="仿宋_GB2312" w:eastAsia="仿宋_GB2312"/>
          <w:sz w:val="32"/>
          <w:szCs w:val="32"/>
          <w:highlight w:val="none"/>
          <w:lang w:eastAsia="zh-CN"/>
        </w:rPr>
        <w:t>，</w:t>
      </w:r>
      <w:r>
        <w:rPr>
          <w:rFonts w:ascii="仿宋_GB2312" w:eastAsia="仿宋_GB2312"/>
          <w:b w:val="0"/>
          <w:sz w:val="32"/>
          <w:szCs w:val="32"/>
        </w:rPr>
        <w:t>增长40.27%</w:t>
      </w:r>
      <w:r>
        <w:rPr>
          <w:rFonts w:hint="eastAsia" w:ascii="仿宋_GB2312" w:eastAsia="仿宋_GB2312"/>
          <w:sz w:val="32"/>
          <w:szCs w:val="32"/>
          <w:highlight w:val="none"/>
          <w:lang w:eastAsia="zh-CN"/>
        </w:rPr>
        <w:t>，主要原因是</w:t>
      </w:r>
      <w:r>
        <w:rPr>
          <w:rFonts w:hint="eastAsia" w:ascii="仿宋_GB2312" w:eastAsia="仿宋_GB2312"/>
          <w:sz w:val="32"/>
          <w:szCs w:val="32"/>
          <w:highlight w:val="none"/>
        </w:rPr>
        <w:t>：</w:t>
      </w:r>
      <w:r>
        <w:rPr>
          <w:rFonts w:hint="eastAsia" w:ascii="仿宋_GB2312" w:eastAsia="仿宋_GB2312"/>
          <w:sz w:val="32"/>
          <w:szCs w:val="32"/>
          <w:highlight w:val="none"/>
          <w:lang w:val="en-US" w:eastAsia="zh-CN"/>
        </w:rPr>
        <w:t>2024年西尼尔镇西尼尔村新增乡村振兴项目7个，收入支出总体比上年增加</w:t>
      </w:r>
      <w:r>
        <w:rPr>
          <w:rFonts w:hint="eastAsia" w:ascii="仿宋_GB2312" w:eastAsia="仿宋_GB2312"/>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1"/>
        <w:rPr>
          <w:rFonts w:hint="eastAsia" w:ascii="黑体" w:hAnsi="黑体" w:eastAsia="黑体" w:cs="宋体"/>
          <w:bCs/>
          <w:kern w:val="0"/>
          <w:sz w:val="32"/>
          <w:szCs w:val="32"/>
          <w:highlight w:val="none"/>
        </w:rPr>
      </w:pPr>
      <w:bookmarkStart w:id="10" w:name="_Toc1979"/>
      <w:bookmarkStart w:id="11" w:name="_Toc6311"/>
      <w:r>
        <w:rPr>
          <w:rFonts w:hint="eastAsia" w:ascii="黑体" w:hAnsi="黑体" w:eastAsia="黑体" w:cs="宋体"/>
          <w:bCs/>
          <w:kern w:val="0"/>
          <w:sz w:val="32"/>
          <w:szCs w:val="32"/>
          <w:highlight w:val="none"/>
          <w:lang w:eastAsia="zh-CN"/>
        </w:rPr>
        <w:t>二、</w:t>
      </w:r>
      <w:r>
        <w:rPr>
          <w:rFonts w:hint="eastAsia" w:ascii="黑体" w:hAnsi="黑体" w:eastAsia="黑体" w:cs="宋体"/>
          <w:bCs/>
          <w:kern w:val="0"/>
          <w:sz w:val="32"/>
          <w:szCs w:val="32"/>
          <w:highlight w:val="none"/>
        </w:rPr>
        <w:t>收入</w:t>
      </w:r>
      <w:r>
        <w:rPr>
          <w:rFonts w:hint="eastAsia" w:ascii="黑体" w:hAnsi="黑体" w:eastAsia="黑体" w:cs="宋体"/>
          <w:bCs/>
          <w:kern w:val="0"/>
          <w:sz w:val="32"/>
          <w:szCs w:val="32"/>
          <w:highlight w:val="none"/>
          <w:lang w:eastAsia="zh-CN"/>
        </w:rPr>
        <w:t>决算</w:t>
      </w:r>
      <w:r>
        <w:rPr>
          <w:rFonts w:hint="eastAsia" w:ascii="黑体" w:hAnsi="黑体" w:eastAsia="黑体" w:cs="宋体"/>
          <w:bCs/>
          <w:kern w:val="0"/>
          <w:sz w:val="32"/>
          <w:szCs w:val="32"/>
          <w:highlight w:val="none"/>
        </w:rPr>
        <w:t>情况说明</w:t>
      </w:r>
      <w:bookmarkEnd w:id="10"/>
      <w:bookmarkEnd w:id="11"/>
    </w:p>
    <w:p>
      <w:pPr>
        <w:keepNext w:val="0"/>
        <w:keepLines w:val="0"/>
        <w:pageBreakBefore w:val="0"/>
        <w:widowControl w:val="0"/>
        <w:kinsoku/>
        <w:wordWrap/>
        <w:overflowPunct/>
        <w:topLinePunct w:val="0"/>
        <w:bidi w:val="0"/>
        <w:adjustRightInd/>
        <w:snapToGrid/>
        <w:spacing w:before="0" w:beforeLines="0" w:beforeAutospacing="0" w:after="0" w:afterLines="0" w:afterAutospacing="0" w:line="560" w:lineRule="exact"/>
        <w:ind w:firstLine="643" w:firstLineChars="200"/>
        <w:jc w:val="both"/>
        <w:textAlignment w:val="auto"/>
        <w:rPr>
          <w:rFonts w:ascii="仿宋_GB2312" w:eastAsia="仿宋_GB2312"/>
          <w:sz w:val="32"/>
          <w:szCs w:val="32"/>
        </w:rPr>
      </w:pPr>
      <w:r>
        <w:rPr>
          <w:rFonts w:hint="eastAsia" w:ascii="仿宋_GB2312" w:eastAsia="仿宋_GB2312"/>
          <w:b/>
          <w:bCs/>
          <w:sz w:val="32"/>
          <w:szCs w:val="32"/>
          <w:highlight w:val="none"/>
        </w:rPr>
        <w:t>本年收入</w:t>
      </w:r>
      <w:r>
        <w:rPr>
          <w:rFonts w:ascii="仿宋_GB2312" w:eastAsia="仿宋_GB2312"/>
          <w:b w:val="0"/>
          <w:sz w:val="32"/>
          <w:szCs w:val="32"/>
        </w:rPr>
        <w:t>3,404.82</w:t>
      </w:r>
      <w:r>
        <w:rPr>
          <w:rFonts w:hint="eastAsia" w:ascii="仿宋_GB2312" w:eastAsia="仿宋_GB2312"/>
          <w:b/>
          <w:bCs/>
          <w:sz w:val="32"/>
          <w:szCs w:val="32"/>
          <w:highlight w:val="none"/>
        </w:rPr>
        <w:t>万元，</w:t>
      </w:r>
      <w:r>
        <w:rPr>
          <w:rFonts w:hint="eastAsia" w:ascii="仿宋_GB2312" w:eastAsia="仿宋_GB2312"/>
          <w:sz w:val="32"/>
          <w:szCs w:val="32"/>
          <w:highlight w:val="none"/>
        </w:rPr>
        <w:t>其中：</w:t>
      </w:r>
      <w:r>
        <w:rPr>
          <w:rFonts w:ascii="仿宋_GB2312" w:eastAsia="仿宋_GB2312"/>
          <w:b w:val="0"/>
          <w:sz w:val="32"/>
          <w:szCs w:val="32"/>
        </w:rPr>
        <w:t>其中：财政拨款收入3,332.00万元,占97.86%；上级补助收入0.00万元,占0.00%；事业收入0.00万元，占0.00%；经营收入0.00万元,占0.00%；附属单位上缴收入0.00万元，占0.00%；其他收入72.82万元，占2.14%。</w:t>
      </w: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1"/>
        <w:rPr>
          <w:rFonts w:hint="eastAsia" w:ascii="黑体" w:hAnsi="黑体" w:eastAsia="黑体" w:cs="宋体"/>
          <w:bCs/>
          <w:kern w:val="0"/>
          <w:sz w:val="32"/>
          <w:szCs w:val="32"/>
          <w:highlight w:val="none"/>
          <w:lang w:eastAsia="zh-CN"/>
        </w:rPr>
      </w:pPr>
      <w:bookmarkStart w:id="12" w:name="_Toc20629"/>
      <w:bookmarkStart w:id="13" w:name="_Toc27961"/>
      <w:r>
        <w:rPr>
          <w:rFonts w:hint="eastAsia" w:ascii="黑体" w:hAnsi="黑体" w:eastAsia="黑体" w:cs="宋体"/>
          <w:bCs/>
          <w:kern w:val="0"/>
          <w:sz w:val="32"/>
          <w:szCs w:val="32"/>
          <w:highlight w:val="none"/>
          <w:lang w:eastAsia="zh-CN"/>
        </w:rPr>
        <w:t>三、支出决算情况说明</w:t>
      </w:r>
      <w:bookmarkEnd w:id="12"/>
      <w:bookmarkEnd w:id="13"/>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_GB2312" w:eastAsia="仿宋_GB2312"/>
          <w:sz w:val="32"/>
          <w:szCs w:val="32"/>
          <w:highlight w:val="none"/>
          <w:lang w:eastAsia="zh-CN"/>
        </w:rPr>
      </w:pPr>
      <w:r>
        <w:rPr>
          <w:rFonts w:hint="eastAsia" w:ascii="仿宋_GB2312" w:eastAsia="仿宋_GB2312"/>
          <w:b/>
          <w:bCs/>
          <w:sz w:val="32"/>
          <w:szCs w:val="32"/>
          <w:highlight w:val="none"/>
        </w:rPr>
        <w:t>本年支出</w:t>
      </w:r>
      <w:r>
        <w:rPr>
          <w:rFonts w:ascii="仿宋_GB2312" w:eastAsia="仿宋_GB2312"/>
          <w:b w:val="0"/>
          <w:sz w:val="32"/>
          <w:szCs w:val="32"/>
        </w:rPr>
        <w:t>3,404.82</w:t>
      </w:r>
      <w:r>
        <w:rPr>
          <w:rFonts w:hint="eastAsia" w:ascii="仿宋_GB2312" w:eastAsia="仿宋_GB2312"/>
          <w:b/>
          <w:bCs/>
          <w:sz w:val="32"/>
          <w:szCs w:val="32"/>
          <w:highlight w:val="none"/>
        </w:rPr>
        <w:t>万元，</w:t>
      </w:r>
      <w:r>
        <w:rPr>
          <w:rFonts w:hint="eastAsia" w:ascii="仿宋_GB2312" w:eastAsia="仿宋_GB2312"/>
          <w:sz w:val="32"/>
          <w:szCs w:val="32"/>
          <w:highlight w:val="none"/>
        </w:rPr>
        <w:t>其中：</w:t>
      </w:r>
      <w:r>
        <w:rPr>
          <w:rFonts w:ascii="仿宋_GB2312" w:eastAsia="仿宋_GB2312"/>
          <w:b w:val="0"/>
          <w:sz w:val="32"/>
          <w:szCs w:val="32"/>
        </w:rPr>
        <w:t>基本支出1,424.58万元，占41.84%；项目支出1,980.24万元，占58.16%；上缴上级支出0.00万元，占0.00%；经营支出0.00万元，占0.00%；对附属单位补助支出0.00万元，占0.00%。</w:t>
      </w: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1"/>
        <w:rPr>
          <w:rFonts w:hint="eastAsia" w:ascii="黑体" w:hAnsi="黑体" w:eastAsia="黑体" w:cs="宋体"/>
          <w:bCs/>
          <w:kern w:val="0"/>
          <w:sz w:val="32"/>
          <w:szCs w:val="32"/>
          <w:highlight w:val="none"/>
          <w:lang w:eastAsia="zh-CN"/>
        </w:rPr>
      </w:pPr>
      <w:bookmarkStart w:id="14" w:name="_Toc7371"/>
      <w:bookmarkStart w:id="15" w:name="_Toc4393"/>
      <w:r>
        <w:rPr>
          <w:rFonts w:hint="eastAsia" w:ascii="黑体" w:hAnsi="黑体" w:eastAsia="黑体" w:cs="宋体"/>
          <w:bCs/>
          <w:kern w:val="0"/>
          <w:sz w:val="32"/>
          <w:szCs w:val="32"/>
          <w:highlight w:val="none"/>
          <w:lang w:eastAsia="zh-CN"/>
        </w:rPr>
        <w:t>四、财政拨款收入支出决算总体情况说明</w:t>
      </w:r>
      <w:bookmarkEnd w:id="14"/>
      <w:bookmarkEnd w:id="15"/>
    </w:p>
    <w:p>
      <w:pPr>
        <w:keepNext w:val="0"/>
        <w:keepLines w:val="0"/>
        <w:pageBreakBefore w:val="0"/>
        <w:widowControl w:val="0"/>
        <w:kinsoku/>
        <w:wordWrap/>
        <w:overflowPunct/>
        <w:topLinePunct w:val="0"/>
        <w:bidi w:val="0"/>
        <w:adjustRightInd/>
        <w:snapToGrid/>
        <w:spacing w:before="0" w:beforeLines="0" w:beforeAutospacing="0" w:after="0" w:afterLines="0" w:afterAutospacing="0" w:line="560" w:lineRule="exact"/>
        <w:ind w:firstLine="643" w:firstLineChars="200"/>
        <w:jc w:val="both"/>
        <w:textAlignment w:val="auto"/>
        <w:rPr>
          <w:rFonts w:ascii="仿宋_GB2312" w:eastAsia="仿宋_GB2312"/>
          <w:sz w:val="32"/>
          <w:szCs w:val="32"/>
        </w:rPr>
      </w:pPr>
      <w:r>
        <w:rPr>
          <w:rFonts w:hint="eastAsia" w:ascii="仿宋_GB2312" w:eastAsia="仿宋_GB2312"/>
          <w:b/>
          <w:bCs/>
          <w:spacing w:val="0"/>
          <w:sz w:val="32"/>
          <w:szCs w:val="32"/>
          <w:highlight w:val="none"/>
          <w:lang w:eastAsia="zh-CN"/>
        </w:rPr>
        <w:t>2024年度</w:t>
      </w:r>
      <w:r>
        <w:rPr>
          <w:rFonts w:hint="eastAsia" w:ascii="仿宋_GB2312" w:eastAsia="仿宋_GB2312"/>
          <w:b/>
          <w:bCs/>
          <w:sz w:val="32"/>
          <w:szCs w:val="32"/>
          <w:highlight w:val="none"/>
        </w:rPr>
        <w:t>财政拨款收入</w:t>
      </w:r>
      <w:r>
        <w:rPr>
          <w:rFonts w:hint="eastAsia" w:ascii="仿宋_GB2312" w:eastAsia="仿宋_GB2312"/>
          <w:b/>
          <w:bCs/>
          <w:sz w:val="32"/>
          <w:szCs w:val="32"/>
          <w:highlight w:val="none"/>
          <w:lang w:val="en-US" w:eastAsia="zh-CN"/>
        </w:rPr>
        <w:t>总计3,332.00</w:t>
      </w:r>
      <w:r>
        <w:rPr>
          <w:rFonts w:hint="eastAsia" w:ascii="仿宋_GB2312" w:eastAsia="仿宋_GB2312"/>
          <w:b/>
          <w:bCs/>
          <w:sz w:val="32"/>
          <w:szCs w:val="32"/>
          <w:highlight w:val="none"/>
        </w:rPr>
        <w:t>万元，</w:t>
      </w:r>
      <w:r>
        <w:rPr>
          <w:rFonts w:hint="eastAsia" w:ascii="仿宋_GB2312" w:eastAsia="仿宋_GB2312"/>
          <w:sz w:val="32"/>
          <w:szCs w:val="32"/>
          <w:highlight w:val="none"/>
          <w:lang w:val="en-US" w:eastAsia="zh-CN"/>
        </w:rPr>
        <w:t>其中</w:t>
      </w:r>
      <w:r>
        <w:rPr>
          <w:rFonts w:ascii="仿宋_GB2312" w:eastAsia="仿宋_GB2312"/>
          <w:b w:val="0"/>
          <w:sz w:val="32"/>
          <w:szCs w:val="32"/>
        </w:rPr>
        <w:t>年初财政拨款结转和结余0.00万元，本年财政拨款收入3,332.00万元。财政拨款支出总计3,332.00万元，其中：年末财政拨款结转和结余0.00万元，本年财政拨款支出3,332.00万元。</w:t>
      </w:r>
    </w:p>
    <w:p>
      <w:pPr>
        <w:keepNext w:val="0"/>
        <w:keepLines w:val="0"/>
        <w:pageBreakBefore w:val="0"/>
        <w:widowControl w:val="0"/>
        <w:kinsoku/>
        <w:wordWrap/>
        <w:overflowPunct/>
        <w:topLinePunct w:val="0"/>
        <w:bidi w:val="0"/>
        <w:adjustRightInd/>
        <w:snapToGrid/>
        <w:spacing w:before="0" w:beforeLines="0" w:beforeAutospacing="0" w:after="0" w:afterLines="0" w:afterAutospacing="0" w:line="560" w:lineRule="exact"/>
        <w:ind w:firstLine="643" w:firstLineChars="200"/>
        <w:jc w:val="both"/>
        <w:textAlignment w:val="auto"/>
        <w:rPr>
          <w:rFonts w:ascii="仿宋_GB2312" w:eastAsia="仿宋_GB2312"/>
          <w:sz w:val="32"/>
          <w:szCs w:val="32"/>
        </w:rPr>
      </w:pPr>
      <w:r>
        <w:rPr>
          <w:rFonts w:hint="eastAsia" w:ascii="仿宋_GB2312" w:hAnsi="仿宋_GB2312" w:eastAsia="仿宋_GB2312" w:cs="仿宋_GB2312"/>
          <w:b/>
          <w:bCs w:val="0"/>
          <w:kern w:val="0"/>
          <w:sz w:val="32"/>
          <w:szCs w:val="32"/>
          <w:highlight w:val="none"/>
          <w:lang w:eastAsia="zh-CN"/>
        </w:rPr>
        <w:t>财政拨款收入支出总体</w:t>
      </w:r>
      <w:r>
        <w:rPr>
          <w:rFonts w:hint="eastAsia" w:ascii="仿宋_GB2312" w:eastAsia="仿宋_GB2312"/>
          <w:b/>
          <w:bCs w:val="0"/>
          <w:sz w:val="32"/>
          <w:szCs w:val="32"/>
          <w:highlight w:val="none"/>
        </w:rPr>
        <w:t>与上年相比，</w:t>
      </w:r>
      <w:r>
        <w:rPr>
          <w:rFonts w:ascii="仿宋_GB2312" w:eastAsia="仿宋_GB2312"/>
          <w:b w:val="0"/>
          <w:sz w:val="32"/>
          <w:szCs w:val="32"/>
        </w:rPr>
        <w:t>增加924.75万元，增长38.42%，主要原因是</w:t>
      </w:r>
      <w:r>
        <w:rPr>
          <w:rFonts w:hint="eastAsia" w:ascii="仿宋_GB2312" w:eastAsia="仿宋_GB2312"/>
          <w:sz w:val="32"/>
          <w:szCs w:val="32"/>
          <w:highlight w:val="none"/>
        </w:rPr>
        <w:t>：</w:t>
      </w:r>
      <w:r>
        <w:rPr>
          <w:rFonts w:hint="eastAsia" w:ascii="仿宋_GB2312" w:eastAsia="仿宋_GB2312"/>
          <w:sz w:val="32"/>
          <w:szCs w:val="32"/>
          <w:highlight w:val="none"/>
          <w:lang w:val="en-US" w:eastAsia="zh-CN"/>
        </w:rPr>
        <w:t>2024年西尼尔镇西尼尔村新增乡村振兴项目7个，收入支出总体与上年相比增加</w:t>
      </w:r>
      <w:r>
        <w:rPr>
          <w:rFonts w:hint="eastAsia" w:ascii="仿宋_GB2312" w:eastAsia="仿宋_GB2312"/>
          <w:sz w:val="32"/>
          <w:szCs w:val="32"/>
          <w:highlight w:val="none"/>
        </w:rPr>
        <w:t>。</w:t>
      </w:r>
      <w:r>
        <w:rPr>
          <w:rFonts w:hint="eastAsia" w:ascii="仿宋_GB2312" w:eastAsia="仿宋_GB2312"/>
          <w:b/>
          <w:bCs/>
          <w:sz w:val="32"/>
          <w:szCs w:val="32"/>
          <w:highlight w:val="none"/>
        </w:rPr>
        <w:t>与</w:t>
      </w:r>
      <w:r>
        <w:rPr>
          <w:rFonts w:hint="eastAsia" w:ascii="仿宋_GB2312" w:eastAsia="仿宋_GB2312"/>
          <w:b/>
          <w:bCs/>
          <w:sz w:val="32"/>
          <w:szCs w:val="32"/>
          <w:highlight w:val="none"/>
          <w:lang w:eastAsia="zh-CN"/>
        </w:rPr>
        <w:t>年初预算</w:t>
      </w:r>
      <w:r>
        <w:rPr>
          <w:rFonts w:hint="eastAsia" w:ascii="仿宋_GB2312" w:eastAsia="仿宋_GB2312"/>
          <w:b/>
          <w:bCs/>
          <w:sz w:val="32"/>
          <w:szCs w:val="32"/>
          <w:highlight w:val="none"/>
        </w:rPr>
        <w:t>相比</w:t>
      </w:r>
      <w:r>
        <w:rPr>
          <w:rFonts w:hint="eastAsia" w:ascii="仿宋_GB2312" w:eastAsia="仿宋_GB2312"/>
          <w:b/>
          <w:bCs/>
          <w:sz w:val="32"/>
          <w:szCs w:val="32"/>
          <w:highlight w:val="none"/>
          <w:lang w:eastAsia="zh-CN"/>
        </w:rPr>
        <w:t>，</w:t>
      </w:r>
      <w:r>
        <w:rPr>
          <w:rFonts w:ascii="仿宋_GB2312" w:eastAsia="仿宋_GB2312"/>
          <w:b w:val="0"/>
          <w:sz w:val="32"/>
          <w:szCs w:val="32"/>
        </w:rPr>
        <w:t>年初预算数1,893.89万元，决算数3,332.00万元，预决算差异率75.93%，主要原因是：</w:t>
      </w:r>
      <w:r>
        <w:rPr>
          <w:rFonts w:hint="eastAsia" w:ascii="仿宋_GB2312" w:eastAsia="仿宋_GB2312"/>
          <w:sz w:val="32"/>
          <w:szCs w:val="32"/>
          <w:highlight w:val="none"/>
          <w:lang w:val="en-US" w:eastAsia="zh-CN"/>
        </w:rPr>
        <w:t>2024年西尼尔镇年终追加乡村振兴项目7个，决算数相应增加</w:t>
      </w:r>
      <w:r>
        <w:rPr>
          <w:rFonts w:ascii="仿宋_GB2312" w:eastAsia="仿宋_GB2312"/>
          <w:b w:val="0"/>
          <w:sz w:val="32"/>
          <w:szCs w:val="32"/>
        </w:rPr>
        <w:t>。</w:t>
      </w: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1"/>
        <w:rPr>
          <w:rFonts w:hint="eastAsia" w:ascii="黑体" w:hAnsi="黑体" w:eastAsia="黑体" w:cs="宋体"/>
          <w:bCs/>
          <w:kern w:val="0"/>
          <w:sz w:val="32"/>
          <w:szCs w:val="32"/>
          <w:highlight w:val="none"/>
          <w:lang w:eastAsia="zh-CN"/>
        </w:rPr>
      </w:pPr>
      <w:bookmarkStart w:id="16" w:name="_Toc18905"/>
      <w:bookmarkStart w:id="17" w:name="_Toc13833"/>
      <w:r>
        <w:rPr>
          <w:rFonts w:hint="eastAsia" w:ascii="黑体" w:hAnsi="黑体" w:eastAsia="黑体" w:cs="宋体"/>
          <w:bCs/>
          <w:kern w:val="0"/>
          <w:sz w:val="32"/>
          <w:szCs w:val="32"/>
          <w:highlight w:val="none"/>
          <w:lang w:eastAsia="zh-CN"/>
        </w:rPr>
        <w:t>五、一般公共预算财政拨款支出决算情况说明</w:t>
      </w:r>
      <w:bookmarkEnd w:id="16"/>
      <w:bookmarkEnd w:id="17"/>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2"/>
        <w:rPr>
          <w:rFonts w:hint="eastAsia" w:ascii="黑体" w:hAnsi="黑体" w:eastAsia="黑体"/>
          <w:sz w:val="32"/>
          <w:szCs w:val="32"/>
          <w:highlight w:val="none"/>
          <w:lang w:eastAsia="zh-CN"/>
        </w:rPr>
      </w:pPr>
      <w:bookmarkStart w:id="18" w:name="_Toc1165"/>
      <w:r>
        <w:rPr>
          <w:rFonts w:hint="eastAsia" w:ascii="黑体" w:hAnsi="黑体" w:eastAsia="黑体"/>
          <w:sz w:val="32"/>
          <w:szCs w:val="32"/>
          <w:highlight w:val="none"/>
          <w:lang w:eastAsia="zh-CN"/>
        </w:rPr>
        <w:t>（一）一般公共预算财政拨款支出决算总体情况</w:t>
      </w:r>
      <w:bookmarkEnd w:id="18"/>
    </w:p>
    <w:p>
      <w:pPr>
        <w:keepNext w:val="0"/>
        <w:keepLines w:val="0"/>
        <w:pageBreakBefore w:val="0"/>
        <w:widowControl w:val="0"/>
        <w:kinsoku/>
        <w:wordWrap/>
        <w:overflowPunct/>
        <w:topLinePunct w:val="0"/>
        <w:bidi w:val="0"/>
        <w:adjustRightInd/>
        <w:snapToGrid/>
        <w:spacing w:before="0" w:beforeLines="0" w:beforeAutospacing="0" w:after="0" w:afterLines="0" w:afterAutospacing="0" w:line="560" w:lineRule="exact"/>
        <w:ind w:firstLine="643" w:firstLineChars="200"/>
        <w:jc w:val="both"/>
        <w:textAlignment w:val="auto"/>
        <w:rPr>
          <w:rFonts w:ascii="仿宋_GB2312" w:eastAsia="仿宋_GB2312"/>
          <w:sz w:val="32"/>
          <w:szCs w:val="32"/>
        </w:rPr>
      </w:pPr>
      <w:r>
        <w:rPr>
          <w:rFonts w:hint="eastAsia" w:ascii="仿宋_GB2312" w:eastAsia="仿宋_GB2312"/>
          <w:b/>
          <w:bCs/>
          <w:spacing w:val="0"/>
          <w:sz w:val="32"/>
          <w:szCs w:val="32"/>
          <w:highlight w:val="none"/>
          <w:lang w:eastAsia="zh-CN"/>
        </w:rPr>
        <w:t>2024年度一般公共预算财政拨款支出3,268.55万元，</w:t>
      </w:r>
      <w:r>
        <w:rPr>
          <w:rFonts w:ascii="仿宋_GB2312" w:eastAsia="仿宋_GB2312"/>
          <w:b w:val="0"/>
          <w:sz w:val="32"/>
          <w:szCs w:val="32"/>
        </w:rPr>
        <w:t>占本年支出合计的96.00%。与上年相比，增加1,282.75万元，增长64.60%，主要原因是</w:t>
      </w:r>
      <w:r>
        <w:rPr>
          <w:rFonts w:hint="eastAsia" w:ascii="仿宋_GB2312" w:eastAsia="仿宋_GB2312"/>
          <w:spacing w:val="0"/>
          <w:sz w:val="32"/>
          <w:szCs w:val="32"/>
          <w:highlight w:val="none"/>
        </w:rPr>
        <w:t>：</w:t>
      </w:r>
      <w:r>
        <w:rPr>
          <w:rFonts w:hint="eastAsia" w:ascii="仿宋_GB2312" w:eastAsia="仿宋_GB2312"/>
          <w:sz w:val="32"/>
          <w:szCs w:val="32"/>
          <w:highlight w:val="none"/>
          <w:lang w:val="en-US" w:eastAsia="zh-CN"/>
        </w:rPr>
        <w:t>2024年西尼尔镇西尼尔村新增乡村振兴项目7个，</w:t>
      </w:r>
      <w:r>
        <w:rPr>
          <w:rFonts w:hint="eastAsia" w:ascii="仿宋_GB2312" w:eastAsia="仿宋_GB2312"/>
          <w:b/>
          <w:bCs/>
          <w:spacing w:val="0"/>
          <w:sz w:val="32"/>
          <w:szCs w:val="32"/>
          <w:highlight w:val="none"/>
          <w:lang w:eastAsia="zh-CN"/>
        </w:rPr>
        <w:t>一般公共预算财政拨款支出</w:t>
      </w:r>
      <w:r>
        <w:rPr>
          <w:rFonts w:hint="eastAsia" w:ascii="仿宋_GB2312" w:eastAsia="仿宋_GB2312"/>
          <w:b/>
          <w:bCs/>
          <w:spacing w:val="0"/>
          <w:sz w:val="32"/>
          <w:szCs w:val="32"/>
          <w:highlight w:val="none"/>
          <w:lang w:val="en-US" w:eastAsia="zh-CN"/>
        </w:rPr>
        <w:t>相应增加</w:t>
      </w:r>
      <w:r>
        <w:rPr>
          <w:rFonts w:hint="eastAsia" w:ascii="仿宋_GB2312" w:eastAsia="仿宋_GB2312"/>
          <w:spacing w:val="0"/>
          <w:sz w:val="32"/>
          <w:szCs w:val="32"/>
          <w:highlight w:val="none"/>
        </w:rPr>
        <w:t>。</w:t>
      </w:r>
      <w:r>
        <w:rPr>
          <w:rFonts w:hint="eastAsia" w:ascii="仿宋_GB2312" w:eastAsia="仿宋_GB2312"/>
          <w:b/>
          <w:bCs/>
          <w:sz w:val="32"/>
          <w:szCs w:val="32"/>
          <w:highlight w:val="none"/>
        </w:rPr>
        <w:t>与</w:t>
      </w:r>
      <w:r>
        <w:rPr>
          <w:rFonts w:hint="eastAsia" w:ascii="仿宋_GB2312" w:eastAsia="仿宋_GB2312"/>
          <w:b/>
          <w:bCs/>
          <w:sz w:val="32"/>
          <w:szCs w:val="32"/>
          <w:highlight w:val="none"/>
          <w:lang w:eastAsia="zh-CN"/>
        </w:rPr>
        <w:t>年初预算</w:t>
      </w:r>
      <w:r>
        <w:rPr>
          <w:rFonts w:hint="eastAsia" w:ascii="仿宋_GB2312" w:eastAsia="仿宋_GB2312"/>
          <w:b/>
          <w:bCs/>
          <w:sz w:val="32"/>
          <w:szCs w:val="32"/>
          <w:highlight w:val="none"/>
        </w:rPr>
        <w:t>相比</w:t>
      </w:r>
      <w:r>
        <w:rPr>
          <w:rFonts w:hint="eastAsia" w:ascii="仿宋_GB2312" w:eastAsia="仿宋_GB2312"/>
          <w:b/>
          <w:bCs/>
          <w:sz w:val="32"/>
          <w:szCs w:val="32"/>
          <w:highlight w:val="none"/>
          <w:lang w:val="en-US" w:eastAsia="zh-CN"/>
        </w:rPr>
        <w:t>,</w:t>
      </w:r>
      <w:r>
        <w:rPr>
          <w:rFonts w:ascii="仿宋_GB2312" w:eastAsia="仿宋_GB2312"/>
          <w:b w:val="0"/>
          <w:sz w:val="32"/>
          <w:szCs w:val="32"/>
        </w:rPr>
        <w:t>年初预算数1,878.37万元，决算数3,268.55万元，预决算差异率74.01%，主要原因是：</w:t>
      </w:r>
      <w:r>
        <w:rPr>
          <w:rFonts w:hint="eastAsia" w:ascii="仿宋_GB2312" w:eastAsia="仿宋_GB2312"/>
          <w:sz w:val="32"/>
          <w:szCs w:val="32"/>
          <w:highlight w:val="none"/>
          <w:lang w:val="en-US" w:eastAsia="zh-CN"/>
        </w:rPr>
        <w:t>2024年西尼尔镇年终追加乡村振兴项目7个，决算数相应增加</w:t>
      </w:r>
      <w:r>
        <w:rPr>
          <w:rFonts w:ascii="仿宋_GB2312" w:eastAsia="仿宋_GB2312"/>
          <w:b w:val="0"/>
          <w:sz w:val="32"/>
          <w:szCs w:val="32"/>
        </w:rPr>
        <w:t>。</w:t>
      </w:r>
    </w:p>
    <w:p>
      <w:pPr>
        <w:keepNext w:val="0"/>
        <w:keepLines w:val="0"/>
        <w:pageBreakBefore w:val="0"/>
        <w:widowControl w:val="0"/>
        <w:kinsoku/>
        <w:wordWrap/>
        <w:overflowPunct/>
        <w:topLinePunct w:val="0"/>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2"/>
        <w:rPr>
          <w:rFonts w:hint="eastAsia" w:ascii="黑体" w:hAnsi="黑体" w:eastAsia="黑体"/>
          <w:sz w:val="32"/>
          <w:szCs w:val="32"/>
          <w:highlight w:val="none"/>
          <w:lang w:eastAsia="zh-CN"/>
        </w:rPr>
      </w:pPr>
      <w:bookmarkStart w:id="19" w:name="_Toc27147"/>
      <w:r>
        <w:rPr>
          <w:rFonts w:hint="eastAsia" w:ascii="黑体" w:hAnsi="黑体" w:eastAsia="黑体"/>
          <w:sz w:val="32"/>
          <w:szCs w:val="32"/>
          <w:highlight w:val="none"/>
          <w:lang w:eastAsia="zh-CN"/>
        </w:rPr>
        <w:t>（二）一般公共预算</w:t>
      </w:r>
      <w:r>
        <w:rPr>
          <w:rFonts w:hint="eastAsia" w:ascii="黑体" w:hAnsi="黑体" w:eastAsia="黑体"/>
          <w:sz w:val="32"/>
          <w:szCs w:val="32"/>
          <w:highlight w:val="none"/>
          <w:lang w:val="en-US" w:eastAsia="zh-CN"/>
        </w:rPr>
        <w:t>财政拨款支出决算</w:t>
      </w:r>
      <w:r>
        <w:rPr>
          <w:rFonts w:hint="eastAsia" w:ascii="黑体" w:hAnsi="黑体" w:eastAsia="黑体"/>
          <w:sz w:val="32"/>
          <w:szCs w:val="32"/>
          <w:highlight w:val="none"/>
          <w:lang w:eastAsia="zh-CN"/>
        </w:rPr>
        <w:t>结构情况</w:t>
      </w:r>
      <w:bookmarkEnd w:id="19"/>
    </w:p>
    <w:p>
      <w:pPr>
        <w:keepNext w:val="0"/>
        <w:keepLines w:val="0"/>
        <w:pageBreakBefore w:val="0"/>
        <w:widowControl w:val="0"/>
        <w:kinsoku/>
        <w:wordWrap/>
        <w:overflowPunct/>
        <w:topLinePunct w:val="0"/>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rPr>
      </w:pPr>
      <w:bookmarkStart w:id="20" w:name="_Toc10037"/>
      <w:r>
        <w:rPr>
          <w:rFonts w:hint="eastAsia" w:ascii="仿宋_GB2312" w:eastAsia="仿宋_GB2312"/>
          <w:b w:val="0"/>
          <w:sz w:val="32"/>
          <w:szCs w:val="32"/>
          <w:lang w:val="en-US" w:eastAsia="zh-CN"/>
        </w:rPr>
        <w:t>1.</w:t>
      </w:r>
      <w:r>
        <w:rPr>
          <w:rFonts w:ascii="仿宋_GB2312" w:eastAsia="仿宋_GB2312"/>
          <w:b w:val="0"/>
          <w:sz w:val="32"/>
          <w:szCs w:val="32"/>
        </w:rPr>
        <w:t>一般公共服务支出（类）1,115.49万元，占34.13%。</w:t>
      </w:r>
    </w:p>
    <w:p>
      <w:pPr>
        <w:keepNext w:val="0"/>
        <w:keepLines w:val="0"/>
        <w:pageBreakBefore w:val="0"/>
        <w:widowControl w:val="0"/>
        <w:kinsoku/>
        <w:wordWrap/>
        <w:overflowPunct/>
        <w:topLinePunct w:val="0"/>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rPr>
      </w:pPr>
      <w:r>
        <w:rPr>
          <w:rFonts w:hint="eastAsia" w:ascii="仿宋_GB2312" w:eastAsia="仿宋_GB2312"/>
          <w:b w:val="0"/>
          <w:sz w:val="32"/>
          <w:szCs w:val="32"/>
          <w:lang w:val="en-US" w:eastAsia="zh-CN"/>
        </w:rPr>
        <w:t>2.</w:t>
      </w:r>
      <w:r>
        <w:rPr>
          <w:rFonts w:ascii="仿宋_GB2312" w:eastAsia="仿宋_GB2312"/>
          <w:b w:val="0"/>
          <w:sz w:val="32"/>
          <w:szCs w:val="32"/>
        </w:rPr>
        <w:t>教育支出（类）1.58万元，占0.05%。</w:t>
      </w:r>
    </w:p>
    <w:p>
      <w:pPr>
        <w:keepNext w:val="0"/>
        <w:keepLines w:val="0"/>
        <w:pageBreakBefore w:val="0"/>
        <w:widowControl w:val="0"/>
        <w:kinsoku/>
        <w:wordWrap/>
        <w:overflowPunct/>
        <w:topLinePunct w:val="0"/>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rPr>
      </w:pPr>
      <w:r>
        <w:rPr>
          <w:rFonts w:hint="eastAsia" w:ascii="仿宋_GB2312" w:eastAsia="仿宋_GB2312"/>
          <w:b w:val="0"/>
          <w:sz w:val="32"/>
          <w:szCs w:val="32"/>
          <w:lang w:val="en-US" w:eastAsia="zh-CN"/>
        </w:rPr>
        <w:t>3.</w:t>
      </w:r>
      <w:r>
        <w:rPr>
          <w:rFonts w:ascii="仿宋_GB2312" w:eastAsia="仿宋_GB2312"/>
          <w:b w:val="0"/>
          <w:sz w:val="32"/>
          <w:szCs w:val="32"/>
        </w:rPr>
        <w:t>科学技术支出（类）2.00万元，占0.06%。</w:t>
      </w:r>
    </w:p>
    <w:p>
      <w:pPr>
        <w:keepNext w:val="0"/>
        <w:keepLines w:val="0"/>
        <w:pageBreakBefore w:val="0"/>
        <w:widowControl w:val="0"/>
        <w:kinsoku/>
        <w:wordWrap/>
        <w:overflowPunct/>
        <w:topLinePunct w:val="0"/>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rPr>
      </w:pPr>
      <w:r>
        <w:rPr>
          <w:rFonts w:hint="eastAsia" w:ascii="仿宋_GB2312" w:eastAsia="仿宋_GB2312"/>
          <w:b w:val="0"/>
          <w:sz w:val="32"/>
          <w:szCs w:val="32"/>
          <w:lang w:val="en-US" w:eastAsia="zh-CN"/>
        </w:rPr>
        <w:t>4.</w:t>
      </w:r>
      <w:r>
        <w:rPr>
          <w:rFonts w:ascii="仿宋_GB2312" w:eastAsia="仿宋_GB2312"/>
          <w:b w:val="0"/>
          <w:sz w:val="32"/>
          <w:szCs w:val="32"/>
        </w:rPr>
        <w:t>文化旅游体育与传媒支出（类）11.50万元，占0.35%。</w:t>
      </w:r>
    </w:p>
    <w:p>
      <w:pPr>
        <w:keepNext w:val="0"/>
        <w:keepLines w:val="0"/>
        <w:pageBreakBefore w:val="0"/>
        <w:widowControl w:val="0"/>
        <w:kinsoku/>
        <w:wordWrap/>
        <w:overflowPunct/>
        <w:topLinePunct w:val="0"/>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rPr>
      </w:pPr>
      <w:r>
        <w:rPr>
          <w:rFonts w:hint="eastAsia" w:ascii="仿宋_GB2312" w:eastAsia="仿宋_GB2312"/>
          <w:b w:val="0"/>
          <w:sz w:val="32"/>
          <w:szCs w:val="32"/>
          <w:lang w:val="en-US" w:eastAsia="zh-CN"/>
        </w:rPr>
        <w:t>5.</w:t>
      </w:r>
      <w:r>
        <w:rPr>
          <w:rFonts w:ascii="仿宋_GB2312" w:eastAsia="仿宋_GB2312"/>
          <w:b w:val="0"/>
          <w:sz w:val="32"/>
          <w:szCs w:val="32"/>
        </w:rPr>
        <w:t>社会保障和就业支出（类）135.57万元，占4.15%。</w:t>
      </w:r>
    </w:p>
    <w:p>
      <w:pPr>
        <w:keepNext w:val="0"/>
        <w:keepLines w:val="0"/>
        <w:pageBreakBefore w:val="0"/>
        <w:widowControl w:val="0"/>
        <w:kinsoku/>
        <w:wordWrap/>
        <w:overflowPunct/>
        <w:topLinePunct w:val="0"/>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rPr>
      </w:pPr>
      <w:r>
        <w:rPr>
          <w:rFonts w:hint="eastAsia" w:ascii="仿宋_GB2312" w:eastAsia="仿宋_GB2312"/>
          <w:b w:val="0"/>
          <w:sz w:val="32"/>
          <w:szCs w:val="32"/>
          <w:lang w:val="en-US" w:eastAsia="zh-CN"/>
        </w:rPr>
        <w:t>6.</w:t>
      </w:r>
      <w:r>
        <w:rPr>
          <w:rFonts w:ascii="仿宋_GB2312" w:eastAsia="仿宋_GB2312"/>
          <w:b w:val="0"/>
          <w:sz w:val="32"/>
          <w:szCs w:val="32"/>
        </w:rPr>
        <w:t>卫生健康支出（类）49.42万元，占1.51%。</w:t>
      </w:r>
    </w:p>
    <w:p>
      <w:pPr>
        <w:keepNext w:val="0"/>
        <w:keepLines w:val="0"/>
        <w:pageBreakBefore w:val="0"/>
        <w:widowControl w:val="0"/>
        <w:kinsoku/>
        <w:wordWrap/>
        <w:overflowPunct/>
        <w:topLinePunct w:val="0"/>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rPr>
      </w:pPr>
      <w:r>
        <w:rPr>
          <w:rFonts w:hint="eastAsia" w:ascii="仿宋_GB2312" w:eastAsia="仿宋_GB2312"/>
          <w:b w:val="0"/>
          <w:sz w:val="32"/>
          <w:szCs w:val="32"/>
          <w:lang w:val="en-US" w:eastAsia="zh-CN"/>
        </w:rPr>
        <w:t>7.</w:t>
      </w:r>
      <w:r>
        <w:rPr>
          <w:rFonts w:ascii="仿宋_GB2312" w:eastAsia="仿宋_GB2312"/>
          <w:b w:val="0"/>
          <w:sz w:val="32"/>
          <w:szCs w:val="32"/>
        </w:rPr>
        <w:t>农林水支出（类）1,869.74万元，占57.20%。</w:t>
      </w:r>
    </w:p>
    <w:p>
      <w:pPr>
        <w:keepNext w:val="0"/>
        <w:keepLines w:val="0"/>
        <w:pageBreakBefore w:val="0"/>
        <w:widowControl w:val="0"/>
        <w:kinsoku/>
        <w:wordWrap/>
        <w:overflowPunct/>
        <w:topLinePunct w:val="0"/>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rPr>
      </w:pPr>
      <w:r>
        <w:rPr>
          <w:rFonts w:hint="eastAsia" w:ascii="仿宋_GB2312" w:eastAsia="仿宋_GB2312"/>
          <w:b w:val="0"/>
          <w:sz w:val="32"/>
          <w:szCs w:val="32"/>
          <w:lang w:val="en-US" w:eastAsia="zh-CN"/>
        </w:rPr>
        <w:t>8.</w:t>
      </w:r>
      <w:r>
        <w:rPr>
          <w:rFonts w:ascii="仿宋_GB2312" w:eastAsia="仿宋_GB2312"/>
          <w:b w:val="0"/>
          <w:sz w:val="32"/>
          <w:szCs w:val="32"/>
        </w:rPr>
        <w:t>住房保障支出（类）78.25万元，占2.39%。</w:t>
      </w:r>
    </w:p>
    <w:p>
      <w:pPr>
        <w:keepNext w:val="0"/>
        <w:keepLines w:val="0"/>
        <w:pageBreakBefore w:val="0"/>
        <w:widowControl w:val="0"/>
        <w:kinsoku/>
        <w:wordWrap/>
        <w:overflowPunct/>
        <w:topLinePunct w:val="0"/>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rPr>
      </w:pPr>
      <w:r>
        <w:rPr>
          <w:rFonts w:hint="eastAsia" w:ascii="仿宋_GB2312" w:eastAsia="仿宋_GB2312"/>
          <w:b w:val="0"/>
          <w:sz w:val="32"/>
          <w:szCs w:val="32"/>
          <w:lang w:val="en-US" w:eastAsia="zh-CN"/>
        </w:rPr>
        <w:t>9.</w:t>
      </w:r>
      <w:r>
        <w:rPr>
          <w:rFonts w:ascii="仿宋_GB2312" w:eastAsia="仿宋_GB2312"/>
          <w:b w:val="0"/>
          <w:sz w:val="32"/>
          <w:szCs w:val="32"/>
        </w:rPr>
        <w:t>其他支出（类）5.00万元，占0.15%。</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2"/>
        <w:rPr>
          <w:rFonts w:hint="eastAsia" w:ascii="黑体" w:hAnsi="黑体" w:eastAsia="黑体"/>
          <w:sz w:val="32"/>
          <w:szCs w:val="32"/>
          <w:highlight w:val="none"/>
          <w:lang w:eastAsia="zh-CN"/>
        </w:rPr>
      </w:pPr>
      <w:r>
        <w:rPr>
          <w:rFonts w:hint="eastAsia" w:ascii="黑体" w:hAnsi="黑体" w:eastAsia="黑体"/>
          <w:sz w:val="32"/>
          <w:szCs w:val="32"/>
          <w:highlight w:val="none"/>
          <w:lang w:eastAsia="zh-CN"/>
        </w:rPr>
        <w:t>（三）一般公共预算财政拨款支出决算具体情况</w:t>
      </w:r>
      <w:bookmarkEnd w:id="20"/>
    </w:p>
    <w:p>
      <w:pPr>
        <w:keepNext w:val="0"/>
        <w:keepLines w:val="0"/>
        <w:pageBreakBefore w:val="0"/>
        <w:widowControl w:val="0"/>
        <w:numPr>
          <w:ilvl w:val="0"/>
          <w:numId w:val="0"/>
        </w:numPr>
        <w:kinsoku/>
        <w:wordWrap/>
        <w:overflowPunct/>
        <w:topLinePunct w:val="0"/>
        <w:bidi w:val="0"/>
        <w:adjustRightInd/>
        <w:snapToGrid/>
        <w:spacing w:before="0" w:beforeLines="0" w:beforeAutospacing="0" w:after="0" w:afterLines="0" w:afterAutospacing="0" w:line="560" w:lineRule="exact"/>
        <w:ind w:firstLine="640" w:firstLineChars="200"/>
        <w:textAlignment w:val="auto"/>
        <w:rPr>
          <w:rFonts w:hint="default" w:ascii="仿宋_GB2312" w:eastAsia="仿宋_GB2312"/>
          <w:sz w:val="32"/>
          <w:szCs w:val="32"/>
          <w:lang w:val="en-US" w:eastAsia="zh-CN"/>
        </w:rPr>
      </w:pPr>
      <w:bookmarkStart w:id="21" w:name="_Toc11146"/>
      <w:bookmarkStart w:id="22" w:name="_Toc23415"/>
      <w:r>
        <w:rPr>
          <w:rFonts w:hint="eastAsia" w:ascii="仿宋_GB2312" w:eastAsia="仿宋_GB2312"/>
          <w:b w:val="0"/>
          <w:sz w:val="32"/>
          <w:szCs w:val="32"/>
          <w:lang w:val="en-US" w:eastAsia="zh-CN"/>
        </w:rPr>
        <w:t>1.</w:t>
      </w:r>
      <w:r>
        <w:rPr>
          <w:rFonts w:ascii="仿宋_GB2312" w:eastAsia="仿宋_GB2312"/>
          <w:b w:val="0"/>
          <w:sz w:val="32"/>
          <w:szCs w:val="32"/>
        </w:rPr>
        <w:t>一般公共服务支出（类）人大事务（款）代表工作（项）：支出决算数为4.95万元，比上年决算增加2.59万元，增长109.75%，主要原因是：</w:t>
      </w:r>
      <w:r>
        <w:rPr>
          <w:rFonts w:hint="eastAsia" w:ascii="仿宋_GB2312" w:eastAsia="仿宋_GB2312"/>
          <w:b w:val="0"/>
          <w:sz w:val="32"/>
          <w:szCs w:val="32"/>
          <w:lang w:val="en-US" w:eastAsia="zh-CN"/>
        </w:rPr>
        <w:t>2024年西尼尔镇人大对村、社区人大代表联络站进行升级改造，支出相应增加。</w:t>
      </w:r>
    </w:p>
    <w:p>
      <w:pPr>
        <w:keepNext w:val="0"/>
        <w:keepLines w:val="0"/>
        <w:pageBreakBefore w:val="0"/>
        <w:widowControl w:val="0"/>
        <w:numPr>
          <w:ilvl w:val="0"/>
          <w:numId w:val="0"/>
        </w:numPr>
        <w:kinsoku/>
        <w:wordWrap/>
        <w:overflowPunct/>
        <w:topLinePunct w:val="0"/>
        <w:bidi w:val="0"/>
        <w:adjustRightInd/>
        <w:snapToGrid/>
        <w:spacing w:before="0" w:beforeLines="0" w:beforeAutospacing="0" w:after="0" w:afterLines="0" w:afterAutospacing="0" w:line="560" w:lineRule="exact"/>
        <w:ind w:firstLine="640" w:firstLineChars="200"/>
        <w:textAlignment w:val="auto"/>
        <w:rPr>
          <w:rFonts w:hint="default" w:ascii="仿宋_GB2312" w:eastAsia="仿宋_GB2312"/>
          <w:sz w:val="32"/>
          <w:szCs w:val="32"/>
          <w:lang w:val="en-US" w:eastAsia="zh-CN"/>
        </w:rPr>
      </w:pPr>
      <w:r>
        <w:rPr>
          <w:rFonts w:hint="eastAsia" w:ascii="仿宋_GB2312" w:eastAsia="仿宋_GB2312"/>
          <w:b w:val="0"/>
          <w:sz w:val="32"/>
          <w:szCs w:val="32"/>
          <w:lang w:val="en-US" w:eastAsia="zh-CN"/>
        </w:rPr>
        <w:t>2.</w:t>
      </w:r>
      <w:r>
        <w:rPr>
          <w:rFonts w:ascii="仿宋_GB2312" w:eastAsia="仿宋_GB2312"/>
          <w:b w:val="0"/>
          <w:sz w:val="32"/>
          <w:szCs w:val="32"/>
        </w:rPr>
        <w:t>一般公共服务支出（类）人大事务（款）其他人大事务支出（项）：支出决算数为1.31万元，比上年决算增加1.31万元，增长100.00%，主要原因是：</w:t>
      </w:r>
      <w:r>
        <w:rPr>
          <w:rFonts w:hint="eastAsia" w:ascii="仿宋_GB2312" w:eastAsia="仿宋_GB2312"/>
          <w:b w:val="0"/>
          <w:sz w:val="32"/>
          <w:szCs w:val="32"/>
          <w:lang w:val="en-US" w:eastAsia="zh-CN"/>
        </w:rPr>
        <w:t>2023年我镇未安排此项预算。</w:t>
      </w:r>
    </w:p>
    <w:p>
      <w:pPr>
        <w:keepNext w:val="0"/>
        <w:keepLines w:val="0"/>
        <w:pageBreakBefore w:val="0"/>
        <w:widowControl w:val="0"/>
        <w:numPr>
          <w:ilvl w:val="0"/>
          <w:numId w:val="0"/>
        </w:numPr>
        <w:kinsoku/>
        <w:wordWrap/>
        <w:overflowPunct/>
        <w:topLinePunct w:val="0"/>
        <w:bidi w:val="0"/>
        <w:adjustRightInd/>
        <w:snapToGrid/>
        <w:spacing w:before="0" w:beforeLines="0" w:beforeAutospacing="0" w:after="0" w:afterLines="0" w:afterAutospacing="0" w:line="560" w:lineRule="exact"/>
        <w:ind w:firstLine="640" w:firstLineChars="200"/>
        <w:textAlignment w:val="auto"/>
        <w:rPr>
          <w:rFonts w:ascii="仿宋_GB2312" w:eastAsia="仿宋_GB2312"/>
          <w:sz w:val="32"/>
          <w:szCs w:val="32"/>
        </w:rPr>
      </w:pPr>
      <w:r>
        <w:rPr>
          <w:rFonts w:hint="eastAsia" w:ascii="仿宋_GB2312" w:eastAsia="仿宋_GB2312"/>
          <w:b w:val="0"/>
          <w:sz w:val="32"/>
          <w:szCs w:val="32"/>
          <w:lang w:val="en-US" w:eastAsia="zh-CN"/>
        </w:rPr>
        <w:t>3.</w:t>
      </w:r>
      <w:r>
        <w:rPr>
          <w:rFonts w:ascii="仿宋_GB2312" w:eastAsia="仿宋_GB2312"/>
          <w:b w:val="0"/>
          <w:sz w:val="32"/>
          <w:szCs w:val="32"/>
        </w:rPr>
        <w:t>一般公共服务支出（类）政府办公厅（室）及相关机构事务（款）行政运行（项）：支出决算数为1,039.76万元，比上年决算增加11.38万元，增长1.11%，主要原因是：</w:t>
      </w:r>
      <w:r>
        <w:rPr>
          <w:rFonts w:hint="eastAsia" w:eastAsia="仿宋_GB2312" w:cs="Times New Roman"/>
          <w:color w:val="auto"/>
          <w:kern w:val="2"/>
          <w:sz w:val="32"/>
          <w:szCs w:val="32"/>
          <w:highlight w:val="none"/>
          <w:lang w:val="en-US" w:eastAsia="zh-CN" w:bidi="ar-SA"/>
        </w:rPr>
        <w:t>2024年度人员经费增加</w:t>
      </w:r>
      <w:r>
        <w:rPr>
          <w:rFonts w:hint="eastAsia"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_GB2312" w:eastAsia="仿宋_GB2312"/>
          <w:sz w:val="32"/>
          <w:szCs w:val="32"/>
        </w:rPr>
      </w:pPr>
      <w:r>
        <w:rPr>
          <w:rFonts w:hint="eastAsia" w:ascii="仿宋_GB2312" w:eastAsia="仿宋_GB2312"/>
          <w:b w:val="0"/>
          <w:sz w:val="32"/>
          <w:szCs w:val="32"/>
          <w:lang w:val="en-US" w:eastAsia="zh-CN"/>
        </w:rPr>
        <w:t>4.</w:t>
      </w:r>
      <w:r>
        <w:rPr>
          <w:rFonts w:ascii="仿宋_GB2312" w:eastAsia="仿宋_GB2312"/>
          <w:b w:val="0"/>
          <w:sz w:val="32"/>
          <w:szCs w:val="32"/>
        </w:rPr>
        <w:t>一般公共服务支出（类）政府办公厅（室）及相关机构事务（款）其他政府办公厅（室）及相关机构事务支出（项）：支出决算数为7.75万元，比上年决算减少3.48万元，下降30.99%，主要原因是：</w:t>
      </w:r>
      <w:r>
        <w:rPr>
          <w:rFonts w:hint="eastAsia" w:eastAsia="仿宋_GB2312" w:cs="Times New Roman"/>
          <w:color w:val="auto"/>
          <w:kern w:val="2"/>
          <w:sz w:val="32"/>
          <w:szCs w:val="32"/>
          <w:highlight w:val="none"/>
          <w:lang w:val="en-US" w:eastAsia="zh-CN" w:bidi="ar-SA"/>
        </w:rPr>
        <w:t>2024年度部分科目调整，该科目支出减少</w:t>
      </w:r>
      <w:r>
        <w:rPr>
          <w:rFonts w:hint="eastAsia" w:eastAsia="仿宋_GB2312" w:cs="Times New Roman"/>
          <w:color w:val="auto"/>
          <w:kern w:val="2"/>
          <w:sz w:val="32"/>
          <w:szCs w:val="32"/>
          <w:highlight w:val="none"/>
          <w:lang w:val="zh-CN" w:eastAsia="zh-CN" w:bidi="ar-SA"/>
        </w:rPr>
        <w:t>。</w:t>
      </w:r>
    </w:p>
    <w:p>
      <w:pPr>
        <w:keepNext w:val="0"/>
        <w:keepLines w:val="0"/>
        <w:pageBreakBefore w:val="0"/>
        <w:widowControl w:val="0"/>
        <w:numPr>
          <w:ilvl w:val="0"/>
          <w:numId w:val="0"/>
        </w:numPr>
        <w:kinsoku/>
        <w:wordWrap/>
        <w:overflowPunct/>
        <w:topLinePunct w:val="0"/>
        <w:bidi w:val="0"/>
        <w:adjustRightInd/>
        <w:snapToGrid/>
        <w:spacing w:before="0" w:beforeLines="0" w:beforeAutospacing="0" w:after="0" w:afterLines="0" w:afterAutospacing="0" w:line="560" w:lineRule="exact"/>
        <w:ind w:firstLine="640" w:firstLineChars="200"/>
        <w:textAlignment w:val="auto"/>
        <w:rPr>
          <w:rFonts w:hint="default" w:ascii="仿宋_GB2312" w:eastAsia="仿宋_GB2312"/>
          <w:sz w:val="32"/>
          <w:szCs w:val="32"/>
          <w:lang w:val="en-US" w:eastAsia="zh-CN"/>
        </w:rPr>
      </w:pPr>
      <w:r>
        <w:rPr>
          <w:rFonts w:hint="eastAsia" w:ascii="仿宋_GB2312" w:eastAsia="仿宋_GB2312"/>
          <w:b w:val="0"/>
          <w:sz w:val="32"/>
          <w:szCs w:val="32"/>
          <w:lang w:val="en-US" w:eastAsia="zh-CN"/>
        </w:rPr>
        <w:t>5.</w:t>
      </w:r>
      <w:r>
        <w:rPr>
          <w:rFonts w:ascii="仿宋_GB2312" w:eastAsia="仿宋_GB2312"/>
          <w:b w:val="0"/>
          <w:sz w:val="32"/>
          <w:szCs w:val="32"/>
        </w:rPr>
        <w:t>一般公共服务支出（类）纪检监察事务（款）其他纪检监察事务支出（项）：支出决算数为3.00万元，比上年决算增加0.85万元，增长39.53%，主要原因是：</w:t>
      </w:r>
      <w:r>
        <w:rPr>
          <w:rFonts w:hint="eastAsia" w:ascii="仿宋_GB2312" w:eastAsia="仿宋_GB2312"/>
          <w:b w:val="0"/>
          <w:sz w:val="32"/>
          <w:szCs w:val="32"/>
          <w:lang w:val="en-US" w:eastAsia="zh-CN"/>
        </w:rPr>
        <w:t>2023年西尼尔镇纪委0.85万元纪检装备费未支付，2024年申请支付。</w:t>
      </w:r>
    </w:p>
    <w:p>
      <w:pPr>
        <w:keepNext w:val="0"/>
        <w:keepLines w:val="0"/>
        <w:pageBreakBefore w:val="0"/>
        <w:widowControl w:val="0"/>
        <w:numPr>
          <w:ilvl w:val="0"/>
          <w:numId w:val="0"/>
        </w:numPr>
        <w:kinsoku/>
        <w:wordWrap/>
        <w:overflowPunct/>
        <w:topLinePunct w:val="0"/>
        <w:bidi w:val="0"/>
        <w:adjustRightInd/>
        <w:snapToGrid/>
        <w:spacing w:before="0" w:beforeLines="0" w:beforeAutospacing="0" w:after="0" w:afterLines="0" w:afterAutospacing="0" w:line="560" w:lineRule="exact"/>
        <w:ind w:firstLine="640" w:firstLineChars="200"/>
        <w:textAlignment w:val="auto"/>
        <w:rPr>
          <w:rFonts w:hint="default" w:ascii="仿宋_GB2312" w:eastAsia="仿宋_GB2312"/>
          <w:sz w:val="32"/>
          <w:szCs w:val="32"/>
          <w:lang w:val="en-US" w:eastAsia="zh-CN"/>
        </w:rPr>
      </w:pPr>
      <w:r>
        <w:rPr>
          <w:rFonts w:hint="eastAsia" w:ascii="仿宋_GB2312" w:eastAsia="仿宋_GB2312"/>
          <w:b w:val="0"/>
          <w:sz w:val="32"/>
          <w:szCs w:val="32"/>
          <w:lang w:val="en-US" w:eastAsia="zh-CN"/>
        </w:rPr>
        <w:t>6.</w:t>
      </w:r>
      <w:r>
        <w:rPr>
          <w:rFonts w:ascii="仿宋_GB2312" w:eastAsia="仿宋_GB2312"/>
          <w:b w:val="0"/>
          <w:sz w:val="32"/>
          <w:szCs w:val="32"/>
        </w:rPr>
        <w:t>一般公共服务支出（类）组织事务（款）其他组织事务支出（项）：支出决算数为58.71万元，比上年决算增加46.52万元，增长381.62%，主要原因是：</w:t>
      </w:r>
      <w:r>
        <w:rPr>
          <w:rFonts w:hint="eastAsia" w:ascii="仿宋_GB2312" w:eastAsia="仿宋_GB2312"/>
          <w:b w:val="0"/>
          <w:sz w:val="32"/>
          <w:szCs w:val="32"/>
          <w:lang w:val="en-US" w:eastAsia="zh-CN"/>
        </w:rPr>
        <w:t>2024年工作队生活补助由此款项列支，支出相应增加。</w:t>
      </w:r>
    </w:p>
    <w:p>
      <w:pPr>
        <w:keepNext w:val="0"/>
        <w:keepLines w:val="0"/>
        <w:pageBreakBefore w:val="0"/>
        <w:widowControl w:val="0"/>
        <w:numPr>
          <w:ilvl w:val="0"/>
          <w:numId w:val="0"/>
        </w:numPr>
        <w:kinsoku/>
        <w:wordWrap/>
        <w:overflowPunct/>
        <w:topLinePunct w:val="0"/>
        <w:bidi w:val="0"/>
        <w:adjustRightInd/>
        <w:snapToGrid/>
        <w:spacing w:before="0" w:beforeLines="0" w:beforeAutospacing="0" w:after="0" w:afterLines="0" w:afterAutospacing="0" w:line="560" w:lineRule="exact"/>
        <w:ind w:firstLine="640" w:firstLineChars="200"/>
        <w:textAlignment w:val="auto"/>
        <w:rPr>
          <w:rFonts w:hint="default" w:ascii="仿宋_GB2312" w:eastAsia="仿宋_GB2312"/>
          <w:sz w:val="32"/>
          <w:szCs w:val="32"/>
          <w:lang w:val="en-US" w:eastAsia="zh-CN"/>
        </w:rPr>
      </w:pPr>
      <w:r>
        <w:rPr>
          <w:rFonts w:hint="eastAsia" w:ascii="仿宋_GB2312" w:eastAsia="仿宋_GB2312"/>
          <w:b w:val="0"/>
          <w:sz w:val="32"/>
          <w:szCs w:val="32"/>
          <w:lang w:val="en-US" w:eastAsia="zh-CN"/>
        </w:rPr>
        <w:t>7.</w:t>
      </w:r>
      <w:r>
        <w:rPr>
          <w:rFonts w:ascii="仿宋_GB2312" w:eastAsia="仿宋_GB2312"/>
          <w:b w:val="0"/>
          <w:sz w:val="32"/>
          <w:szCs w:val="32"/>
        </w:rPr>
        <w:t>一般公共服务支出（类）统战事务（款）宗教事务（项）：支出决算数为0.00万元，比上年决算减少1.00万元，下降100.00%，主要原因是：</w:t>
      </w:r>
      <w:r>
        <w:rPr>
          <w:rFonts w:hint="eastAsia" w:ascii="仿宋_GB2312" w:eastAsia="仿宋_GB2312"/>
          <w:b w:val="0"/>
          <w:sz w:val="32"/>
          <w:szCs w:val="32"/>
          <w:lang w:val="en-US" w:eastAsia="zh-CN"/>
        </w:rPr>
        <w:t>2024我镇工作队已优化，上级未安排此预算。</w:t>
      </w:r>
    </w:p>
    <w:p>
      <w:pPr>
        <w:keepNext w:val="0"/>
        <w:keepLines w:val="0"/>
        <w:pageBreakBefore w:val="0"/>
        <w:widowControl w:val="0"/>
        <w:numPr>
          <w:ilvl w:val="0"/>
          <w:numId w:val="0"/>
        </w:numPr>
        <w:kinsoku/>
        <w:wordWrap/>
        <w:overflowPunct/>
        <w:topLinePunct w:val="0"/>
        <w:bidi w:val="0"/>
        <w:adjustRightInd/>
        <w:snapToGrid/>
        <w:spacing w:before="0" w:beforeLines="0" w:beforeAutospacing="0" w:after="0" w:afterLines="0" w:afterAutospacing="0" w:line="560" w:lineRule="exact"/>
        <w:ind w:firstLine="640" w:firstLineChars="200"/>
        <w:textAlignment w:val="auto"/>
        <w:rPr>
          <w:rFonts w:hint="eastAsia" w:ascii="仿宋_GB2312" w:eastAsia="仿宋_GB2312"/>
          <w:sz w:val="32"/>
          <w:szCs w:val="32"/>
          <w:lang w:val="en-US" w:eastAsia="zh-CN"/>
        </w:rPr>
      </w:pPr>
      <w:r>
        <w:rPr>
          <w:rFonts w:hint="eastAsia" w:ascii="仿宋_GB2312" w:eastAsia="仿宋_GB2312"/>
          <w:b w:val="0"/>
          <w:sz w:val="32"/>
          <w:szCs w:val="32"/>
          <w:lang w:val="en-US" w:eastAsia="zh-CN"/>
        </w:rPr>
        <w:t>8.</w:t>
      </w:r>
      <w:r>
        <w:rPr>
          <w:rFonts w:ascii="仿宋_GB2312" w:eastAsia="仿宋_GB2312"/>
          <w:b w:val="0"/>
          <w:sz w:val="32"/>
          <w:szCs w:val="32"/>
        </w:rPr>
        <w:t>一般公共服务支出（类）统战事务（款）其他统战事务支出（项）：支出决算数为0.00万元，比上年决算减少2.60万元，下降100.00%，主要原因是：</w:t>
      </w:r>
      <w:r>
        <w:rPr>
          <w:rFonts w:hint="eastAsia" w:ascii="仿宋_GB2312" w:eastAsia="仿宋_GB2312"/>
          <w:b w:val="0"/>
          <w:sz w:val="32"/>
          <w:szCs w:val="32"/>
          <w:lang w:val="en-US" w:eastAsia="zh-CN"/>
        </w:rPr>
        <w:t>2024我镇工作队已优化，上级未安排此预算。</w:t>
      </w:r>
    </w:p>
    <w:p>
      <w:pPr>
        <w:keepNext w:val="0"/>
        <w:keepLines w:val="0"/>
        <w:pageBreakBefore w:val="0"/>
        <w:widowControl w:val="0"/>
        <w:numPr>
          <w:ilvl w:val="0"/>
          <w:numId w:val="0"/>
        </w:numPr>
        <w:kinsoku/>
        <w:wordWrap/>
        <w:overflowPunct/>
        <w:topLinePunct w:val="0"/>
        <w:bidi w:val="0"/>
        <w:adjustRightInd/>
        <w:snapToGrid/>
        <w:spacing w:before="0" w:beforeLines="0" w:beforeAutospacing="0" w:after="0" w:afterLines="0" w:afterAutospacing="0" w:line="560" w:lineRule="exact"/>
        <w:ind w:firstLine="640" w:firstLineChars="200"/>
        <w:textAlignment w:val="auto"/>
        <w:rPr>
          <w:rFonts w:hint="default" w:ascii="仿宋_GB2312" w:eastAsia="仿宋_GB2312"/>
          <w:sz w:val="32"/>
          <w:szCs w:val="32"/>
          <w:lang w:val="en-US" w:eastAsia="zh-CN"/>
        </w:rPr>
      </w:pPr>
      <w:r>
        <w:rPr>
          <w:rFonts w:hint="eastAsia" w:ascii="仿宋_GB2312" w:eastAsia="仿宋_GB2312"/>
          <w:b w:val="0"/>
          <w:sz w:val="32"/>
          <w:szCs w:val="32"/>
          <w:lang w:val="en-US" w:eastAsia="zh-CN"/>
        </w:rPr>
        <w:t>9.</w:t>
      </w:r>
      <w:r>
        <w:rPr>
          <w:rFonts w:ascii="仿宋_GB2312" w:eastAsia="仿宋_GB2312"/>
          <w:b w:val="0"/>
          <w:sz w:val="32"/>
          <w:szCs w:val="32"/>
        </w:rPr>
        <w:t>教育支出（类）进修及培训（款）培训支出（项）：支出决算数为1.58万元，比上年决算减少2.45万元，下降60.79%，主要原因是：</w:t>
      </w:r>
      <w:r>
        <w:rPr>
          <w:rFonts w:hint="eastAsia" w:ascii="仿宋_GB2312" w:eastAsia="仿宋_GB2312"/>
          <w:b w:val="0"/>
          <w:sz w:val="32"/>
          <w:szCs w:val="32"/>
          <w:lang w:val="en-US" w:eastAsia="zh-CN"/>
        </w:rPr>
        <w:t>2024年我镇干部外出培训减少，支出相应减少。</w:t>
      </w:r>
    </w:p>
    <w:p>
      <w:pPr>
        <w:keepNext w:val="0"/>
        <w:keepLines w:val="0"/>
        <w:pageBreakBefore w:val="0"/>
        <w:widowControl w:val="0"/>
        <w:numPr>
          <w:ilvl w:val="0"/>
          <w:numId w:val="0"/>
        </w:numPr>
        <w:kinsoku/>
        <w:wordWrap/>
        <w:overflowPunct/>
        <w:topLinePunct w:val="0"/>
        <w:autoSpaceDE/>
        <w:autoSpaceDN/>
        <w:bidi w:val="0"/>
        <w:adjustRightInd/>
        <w:snapToGrid/>
        <w:spacing w:before="0" w:beforeLines="0" w:beforeAutospacing="0" w:after="0" w:afterLines="0" w:afterAutospacing="0" w:line="560" w:lineRule="exact"/>
        <w:ind w:firstLine="640" w:firstLineChars="200"/>
        <w:textAlignment w:val="auto"/>
        <w:rPr>
          <w:rFonts w:hint="default" w:ascii="仿宋_GB2312" w:eastAsia="仿宋_GB2312"/>
          <w:sz w:val="32"/>
          <w:szCs w:val="32"/>
          <w:lang w:val="en-US" w:eastAsia="zh-CN"/>
        </w:rPr>
      </w:pPr>
      <w:r>
        <w:rPr>
          <w:rFonts w:hint="eastAsia" w:ascii="仿宋_GB2312" w:eastAsia="仿宋_GB2312"/>
          <w:b w:val="0"/>
          <w:sz w:val="32"/>
          <w:szCs w:val="32"/>
          <w:lang w:val="en-US" w:eastAsia="zh-CN"/>
        </w:rPr>
        <w:t>10.</w:t>
      </w:r>
      <w:r>
        <w:rPr>
          <w:rFonts w:ascii="仿宋_GB2312" w:eastAsia="仿宋_GB2312"/>
          <w:b w:val="0"/>
          <w:sz w:val="32"/>
          <w:szCs w:val="32"/>
        </w:rPr>
        <w:t>科学技术支出（类）科学技术普及（款）科普活动（项）：支出决算数为2.00万元，比上年决算增加2.00万元，增长100.00%，主要原因是：</w:t>
      </w:r>
      <w:r>
        <w:rPr>
          <w:rFonts w:hint="eastAsia" w:ascii="仿宋_GB2312" w:eastAsia="仿宋_GB2312"/>
          <w:b w:val="0"/>
          <w:sz w:val="32"/>
          <w:szCs w:val="32"/>
          <w:lang w:val="en-US" w:eastAsia="zh-CN"/>
        </w:rPr>
        <w:t>2024年我镇科普馆需维修，向上级申请资金2.00万元。</w:t>
      </w:r>
    </w:p>
    <w:p>
      <w:pPr>
        <w:keepNext w:val="0"/>
        <w:keepLines w:val="0"/>
        <w:pageBreakBefore w:val="0"/>
        <w:widowControl w:val="0"/>
        <w:numPr>
          <w:ilvl w:val="0"/>
          <w:numId w:val="0"/>
        </w:numPr>
        <w:kinsoku/>
        <w:wordWrap/>
        <w:overflowPunct/>
        <w:topLinePunct w:val="0"/>
        <w:autoSpaceDE/>
        <w:autoSpaceDN/>
        <w:bidi w:val="0"/>
        <w:adjustRightInd/>
        <w:snapToGrid/>
        <w:spacing w:before="0" w:beforeLines="0" w:beforeAutospacing="0" w:after="0" w:afterLines="0" w:afterAutospacing="0" w:line="560" w:lineRule="exact"/>
        <w:ind w:firstLine="640" w:firstLineChars="200"/>
        <w:textAlignment w:val="auto"/>
        <w:rPr>
          <w:rFonts w:hint="default" w:ascii="仿宋_GB2312" w:eastAsia="仿宋_GB2312"/>
          <w:sz w:val="32"/>
          <w:szCs w:val="32"/>
          <w:lang w:val="en-US" w:eastAsia="zh-CN"/>
        </w:rPr>
      </w:pPr>
      <w:r>
        <w:rPr>
          <w:rFonts w:hint="eastAsia" w:ascii="仿宋_GB2312" w:eastAsia="仿宋_GB2312"/>
          <w:b w:val="0"/>
          <w:sz w:val="32"/>
          <w:szCs w:val="32"/>
          <w:lang w:val="en-US" w:eastAsia="zh-CN"/>
        </w:rPr>
        <w:t>11.</w:t>
      </w:r>
      <w:r>
        <w:rPr>
          <w:rFonts w:ascii="仿宋_GB2312" w:eastAsia="仿宋_GB2312"/>
          <w:b w:val="0"/>
          <w:sz w:val="32"/>
          <w:szCs w:val="32"/>
        </w:rPr>
        <w:t>文化旅游体育与传媒支出（类）文化和旅游（款）其他文化和旅游支出（项）：支出决算数为4.70万元，比上年决算增加0.70万元，增长17.50%，主要原因是：</w:t>
      </w:r>
      <w:r>
        <w:rPr>
          <w:rFonts w:hint="eastAsia" w:ascii="仿宋_GB2312" w:eastAsia="仿宋_GB2312"/>
          <w:b w:val="0"/>
          <w:sz w:val="32"/>
          <w:szCs w:val="32"/>
          <w:lang w:val="en-US" w:eastAsia="zh-CN"/>
        </w:rPr>
        <w:t>2024年我镇开展文化旅活动较多，上级拨付资金相应增加。</w:t>
      </w:r>
    </w:p>
    <w:p>
      <w:pPr>
        <w:keepNext w:val="0"/>
        <w:keepLines w:val="0"/>
        <w:pageBreakBefore w:val="0"/>
        <w:widowControl w:val="0"/>
        <w:numPr>
          <w:ilvl w:val="0"/>
          <w:numId w:val="0"/>
        </w:numPr>
        <w:kinsoku/>
        <w:wordWrap/>
        <w:overflowPunct/>
        <w:topLinePunct w:val="0"/>
        <w:bidi w:val="0"/>
        <w:adjustRightInd/>
        <w:snapToGrid/>
        <w:spacing w:before="0" w:beforeLines="0" w:beforeAutospacing="0" w:after="0" w:afterLines="0" w:afterAutospacing="0" w:line="560" w:lineRule="exact"/>
        <w:ind w:firstLine="640" w:firstLineChars="200"/>
        <w:textAlignment w:val="auto"/>
        <w:rPr>
          <w:rFonts w:ascii="仿宋_GB2312" w:eastAsia="仿宋_GB2312"/>
          <w:sz w:val="32"/>
          <w:szCs w:val="32"/>
        </w:rPr>
      </w:pPr>
      <w:r>
        <w:rPr>
          <w:rFonts w:hint="eastAsia" w:ascii="仿宋_GB2312" w:eastAsia="仿宋_GB2312"/>
          <w:b w:val="0"/>
          <w:sz w:val="32"/>
          <w:szCs w:val="32"/>
          <w:lang w:val="en-US" w:eastAsia="zh-CN"/>
        </w:rPr>
        <w:t>12.</w:t>
      </w:r>
      <w:r>
        <w:rPr>
          <w:rFonts w:ascii="仿宋_GB2312" w:eastAsia="仿宋_GB2312"/>
          <w:b w:val="0"/>
          <w:sz w:val="32"/>
          <w:szCs w:val="32"/>
        </w:rPr>
        <w:t>文化旅游体育与传媒支出（类）其他文化旅游体育与传媒支出（款）其他文化旅游体育与传媒支出（项）：支出决算数为6.80万元，比上年决算增加6.10万元，增长871.43%，主要原因是：</w:t>
      </w:r>
      <w:r>
        <w:rPr>
          <w:rFonts w:hint="eastAsia" w:ascii="仿宋_GB2312" w:eastAsia="仿宋_GB2312"/>
          <w:b w:val="0"/>
          <w:sz w:val="32"/>
          <w:szCs w:val="32"/>
          <w:lang w:val="en-US" w:eastAsia="zh-CN"/>
        </w:rPr>
        <w:t>2024年我镇开展文化旅活动较多，上级拨付资金相应增加。</w:t>
      </w:r>
    </w:p>
    <w:p>
      <w:pPr>
        <w:keepNext w:val="0"/>
        <w:keepLines w:val="0"/>
        <w:pageBreakBefore w:val="0"/>
        <w:widowControl w:val="0"/>
        <w:numPr>
          <w:ilvl w:val="0"/>
          <w:numId w:val="0"/>
        </w:numPr>
        <w:kinsoku/>
        <w:wordWrap/>
        <w:overflowPunct/>
        <w:topLinePunct w:val="0"/>
        <w:bidi w:val="0"/>
        <w:adjustRightInd/>
        <w:snapToGrid/>
        <w:spacing w:before="0" w:beforeLines="0" w:beforeAutospacing="0" w:after="0" w:afterLines="0" w:afterAutospacing="0" w:line="560" w:lineRule="exact"/>
        <w:ind w:firstLine="640" w:firstLineChars="200"/>
        <w:textAlignment w:val="auto"/>
        <w:rPr>
          <w:rFonts w:hint="default" w:ascii="仿宋_GB2312" w:eastAsia="仿宋_GB2312"/>
          <w:sz w:val="32"/>
          <w:szCs w:val="32"/>
          <w:lang w:val="en-US" w:eastAsia="zh-CN"/>
        </w:rPr>
      </w:pPr>
      <w:r>
        <w:rPr>
          <w:rFonts w:hint="eastAsia" w:ascii="仿宋_GB2312" w:eastAsia="仿宋_GB2312"/>
          <w:b w:val="0"/>
          <w:sz w:val="32"/>
          <w:szCs w:val="32"/>
          <w:lang w:val="en-US" w:eastAsia="zh-CN"/>
        </w:rPr>
        <w:t>13.</w:t>
      </w:r>
      <w:r>
        <w:rPr>
          <w:rFonts w:ascii="仿宋_GB2312" w:eastAsia="仿宋_GB2312"/>
          <w:b w:val="0"/>
          <w:sz w:val="32"/>
          <w:szCs w:val="32"/>
        </w:rPr>
        <w:t>社会保障和就业支出（类）行政事业单位养老支出（款）行政单位离退休（项）：支出决算数为8.72万元，比上年决算增加2.56万元，增长41.56%，主要原因是：</w:t>
      </w:r>
      <w:r>
        <w:rPr>
          <w:rFonts w:hint="eastAsia" w:ascii="仿宋_GB2312" w:eastAsia="仿宋_GB2312"/>
          <w:b w:val="0"/>
          <w:sz w:val="32"/>
          <w:szCs w:val="32"/>
          <w:lang w:val="en-US" w:eastAsia="zh-CN"/>
        </w:rPr>
        <w:t>2024年我镇退休干部增加4人，支出相应增加。</w:t>
      </w:r>
    </w:p>
    <w:p>
      <w:pPr>
        <w:keepNext w:val="0"/>
        <w:keepLines w:val="0"/>
        <w:pageBreakBefore w:val="0"/>
        <w:widowControl w:val="0"/>
        <w:numPr>
          <w:ilvl w:val="0"/>
          <w:numId w:val="0"/>
        </w:numPr>
        <w:kinsoku/>
        <w:wordWrap/>
        <w:overflowPunct/>
        <w:topLinePunct w:val="0"/>
        <w:bidi w:val="0"/>
        <w:adjustRightInd/>
        <w:snapToGrid/>
        <w:spacing w:before="0" w:beforeLines="0" w:beforeAutospacing="0" w:after="0" w:afterLines="0" w:afterAutospacing="0" w:line="560" w:lineRule="exact"/>
        <w:ind w:firstLine="640" w:firstLineChars="200"/>
        <w:textAlignment w:val="auto"/>
        <w:rPr>
          <w:rFonts w:hint="default" w:ascii="仿宋_GB2312" w:eastAsia="仿宋_GB2312"/>
          <w:sz w:val="32"/>
          <w:szCs w:val="32"/>
          <w:lang w:val="en-US" w:eastAsia="zh-CN"/>
        </w:rPr>
      </w:pPr>
      <w:r>
        <w:rPr>
          <w:rFonts w:hint="eastAsia" w:ascii="仿宋_GB2312" w:eastAsia="仿宋_GB2312"/>
          <w:b w:val="0"/>
          <w:sz w:val="32"/>
          <w:szCs w:val="32"/>
          <w:lang w:val="en-US" w:eastAsia="zh-CN"/>
        </w:rPr>
        <w:t>14.</w:t>
      </w:r>
      <w:r>
        <w:rPr>
          <w:rFonts w:ascii="仿宋_GB2312" w:eastAsia="仿宋_GB2312"/>
          <w:b w:val="0"/>
          <w:sz w:val="32"/>
          <w:szCs w:val="32"/>
        </w:rPr>
        <w:t>社会保障和就业支出（类）行政事业单位养老支出（款）机关事业单位基本养老保险缴费支出（项）：支出决算数为94.85万元，比上年决算增加17.51万元，增长22.64%，主要原因是：</w:t>
      </w:r>
      <w:r>
        <w:rPr>
          <w:rFonts w:hint="eastAsia" w:ascii="仿宋_GB2312" w:eastAsia="仿宋_GB2312"/>
          <w:b w:val="0"/>
          <w:sz w:val="32"/>
          <w:szCs w:val="32"/>
          <w:lang w:val="en-US" w:eastAsia="zh-CN"/>
        </w:rPr>
        <w:t>2024年</w:t>
      </w:r>
      <w:r>
        <w:rPr>
          <w:rFonts w:ascii="仿宋_GB2312" w:eastAsia="仿宋_GB2312"/>
          <w:b w:val="0"/>
          <w:sz w:val="32"/>
          <w:szCs w:val="32"/>
        </w:rPr>
        <w:t>机关事业单位基本养老保险缴费</w:t>
      </w:r>
      <w:r>
        <w:rPr>
          <w:rFonts w:hint="eastAsia" w:ascii="仿宋_GB2312" w:eastAsia="仿宋_GB2312"/>
          <w:b w:val="0"/>
          <w:sz w:val="32"/>
          <w:szCs w:val="32"/>
          <w:lang w:val="en-US" w:eastAsia="zh-CN"/>
        </w:rPr>
        <w:t>基数调整，支出相应增加。</w:t>
      </w:r>
    </w:p>
    <w:p>
      <w:pPr>
        <w:keepNext w:val="0"/>
        <w:keepLines w:val="0"/>
        <w:pageBreakBefore w:val="0"/>
        <w:widowControl w:val="0"/>
        <w:numPr>
          <w:ilvl w:val="0"/>
          <w:numId w:val="0"/>
        </w:numPr>
        <w:kinsoku/>
        <w:wordWrap/>
        <w:overflowPunct/>
        <w:topLinePunct w:val="0"/>
        <w:bidi w:val="0"/>
        <w:adjustRightInd/>
        <w:snapToGrid/>
        <w:spacing w:before="0" w:beforeLines="0" w:beforeAutospacing="0" w:after="0" w:afterLines="0" w:afterAutospacing="0" w:line="560" w:lineRule="exact"/>
        <w:ind w:firstLine="640" w:firstLineChars="200"/>
        <w:textAlignment w:val="auto"/>
        <w:rPr>
          <w:rFonts w:ascii="仿宋_GB2312" w:eastAsia="仿宋_GB2312"/>
          <w:sz w:val="32"/>
          <w:szCs w:val="32"/>
        </w:rPr>
      </w:pPr>
      <w:r>
        <w:rPr>
          <w:rFonts w:hint="eastAsia" w:ascii="仿宋_GB2312" w:eastAsia="仿宋_GB2312"/>
          <w:b w:val="0"/>
          <w:sz w:val="32"/>
          <w:szCs w:val="32"/>
          <w:lang w:val="en-US" w:eastAsia="zh-CN"/>
        </w:rPr>
        <w:t>15.</w:t>
      </w:r>
      <w:r>
        <w:rPr>
          <w:rFonts w:ascii="仿宋_GB2312" w:eastAsia="仿宋_GB2312"/>
          <w:b w:val="0"/>
          <w:sz w:val="32"/>
          <w:szCs w:val="32"/>
        </w:rPr>
        <w:t>社会保障和就业支出（类）行政事业单位养老支出（款）机关事业单位职业年金缴费支出（项）：支出决算数为30.92万元，比上年决算增加14.60万元，增长89.46%，主要原因是：</w:t>
      </w:r>
      <w:r>
        <w:rPr>
          <w:rFonts w:hint="eastAsia" w:eastAsia="仿宋_GB2312" w:cs="Times New Roman"/>
          <w:color w:val="auto"/>
          <w:kern w:val="2"/>
          <w:sz w:val="32"/>
          <w:szCs w:val="32"/>
          <w:highlight w:val="none"/>
          <w:lang w:val="en-US" w:eastAsia="zh-CN" w:bidi="ar-SA"/>
        </w:rPr>
        <w:t>2024年我镇新增4名退休干部，我镇为其缴纳职业年金，此款项支出相应增加</w:t>
      </w:r>
      <w:r>
        <w:rPr>
          <w:rFonts w:hint="eastAsia" w:eastAsia="仿宋_GB2312" w:cs="Times New Roman"/>
          <w:color w:val="auto"/>
          <w:kern w:val="2"/>
          <w:sz w:val="32"/>
          <w:szCs w:val="32"/>
          <w:highlight w:val="none"/>
          <w:lang w:val="zh-CN" w:eastAsia="zh-CN" w:bidi="ar-SA"/>
        </w:rPr>
        <w:t>。</w:t>
      </w:r>
    </w:p>
    <w:p>
      <w:pPr>
        <w:keepNext w:val="0"/>
        <w:keepLines w:val="0"/>
        <w:pageBreakBefore w:val="0"/>
        <w:widowControl w:val="0"/>
        <w:numPr>
          <w:ilvl w:val="0"/>
          <w:numId w:val="0"/>
        </w:numPr>
        <w:kinsoku/>
        <w:wordWrap/>
        <w:overflowPunct/>
        <w:topLinePunct w:val="0"/>
        <w:bidi w:val="0"/>
        <w:adjustRightInd/>
        <w:snapToGrid/>
        <w:spacing w:before="0" w:beforeLines="0" w:beforeAutospacing="0" w:after="0" w:afterLines="0" w:afterAutospacing="0" w:line="560" w:lineRule="exact"/>
        <w:ind w:firstLine="640" w:firstLineChars="200"/>
        <w:textAlignment w:val="auto"/>
        <w:rPr>
          <w:rFonts w:hint="default" w:ascii="仿宋_GB2312" w:eastAsia="仿宋_GB2312"/>
          <w:sz w:val="32"/>
          <w:szCs w:val="32"/>
          <w:lang w:val="en-US"/>
        </w:rPr>
      </w:pPr>
      <w:r>
        <w:rPr>
          <w:rFonts w:hint="eastAsia" w:ascii="仿宋_GB2312" w:eastAsia="仿宋_GB2312"/>
          <w:b w:val="0"/>
          <w:sz w:val="32"/>
          <w:szCs w:val="32"/>
          <w:lang w:val="en-US" w:eastAsia="zh-CN"/>
        </w:rPr>
        <w:t>16.</w:t>
      </w:r>
      <w:r>
        <w:rPr>
          <w:rFonts w:ascii="仿宋_GB2312" w:eastAsia="仿宋_GB2312"/>
          <w:b w:val="0"/>
          <w:sz w:val="32"/>
          <w:szCs w:val="32"/>
        </w:rPr>
        <w:t>社会保障和就业支出（类）就业补助（款）公益性岗位补贴（项）：支出决算数为0.00万元，比上年决算减少58.62万元，下降100.00%，主要原因是：</w:t>
      </w:r>
      <w:r>
        <w:rPr>
          <w:rFonts w:hint="eastAsia" w:eastAsia="仿宋_GB2312" w:cs="Times New Roman"/>
          <w:color w:val="auto"/>
          <w:kern w:val="2"/>
          <w:sz w:val="32"/>
          <w:szCs w:val="32"/>
          <w:highlight w:val="none"/>
          <w:lang w:val="en-US" w:eastAsia="zh-CN" w:bidi="ar-SA"/>
        </w:rPr>
        <w:t>2024年我镇对公益性岗位人员进行优化，2024年无此项支出。</w:t>
      </w:r>
    </w:p>
    <w:p>
      <w:pPr>
        <w:keepNext w:val="0"/>
        <w:keepLines w:val="0"/>
        <w:pageBreakBefore w:val="0"/>
        <w:widowControl w:val="0"/>
        <w:numPr>
          <w:ilvl w:val="0"/>
          <w:numId w:val="0"/>
        </w:numPr>
        <w:kinsoku/>
        <w:wordWrap/>
        <w:overflowPunct/>
        <w:topLinePunct w:val="0"/>
        <w:bidi w:val="0"/>
        <w:adjustRightInd/>
        <w:snapToGrid/>
        <w:spacing w:before="0" w:beforeLines="0" w:beforeAutospacing="0" w:after="0" w:afterLines="0" w:afterAutospacing="0" w:line="560" w:lineRule="exact"/>
        <w:ind w:firstLine="640" w:firstLineChars="200"/>
        <w:textAlignment w:val="auto"/>
        <w:rPr>
          <w:rFonts w:ascii="仿宋_GB2312" w:eastAsia="仿宋_GB2312"/>
          <w:sz w:val="32"/>
          <w:szCs w:val="32"/>
        </w:rPr>
      </w:pPr>
      <w:r>
        <w:rPr>
          <w:rFonts w:hint="eastAsia" w:ascii="仿宋_GB2312" w:eastAsia="仿宋_GB2312"/>
          <w:b w:val="0"/>
          <w:sz w:val="32"/>
          <w:szCs w:val="32"/>
          <w:lang w:val="en-US" w:eastAsia="zh-CN"/>
        </w:rPr>
        <w:t>17.</w:t>
      </w:r>
      <w:r>
        <w:rPr>
          <w:rFonts w:ascii="仿宋_GB2312" w:eastAsia="仿宋_GB2312"/>
          <w:b w:val="0"/>
          <w:sz w:val="32"/>
          <w:szCs w:val="32"/>
        </w:rPr>
        <w:t>社会保障和就业支出（类）抚恤（款）死亡抚恤（项）：支出决算数为0.00万元，比上年决算减少8.29万元，下降100.00%，主要原因是：</w:t>
      </w:r>
      <w:r>
        <w:rPr>
          <w:rFonts w:hint="eastAsia" w:eastAsia="仿宋_GB2312" w:cs="Times New Roman"/>
          <w:color w:val="auto"/>
          <w:kern w:val="2"/>
          <w:sz w:val="32"/>
          <w:szCs w:val="32"/>
          <w:highlight w:val="none"/>
          <w:lang w:val="en-US" w:eastAsia="zh-CN" w:bidi="ar-SA"/>
        </w:rPr>
        <w:t>2024年无此项支出。</w:t>
      </w:r>
    </w:p>
    <w:p>
      <w:pPr>
        <w:keepNext w:val="0"/>
        <w:keepLines w:val="0"/>
        <w:pageBreakBefore w:val="0"/>
        <w:widowControl w:val="0"/>
        <w:numPr>
          <w:ilvl w:val="0"/>
          <w:numId w:val="0"/>
        </w:numPr>
        <w:kinsoku/>
        <w:wordWrap/>
        <w:overflowPunct/>
        <w:topLinePunct w:val="0"/>
        <w:bidi w:val="0"/>
        <w:adjustRightInd/>
        <w:snapToGrid/>
        <w:spacing w:before="0" w:beforeLines="0" w:beforeAutospacing="0" w:after="0" w:afterLines="0" w:afterAutospacing="0" w:line="560" w:lineRule="exact"/>
        <w:ind w:firstLine="640" w:firstLineChars="200"/>
        <w:textAlignment w:val="auto"/>
        <w:rPr>
          <w:rFonts w:hint="eastAsia" w:ascii="仿宋_GB2312" w:eastAsia="仿宋_GB2312"/>
          <w:b w:val="0"/>
          <w:sz w:val="32"/>
          <w:szCs w:val="32"/>
          <w:lang w:val="en-US" w:eastAsia="zh-CN"/>
        </w:rPr>
      </w:pPr>
      <w:r>
        <w:rPr>
          <w:rFonts w:hint="eastAsia" w:ascii="仿宋_GB2312" w:eastAsia="仿宋_GB2312"/>
          <w:b w:val="0"/>
          <w:sz w:val="32"/>
          <w:szCs w:val="32"/>
          <w:lang w:val="en-US" w:eastAsia="zh-CN"/>
        </w:rPr>
        <w:t>18.</w:t>
      </w:r>
      <w:r>
        <w:rPr>
          <w:rFonts w:ascii="仿宋_GB2312" w:eastAsia="仿宋_GB2312"/>
          <w:b w:val="0"/>
          <w:sz w:val="32"/>
          <w:szCs w:val="32"/>
        </w:rPr>
        <w:t>社会保障和就业支出（类）其他生活救助（款）其他农村生活救助（项）：支出决算数为1.08万元，比上年决算增加1.08万元，增长100.00%，主要原因是：</w:t>
      </w:r>
      <w:r>
        <w:rPr>
          <w:rFonts w:hint="eastAsia" w:ascii="仿宋_GB2312" w:eastAsia="仿宋_GB2312"/>
          <w:b w:val="0"/>
          <w:sz w:val="32"/>
          <w:szCs w:val="32"/>
          <w:lang w:val="en-US" w:eastAsia="zh-CN"/>
        </w:rPr>
        <w:t>2024年市民政局安排临时救助资金，2023年无此项支出。</w:t>
      </w:r>
    </w:p>
    <w:p>
      <w:pPr>
        <w:keepNext w:val="0"/>
        <w:keepLines w:val="0"/>
        <w:pageBreakBefore w:val="0"/>
        <w:widowControl w:val="0"/>
        <w:numPr>
          <w:ilvl w:val="0"/>
          <w:numId w:val="0"/>
        </w:numPr>
        <w:kinsoku/>
        <w:wordWrap/>
        <w:overflowPunct/>
        <w:topLinePunct w:val="0"/>
        <w:bidi w:val="0"/>
        <w:adjustRightInd/>
        <w:snapToGrid/>
        <w:spacing w:before="0" w:beforeLines="0" w:beforeAutospacing="0" w:after="0" w:afterLines="0" w:afterAutospacing="0" w:line="560" w:lineRule="exact"/>
        <w:ind w:firstLine="640" w:firstLineChars="200"/>
        <w:textAlignment w:val="auto"/>
        <w:rPr>
          <w:rFonts w:ascii="仿宋_GB2312" w:eastAsia="仿宋_GB2312"/>
          <w:sz w:val="32"/>
          <w:szCs w:val="32"/>
        </w:rPr>
      </w:pPr>
      <w:r>
        <w:rPr>
          <w:rFonts w:hint="eastAsia" w:ascii="仿宋_GB2312" w:eastAsia="仿宋_GB2312"/>
          <w:b w:val="0"/>
          <w:sz w:val="32"/>
          <w:szCs w:val="32"/>
          <w:lang w:val="en-US" w:eastAsia="zh-CN"/>
        </w:rPr>
        <w:t>19.</w:t>
      </w:r>
      <w:r>
        <w:rPr>
          <w:rFonts w:ascii="仿宋_GB2312" w:eastAsia="仿宋_GB2312"/>
          <w:b w:val="0"/>
          <w:sz w:val="32"/>
          <w:szCs w:val="32"/>
        </w:rPr>
        <w:t>卫生健康支出（类）公共卫生（款）突发公共卫生事件应急处置（项）：支出决算数为0.00万元，比上年决算减少10.00万元，下降100.00%，主要原因是：</w:t>
      </w:r>
      <w:r>
        <w:rPr>
          <w:rFonts w:hint="eastAsia" w:eastAsia="仿宋_GB2312" w:cs="Times New Roman"/>
          <w:color w:val="auto"/>
          <w:kern w:val="2"/>
          <w:sz w:val="32"/>
          <w:szCs w:val="32"/>
          <w:highlight w:val="none"/>
          <w:lang w:val="en-US" w:eastAsia="zh-CN" w:bidi="ar-SA"/>
        </w:rPr>
        <w:t>2024年无此项支出。</w:t>
      </w:r>
    </w:p>
    <w:p>
      <w:pPr>
        <w:keepNext w:val="0"/>
        <w:keepLines w:val="0"/>
        <w:pageBreakBefore w:val="0"/>
        <w:widowControl w:val="0"/>
        <w:numPr>
          <w:ilvl w:val="0"/>
          <w:numId w:val="0"/>
        </w:numPr>
        <w:kinsoku/>
        <w:wordWrap/>
        <w:overflowPunct/>
        <w:topLinePunct w:val="0"/>
        <w:bidi w:val="0"/>
        <w:adjustRightInd/>
        <w:snapToGrid/>
        <w:spacing w:before="0" w:beforeLines="0" w:beforeAutospacing="0" w:after="0" w:afterLines="0" w:afterAutospacing="0" w:line="560" w:lineRule="exact"/>
        <w:ind w:firstLine="640" w:firstLineChars="200"/>
        <w:textAlignment w:val="auto"/>
        <w:rPr>
          <w:rFonts w:ascii="仿宋_GB2312" w:eastAsia="仿宋_GB2312"/>
          <w:sz w:val="32"/>
          <w:szCs w:val="32"/>
        </w:rPr>
      </w:pPr>
      <w:r>
        <w:rPr>
          <w:rFonts w:hint="eastAsia" w:ascii="仿宋_GB2312" w:eastAsia="仿宋_GB2312"/>
          <w:b w:val="0"/>
          <w:sz w:val="32"/>
          <w:szCs w:val="32"/>
          <w:lang w:val="en-US" w:eastAsia="zh-CN"/>
        </w:rPr>
        <w:t>20.</w:t>
      </w:r>
      <w:r>
        <w:rPr>
          <w:rFonts w:ascii="仿宋_GB2312" w:eastAsia="仿宋_GB2312"/>
          <w:b w:val="0"/>
          <w:sz w:val="32"/>
          <w:szCs w:val="32"/>
        </w:rPr>
        <w:t>卫生健康支出（类）行政事业单位医疗（款）行政单位医疗（项）：支出决算数为43.81万元，比上年决算增加3.25万元，增长8.01%，主要原因是：</w:t>
      </w:r>
      <w:r>
        <w:rPr>
          <w:rFonts w:hint="eastAsia" w:ascii="仿宋_GB2312" w:eastAsia="仿宋_GB2312"/>
          <w:b w:val="0"/>
          <w:sz w:val="32"/>
          <w:szCs w:val="32"/>
          <w:lang w:val="en-US" w:eastAsia="zh-CN"/>
        </w:rPr>
        <w:t>2024年</w:t>
      </w:r>
      <w:r>
        <w:rPr>
          <w:rFonts w:ascii="仿宋_GB2312" w:eastAsia="仿宋_GB2312"/>
          <w:b w:val="0"/>
          <w:sz w:val="32"/>
          <w:szCs w:val="32"/>
        </w:rPr>
        <w:t>行政单位医疗</w:t>
      </w:r>
      <w:r>
        <w:rPr>
          <w:rFonts w:hint="eastAsia" w:ascii="仿宋_GB2312" w:eastAsia="仿宋_GB2312"/>
          <w:b w:val="0"/>
          <w:sz w:val="32"/>
          <w:szCs w:val="32"/>
          <w:lang w:val="en-US" w:eastAsia="zh-CN"/>
        </w:rPr>
        <w:t>基数调整，支出相应增加。</w:t>
      </w:r>
    </w:p>
    <w:p>
      <w:pPr>
        <w:keepNext w:val="0"/>
        <w:keepLines w:val="0"/>
        <w:pageBreakBefore w:val="0"/>
        <w:widowControl w:val="0"/>
        <w:numPr>
          <w:ilvl w:val="0"/>
          <w:numId w:val="0"/>
        </w:numPr>
        <w:kinsoku/>
        <w:wordWrap/>
        <w:overflowPunct/>
        <w:topLinePunct w:val="0"/>
        <w:bidi w:val="0"/>
        <w:adjustRightInd/>
        <w:snapToGrid/>
        <w:spacing w:before="0" w:beforeLines="0" w:beforeAutospacing="0" w:after="0" w:afterLines="0" w:afterAutospacing="0" w:line="560" w:lineRule="exact"/>
        <w:ind w:firstLine="640" w:firstLineChars="200"/>
        <w:textAlignment w:val="auto"/>
        <w:rPr>
          <w:rFonts w:ascii="仿宋_GB2312" w:eastAsia="仿宋_GB2312"/>
          <w:b w:val="0"/>
          <w:sz w:val="32"/>
          <w:szCs w:val="32"/>
        </w:rPr>
      </w:pPr>
      <w:r>
        <w:rPr>
          <w:rFonts w:hint="eastAsia" w:ascii="仿宋_GB2312" w:eastAsia="仿宋_GB2312"/>
          <w:b w:val="0"/>
          <w:sz w:val="32"/>
          <w:szCs w:val="32"/>
          <w:lang w:val="en-US" w:eastAsia="zh-CN"/>
        </w:rPr>
        <w:t>21.</w:t>
      </w:r>
      <w:r>
        <w:rPr>
          <w:rFonts w:ascii="仿宋_GB2312" w:eastAsia="仿宋_GB2312"/>
          <w:b w:val="0"/>
          <w:sz w:val="32"/>
          <w:szCs w:val="32"/>
        </w:rPr>
        <w:t>卫生健康支出（类）行政事业单位医疗（款）公务员医疗补助（项）：支出决算数为5.61万元，比上年决算增加0.35万元，增长6.65%，主要原因是：</w:t>
      </w:r>
      <w:r>
        <w:rPr>
          <w:rFonts w:hint="eastAsia" w:ascii="仿宋_GB2312" w:eastAsia="仿宋_GB2312"/>
          <w:b w:val="0"/>
          <w:sz w:val="32"/>
          <w:szCs w:val="32"/>
          <w:lang w:val="en-US" w:eastAsia="zh-CN"/>
        </w:rPr>
        <w:t>2024年</w:t>
      </w:r>
      <w:r>
        <w:rPr>
          <w:rFonts w:ascii="仿宋_GB2312" w:eastAsia="仿宋_GB2312"/>
          <w:b w:val="0"/>
          <w:sz w:val="32"/>
          <w:szCs w:val="32"/>
        </w:rPr>
        <w:t>公务员医疗补助</w:t>
      </w:r>
      <w:r>
        <w:rPr>
          <w:rFonts w:hint="eastAsia" w:ascii="仿宋_GB2312" w:eastAsia="仿宋_GB2312"/>
          <w:b w:val="0"/>
          <w:sz w:val="32"/>
          <w:szCs w:val="32"/>
          <w:lang w:val="en-US" w:eastAsia="zh-CN"/>
        </w:rPr>
        <w:t>基数调整，支出相应增加。</w:t>
      </w:r>
    </w:p>
    <w:p>
      <w:pPr>
        <w:keepNext w:val="0"/>
        <w:keepLines w:val="0"/>
        <w:pageBreakBefore w:val="0"/>
        <w:widowControl w:val="0"/>
        <w:numPr>
          <w:ilvl w:val="0"/>
          <w:numId w:val="0"/>
        </w:numPr>
        <w:kinsoku/>
        <w:wordWrap/>
        <w:overflowPunct/>
        <w:topLinePunct w:val="0"/>
        <w:bidi w:val="0"/>
        <w:adjustRightInd/>
        <w:snapToGrid/>
        <w:spacing w:before="0" w:beforeLines="0" w:beforeAutospacing="0" w:after="0" w:afterLines="0" w:afterAutospacing="0" w:line="560" w:lineRule="exact"/>
        <w:ind w:firstLine="640" w:firstLineChars="200"/>
        <w:textAlignment w:val="auto"/>
        <w:rPr>
          <w:rFonts w:hint="default" w:ascii="仿宋_GB2312" w:eastAsia="仿宋_GB2312"/>
          <w:sz w:val="32"/>
          <w:szCs w:val="32"/>
          <w:lang w:val="en-US"/>
        </w:rPr>
      </w:pPr>
      <w:r>
        <w:rPr>
          <w:rFonts w:hint="eastAsia" w:ascii="仿宋_GB2312" w:eastAsia="仿宋_GB2312"/>
          <w:b w:val="0"/>
          <w:sz w:val="32"/>
          <w:szCs w:val="32"/>
          <w:lang w:val="en-US" w:eastAsia="zh-CN"/>
        </w:rPr>
        <w:t>22.</w:t>
      </w:r>
      <w:r>
        <w:rPr>
          <w:rFonts w:ascii="仿宋_GB2312" w:eastAsia="仿宋_GB2312"/>
          <w:b w:val="0"/>
          <w:sz w:val="32"/>
          <w:szCs w:val="32"/>
        </w:rPr>
        <w:t>农林水支出（类）巩固脱贫攻坚成果衔接乡村振兴（款）生产发展（项）：支出决算数为1,611.27万元，比上年决算增加1,402.91万元，增长673.31%，主要原因是：</w:t>
      </w:r>
      <w:r>
        <w:rPr>
          <w:rFonts w:hint="eastAsia" w:ascii="仿宋_GB2312" w:eastAsia="仿宋_GB2312"/>
          <w:sz w:val="32"/>
          <w:szCs w:val="32"/>
          <w:highlight w:val="none"/>
          <w:lang w:val="en-US" w:eastAsia="zh-CN"/>
        </w:rPr>
        <w:t>2024年西尼尔镇西尼尔村新增乡村振兴项目7个，支出相应增加。</w:t>
      </w:r>
    </w:p>
    <w:p>
      <w:pPr>
        <w:keepNext w:val="0"/>
        <w:keepLines w:val="0"/>
        <w:pageBreakBefore w:val="0"/>
        <w:widowControl w:val="0"/>
        <w:numPr>
          <w:ilvl w:val="0"/>
          <w:numId w:val="0"/>
        </w:numPr>
        <w:kinsoku/>
        <w:wordWrap/>
        <w:overflowPunct/>
        <w:topLinePunct w:val="0"/>
        <w:bidi w:val="0"/>
        <w:adjustRightInd/>
        <w:snapToGrid/>
        <w:spacing w:before="0" w:beforeLines="0" w:beforeAutospacing="0" w:after="0" w:afterLines="0" w:afterAutospacing="0" w:line="560" w:lineRule="exact"/>
        <w:ind w:firstLine="640" w:firstLineChars="200"/>
        <w:textAlignment w:val="auto"/>
        <w:rPr>
          <w:rFonts w:ascii="仿宋_GB2312" w:eastAsia="仿宋_GB2312"/>
          <w:sz w:val="32"/>
          <w:szCs w:val="32"/>
        </w:rPr>
      </w:pPr>
      <w:r>
        <w:rPr>
          <w:rFonts w:hint="eastAsia" w:ascii="仿宋_GB2312" w:eastAsia="仿宋_GB2312"/>
          <w:b w:val="0"/>
          <w:sz w:val="32"/>
          <w:szCs w:val="32"/>
          <w:lang w:val="en-US" w:eastAsia="zh-CN"/>
        </w:rPr>
        <w:t>23.</w:t>
      </w:r>
      <w:r>
        <w:rPr>
          <w:rFonts w:ascii="仿宋_GB2312" w:eastAsia="仿宋_GB2312"/>
          <w:b w:val="0"/>
          <w:sz w:val="32"/>
          <w:szCs w:val="32"/>
        </w:rPr>
        <w:t>农林水支出（类）巩固脱贫攻坚成果衔接乡村振兴（款）其他巩固脱贫攻坚成果衔接乡村振兴支出（项）：支出决算数为32.86万元，比上年决算增加28.24万元，增长611.26%，主要原因是：</w:t>
      </w:r>
      <w:r>
        <w:rPr>
          <w:rFonts w:hint="eastAsia" w:ascii="仿宋_GB2312" w:eastAsia="仿宋_GB2312"/>
          <w:sz w:val="32"/>
          <w:szCs w:val="32"/>
          <w:highlight w:val="none"/>
          <w:lang w:val="en-US" w:eastAsia="zh-CN"/>
        </w:rPr>
        <w:t>2024年西尼尔镇西尼尔村新增乡村振兴项目7个，支出相应增加。</w:t>
      </w:r>
    </w:p>
    <w:p>
      <w:pPr>
        <w:keepNext w:val="0"/>
        <w:keepLines w:val="0"/>
        <w:pageBreakBefore w:val="0"/>
        <w:widowControl w:val="0"/>
        <w:numPr>
          <w:ilvl w:val="0"/>
          <w:numId w:val="0"/>
        </w:numPr>
        <w:kinsoku/>
        <w:wordWrap/>
        <w:overflowPunct/>
        <w:topLinePunct w:val="0"/>
        <w:bidi w:val="0"/>
        <w:adjustRightInd/>
        <w:snapToGrid/>
        <w:spacing w:before="0" w:beforeLines="0" w:beforeAutospacing="0" w:after="0" w:afterLines="0" w:afterAutospacing="0" w:line="560" w:lineRule="exact"/>
        <w:ind w:firstLine="640" w:firstLineChars="200"/>
        <w:textAlignment w:val="auto"/>
        <w:rPr>
          <w:rFonts w:hint="default" w:ascii="仿宋_GB2312" w:eastAsia="仿宋_GB2312"/>
          <w:sz w:val="32"/>
          <w:szCs w:val="32"/>
          <w:lang w:val="en-US" w:eastAsia="zh-CN"/>
        </w:rPr>
      </w:pPr>
      <w:r>
        <w:rPr>
          <w:rFonts w:hint="eastAsia" w:ascii="仿宋_GB2312" w:eastAsia="仿宋_GB2312"/>
          <w:b w:val="0"/>
          <w:sz w:val="32"/>
          <w:szCs w:val="32"/>
          <w:lang w:val="en-US" w:eastAsia="zh-CN"/>
        </w:rPr>
        <w:t>24.</w:t>
      </w:r>
      <w:r>
        <w:rPr>
          <w:rFonts w:ascii="仿宋_GB2312" w:eastAsia="仿宋_GB2312"/>
          <w:b w:val="0"/>
          <w:sz w:val="32"/>
          <w:szCs w:val="32"/>
        </w:rPr>
        <w:t>农林水支出（类）农村综合改革（款）对村级公益事业建设的补助（项）：支出决算数为192.20万元，比上年决算增加192.20万元，增长100.00%，主要原因是：</w:t>
      </w:r>
      <w:r>
        <w:rPr>
          <w:rFonts w:hint="eastAsia" w:ascii="仿宋_GB2312" w:eastAsia="仿宋_GB2312"/>
          <w:b w:val="0"/>
          <w:sz w:val="32"/>
          <w:szCs w:val="32"/>
          <w:lang w:val="en-US" w:eastAsia="zh-CN"/>
        </w:rPr>
        <w:t>2023年无此项预算安排。</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_GB2312" w:eastAsia="仿宋_GB2312"/>
          <w:sz w:val="32"/>
          <w:szCs w:val="32"/>
        </w:rPr>
      </w:pPr>
      <w:r>
        <w:rPr>
          <w:rFonts w:hint="eastAsia" w:ascii="仿宋_GB2312" w:eastAsia="仿宋_GB2312"/>
          <w:b w:val="0"/>
          <w:sz w:val="32"/>
          <w:szCs w:val="32"/>
          <w:lang w:val="en-US" w:eastAsia="zh-CN"/>
        </w:rPr>
        <w:t>25.</w:t>
      </w:r>
      <w:r>
        <w:rPr>
          <w:rFonts w:ascii="仿宋_GB2312" w:eastAsia="仿宋_GB2312"/>
          <w:b w:val="0"/>
          <w:sz w:val="32"/>
          <w:szCs w:val="32"/>
        </w:rPr>
        <w:t>农林水支出（类）农村综合改革（款）对村民委员会和村党支部的补助（项）：支出决算数为33.41万元，比上年决算减少58.11万元，下降63.49%，主要原因是</w:t>
      </w:r>
      <w:r>
        <w:rPr>
          <w:rFonts w:hint="eastAsia" w:ascii="仿宋_GB2312" w:eastAsia="仿宋_GB2312"/>
          <w:b w:val="0"/>
          <w:sz w:val="32"/>
          <w:szCs w:val="32"/>
          <w:lang w:eastAsia="zh-CN"/>
        </w:rPr>
        <w:t>：</w:t>
      </w:r>
      <w:r>
        <w:rPr>
          <w:rFonts w:hint="eastAsia" w:eastAsia="仿宋_GB2312" w:cs="Times New Roman"/>
          <w:color w:val="auto"/>
          <w:kern w:val="2"/>
          <w:sz w:val="32"/>
          <w:szCs w:val="32"/>
          <w:highlight w:val="none"/>
          <w:lang w:val="en-US" w:eastAsia="zh-CN" w:bidi="ar-SA"/>
        </w:rPr>
        <w:t>2024年度按照上级相关要求，村干部工资由市委组织部发放，该款项支出相应减少</w:t>
      </w:r>
      <w:r>
        <w:rPr>
          <w:rFonts w:hint="eastAsia" w:eastAsia="仿宋_GB2312" w:cs="Times New Roman"/>
          <w:color w:val="auto"/>
          <w:kern w:val="2"/>
          <w:sz w:val="32"/>
          <w:szCs w:val="32"/>
          <w:highlight w:val="none"/>
          <w:lang w:val="zh-CN" w:eastAsia="zh-CN" w:bidi="ar-SA"/>
        </w:rPr>
        <w:t>。</w:t>
      </w:r>
    </w:p>
    <w:p>
      <w:pPr>
        <w:keepNext w:val="0"/>
        <w:keepLines w:val="0"/>
        <w:pageBreakBefore w:val="0"/>
        <w:widowControl w:val="0"/>
        <w:numPr>
          <w:ilvl w:val="0"/>
          <w:numId w:val="0"/>
        </w:numPr>
        <w:kinsoku/>
        <w:wordWrap/>
        <w:overflowPunct/>
        <w:topLinePunct w:val="0"/>
        <w:bidi w:val="0"/>
        <w:adjustRightInd/>
        <w:snapToGrid/>
        <w:spacing w:before="0" w:beforeLines="0" w:beforeAutospacing="0" w:after="0" w:afterLines="0" w:afterAutospacing="0" w:line="560" w:lineRule="exact"/>
        <w:ind w:firstLine="640" w:firstLineChars="200"/>
        <w:textAlignment w:val="auto"/>
        <w:rPr>
          <w:rFonts w:ascii="仿宋_GB2312" w:eastAsia="仿宋_GB2312"/>
          <w:sz w:val="32"/>
          <w:szCs w:val="32"/>
        </w:rPr>
      </w:pPr>
      <w:r>
        <w:rPr>
          <w:rFonts w:hint="eastAsia" w:ascii="仿宋_GB2312" w:eastAsia="仿宋_GB2312"/>
          <w:b w:val="0"/>
          <w:sz w:val="32"/>
          <w:szCs w:val="32"/>
          <w:lang w:val="en-US" w:eastAsia="zh-CN"/>
        </w:rPr>
        <w:t>26.</w:t>
      </w:r>
      <w:r>
        <w:rPr>
          <w:rFonts w:ascii="仿宋_GB2312" w:eastAsia="仿宋_GB2312"/>
          <w:b w:val="0"/>
          <w:sz w:val="32"/>
          <w:szCs w:val="32"/>
        </w:rPr>
        <w:t>农林水支出（类）目标价格补贴（款）棉花目标价格补贴（项）：支出决算数为0.00万元，比上年决算减少312.36万元，下降100.00%，主要原因是：</w:t>
      </w:r>
      <w:r>
        <w:rPr>
          <w:rFonts w:hint="eastAsia" w:ascii="仿宋_GB2312" w:eastAsia="仿宋_GB2312"/>
          <w:b w:val="0"/>
          <w:sz w:val="32"/>
          <w:szCs w:val="32"/>
          <w:lang w:val="en-US" w:eastAsia="zh-CN"/>
        </w:rPr>
        <w:t>2024年无此项预算安排。</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_GB2312" w:eastAsia="仿宋_GB2312"/>
          <w:sz w:val="32"/>
          <w:szCs w:val="32"/>
        </w:rPr>
      </w:pPr>
      <w:r>
        <w:rPr>
          <w:rFonts w:hint="eastAsia" w:ascii="仿宋_GB2312" w:eastAsia="仿宋_GB2312"/>
          <w:b w:val="0"/>
          <w:sz w:val="32"/>
          <w:szCs w:val="32"/>
          <w:lang w:val="en-US" w:eastAsia="zh-CN"/>
        </w:rPr>
        <w:t>27.</w:t>
      </w:r>
      <w:r>
        <w:rPr>
          <w:rFonts w:ascii="仿宋_GB2312" w:eastAsia="仿宋_GB2312"/>
          <w:b w:val="0"/>
          <w:sz w:val="32"/>
          <w:szCs w:val="32"/>
        </w:rPr>
        <w:t>住房保障支出（类）住房改革支出（款）住房公积金（项）：支出决算数为78.25万元，比上年决算增加10.50万元，增长15.50%，主要原因是：</w:t>
      </w:r>
      <w:r>
        <w:rPr>
          <w:rFonts w:hint="eastAsia" w:eastAsia="仿宋_GB2312" w:cs="Times New Roman"/>
          <w:color w:val="auto"/>
          <w:kern w:val="2"/>
          <w:sz w:val="32"/>
          <w:szCs w:val="32"/>
          <w:highlight w:val="none"/>
          <w:lang w:val="en-US" w:eastAsia="zh-CN" w:bidi="ar-SA"/>
        </w:rPr>
        <w:t>按照国家相关政策规定，2024年度住房公积金基数调整，此款项支出相应增加</w:t>
      </w:r>
      <w:r>
        <w:rPr>
          <w:rFonts w:hint="eastAsia" w:eastAsia="仿宋_GB2312" w:cs="Times New Roman"/>
          <w:color w:val="auto"/>
          <w:kern w:val="2"/>
          <w:sz w:val="32"/>
          <w:szCs w:val="32"/>
          <w:highlight w:val="none"/>
          <w:lang w:val="zh-CN" w:eastAsia="zh-CN" w:bidi="ar-SA"/>
        </w:rPr>
        <w:t>。</w:t>
      </w:r>
    </w:p>
    <w:p>
      <w:pPr>
        <w:keepNext w:val="0"/>
        <w:keepLines w:val="0"/>
        <w:pageBreakBefore w:val="0"/>
        <w:widowControl w:val="0"/>
        <w:numPr>
          <w:ilvl w:val="0"/>
          <w:numId w:val="0"/>
        </w:numPr>
        <w:kinsoku/>
        <w:wordWrap/>
        <w:overflowPunct/>
        <w:topLinePunct w:val="0"/>
        <w:bidi w:val="0"/>
        <w:adjustRightInd/>
        <w:snapToGrid/>
        <w:spacing w:before="0" w:beforeLines="0" w:beforeAutospacing="0" w:after="0" w:afterLines="0" w:afterAutospacing="0" w:line="560" w:lineRule="exact"/>
        <w:ind w:firstLine="640" w:firstLineChars="200"/>
        <w:textAlignment w:val="auto"/>
        <w:rPr>
          <w:rFonts w:hint="default" w:ascii="仿宋_GB2312" w:eastAsia="仿宋_GB2312"/>
          <w:sz w:val="32"/>
          <w:szCs w:val="32"/>
          <w:lang w:val="en-US" w:eastAsia="zh-CN"/>
        </w:rPr>
      </w:pPr>
      <w:r>
        <w:rPr>
          <w:rFonts w:hint="eastAsia" w:ascii="仿宋_GB2312" w:eastAsia="仿宋_GB2312"/>
          <w:b w:val="0"/>
          <w:sz w:val="32"/>
          <w:szCs w:val="32"/>
          <w:lang w:val="en-US" w:eastAsia="zh-CN"/>
        </w:rPr>
        <w:t>28.</w:t>
      </w:r>
      <w:r>
        <w:rPr>
          <w:rFonts w:ascii="仿宋_GB2312" w:eastAsia="仿宋_GB2312"/>
          <w:b w:val="0"/>
          <w:sz w:val="32"/>
          <w:szCs w:val="32"/>
        </w:rPr>
        <w:t>其他支出（类）其他支出（款）其他支出（项）：支出决算数为5.00万元，比上年决算减少5.00万元，下降50.00%，主要原因是：</w:t>
      </w:r>
      <w:r>
        <w:rPr>
          <w:rFonts w:hint="eastAsia" w:ascii="仿宋_GB2312" w:eastAsia="仿宋_GB2312"/>
          <w:b w:val="0"/>
          <w:sz w:val="32"/>
          <w:szCs w:val="32"/>
          <w:lang w:val="en-US" w:eastAsia="zh-CN"/>
        </w:rPr>
        <w:t>2024年上级预算安排减少。</w:t>
      </w: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1"/>
        <w:rPr>
          <w:rFonts w:hint="eastAsia" w:ascii="黑体" w:hAnsi="黑体" w:eastAsia="黑体" w:cs="宋体"/>
          <w:bCs/>
          <w:kern w:val="0"/>
          <w:sz w:val="32"/>
          <w:szCs w:val="32"/>
          <w:highlight w:val="none"/>
          <w:lang w:eastAsia="zh-CN"/>
        </w:rPr>
      </w:pPr>
      <w:r>
        <w:rPr>
          <w:rFonts w:hint="eastAsia" w:ascii="黑体" w:hAnsi="黑体" w:eastAsia="黑体" w:cs="宋体"/>
          <w:bCs/>
          <w:kern w:val="0"/>
          <w:sz w:val="32"/>
          <w:szCs w:val="32"/>
          <w:highlight w:val="none"/>
          <w:lang w:eastAsia="zh-CN"/>
        </w:rPr>
        <w:t>六、一般公共预算财政拨款基本支出决算情况说明</w:t>
      </w:r>
      <w:bookmarkEnd w:id="21"/>
      <w:bookmarkEnd w:id="22"/>
    </w:p>
    <w:p>
      <w:pPr>
        <w:keepNext w:val="0"/>
        <w:keepLines w:val="0"/>
        <w:pageBreakBefore w:val="0"/>
        <w:widowControl w:val="0"/>
        <w:kinsoku/>
        <w:wordWrap/>
        <w:overflowPunct/>
        <w:topLinePunct w:val="0"/>
        <w:bidi w:val="0"/>
        <w:adjustRightInd/>
        <w:snapToGrid/>
        <w:spacing w:before="0" w:beforeLines="0" w:beforeAutospacing="0" w:after="0" w:afterLines="0" w:afterAutospacing="0" w:line="560" w:lineRule="exact"/>
        <w:ind w:firstLine="640" w:firstLineChars="200"/>
        <w:jc w:val="both"/>
        <w:textAlignment w:val="auto"/>
        <w:rPr>
          <w:rFonts w:hint="eastAsia" w:ascii="仿宋_GB2312" w:eastAsia="仿宋_GB2312"/>
          <w:sz w:val="32"/>
          <w:szCs w:val="32"/>
          <w:highlight w:val="none"/>
          <w:lang w:eastAsia="zh-CN"/>
        </w:rPr>
      </w:pPr>
      <w:r>
        <w:rPr>
          <w:rFonts w:hint="eastAsia" w:ascii="仿宋_GB2312" w:eastAsia="仿宋_GB2312"/>
          <w:spacing w:val="0"/>
          <w:sz w:val="32"/>
          <w:szCs w:val="32"/>
          <w:highlight w:val="none"/>
          <w:lang w:eastAsia="zh-CN"/>
        </w:rPr>
        <w:t>2024年度</w:t>
      </w:r>
      <w:r>
        <w:rPr>
          <w:rFonts w:hint="eastAsia" w:ascii="仿宋_GB2312" w:eastAsia="仿宋_GB2312"/>
          <w:sz w:val="32"/>
          <w:szCs w:val="32"/>
          <w:highlight w:val="none"/>
        </w:rPr>
        <w:t>一般公共预算财政拨款基本支出</w:t>
      </w:r>
      <w:r>
        <w:rPr>
          <w:rFonts w:ascii="仿宋_GB2312" w:eastAsia="仿宋_GB2312"/>
          <w:b w:val="0"/>
          <w:sz w:val="32"/>
          <w:szCs w:val="32"/>
        </w:rPr>
        <w:t>1,422.58</w:t>
      </w:r>
      <w:r>
        <w:rPr>
          <w:rFonts w:hint="eastAsia" w:ascii="仿宋_GB2312" w:eastAsia="仿宋_GB2312"/>
          <w:sz w:val="32"/>
          <w:szCs w:val="32"/>
          <w:highlight w:val="none"/>
        </w:rPr>
        <w:t>万元，其中：</w:t>
      </w:r>
      <w:r>
        <w:rPr>
          <w:rFonts w:hint="eastAsia" w:ascii="仿宋_GB2312" w:eastAsia="仿宋_GB2312"/>
          <w:b/>
          <w:bCs/>
          <w:sz w:val="32"/>
          <w:szCs w:val="32"/>
          <w:highlight w:val="none"/>
        </w:rPr>
        <w:t>人员经费1,292.49万元，</w:t>
      </w:r>
      <w:r>
        <w:rPr>
          <w:rFonts w:hint="eastAsia" w:ascii="仿宋_GB2312" w:eastAsia="仿宋_GB2312"/>
          <w:sz w:val="32"/>
          <w:szCs w:val="32"/>
          <w:highlight w:val="none"/>
        </w:rPr>
        <w:t>包括：</w:t>
      </w:r>
      <w:r>
        <w:rPr>
          <w:rFonts w:ascii="仿宋_GB2312" w:eastAsia="仿宋_GB2312"/>
          <w:b w:val="0"/>
          <w:sz w:val="32"/>
          <w:szCs w:val="32"/>
        </w:rPr>
        <w:t>基本工资、津贴补贴、奖金、机关事业单位基本养老保险缴费、职业年金缴费、职工基本医疗保险缴费、公务员医疗补助缴费、其他社会保障缴费、住房公积金、医疗费、其他工资福利支出、退休费、生活补助、救济费和其他对个人和家庭的补助。</w:t>
      </w:r>
    </w:p>
    <w:p>
      <w:pPr>
        <w:keepNext w:val="0"/>
        <w:keepLines w:val="0"/>
        <w:pageBreakBefore w:val="0"/>
        <w:widowControl w:val="0"/>
        <w:kinsoku/>
        <w:wordWrap/>
        <w:overflowPunct/>
        <w:topLinePunct w:val="0"/>
        <w:bidi w:val="0"/>
        <w:adjustRightInd/>
        <w:snapToGrid/>
        <w:spacing w:before="0" w:beforeLines="0" w:beforeAutospacing="0" w:after="0" w:afterLines="0" w:afterAutospacing="0" w:line="560" w:lineRule="exact"/>
        <w:ind w:firstLine="643" w:firstLineChars="200"/>
        <w:jc w:val="both"/>
        <w:textAlignment w:val="auto"/>
        <w:rPr>
          <w:rFonts w:hint="eastAsia" w:ascii="仿宋_GB2312" w:hAnsi="宋体" w:eastAsia="仿宋_GB2312" w:cs="宋体"/>
          <w:kern w:val="0"/>
          <w:sz w:val="32"/>
          <w:szCs w:val="32"/>
          <w:highlight w:val="none"/>
        </w:rPr>
      </w:pPr>
      <w:r>
        <w:rPr>
          <w:rFonts w:hint="eastAsia" w:ascii="仿宋_GB2312" w:eastAsia="仿宋_GB2312"/>
          <w:b/>
          <w:bCs/>
          <w:sz w:val="32"/>
          <w:szCs w:val="32"/>
          <w:highlight w:val="none"/>
        </w:rPr>
        <w:t>公用经费130.09万元，</w:t>
      </w:r>
      <w:r>
        <w:rPr>
          <w:rFonts w:hint="eastAsia" w:ascii="仿宋_GB2312" w:eastAsia="仿宋_GB2312"/>
          <w:sz w:val="32"/>
          <w:szCs w:val="32"/>
          <w:highlight w:val="none"/>
        </w:rPr>
        <w:t>包括：</w:t>
      </w:r>
      <w:r>
        <w:rPr>
          <w:rFonts w:ascii="仿宋_GB2312" w:eastAsia="仿宋_GB2312"/>
          <w:b w:val="0"/>
          <w:sz w:val="32"/>
          <w:szCs w:val="32"/>
        </w:rPr>
        <w:t>办公费、印刷费、水费、电费、邮电费、取暖费、差旅费、维修（护）费、租赁费、培训费、劳务费、工会经费、福利费和公务用车运行维护费。</w:t>
      </w: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1"/>
        <w:rPr>
          <w:rFonts w:hint="eastAsia" w:ascii="黑体" w:hAnsi="黑体" w:eastAsia="黑体" w:cs="宋体"/>
          <w:bCs/>
          <w:kern w:val="0"/>
          <w:sz w:val="32"/>
          <w:szCs w:val="32"/>
          <w:highlight w:val="none"/>
          <w:lang w:eastAsia="zh-CN"/>
        </w:rPr>
      </w:pPr>
      <w:bookmarkStart w:id="23" w:name="_Toc7927"/>
      <w:bookmarkStart w:id="24" w:name="_Toc7523"/>
      <w:r>
        <w:rPr>
          <w:rFonts w:hint="eastAsia" w:ascii="黑体" w:hAnsi="黑体" w:eastAsia="黑体" w:cs="宋体"/>
          <w:bCs/>
          <w:kern w:val="0"/>
          <w:sz w:val="32"/>
          <w:szCs w:val="32"/>
          <w:highlight w:val="none"/>
          <w:lang w:val="en-US" w:eastAsia="zh-CN"/>
        </w:rPr>
        <w:t>七、</w:t>
      </w:r>
      <w:r>
        <w:rPr>
          <w:rFonts w:hint="eastAsia" w:ascii="黑体" w:hAnsi="黑体" w:eastAsia="黑体" w:cs="宋体"/>
          <w:bCs/>
          <w:kern w:val="0"/>
          <w:sz w:val="32"/>
          <w:szCs w:val="32"/>
          <w:highlight w:val="none"/>
          <w:lang w:eastAsia="zh-CN"/>
        </w:rPr>
        <w:t>政府性基金预算财政拨款收入支出决算情况说明</w:t>
      </w:r>
      <w:bookmarkEnd w:id="23"/>
      <w:bookmarkEnd w:id="24"/>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_GB2312" w:eastAsia="仿宋_GB2312"/>
          <w:sz w:val="32"/>
          <w:szCs w:val="32"/>
          <w:highlight w:val="none"/>
          <w:lang w:eastAsia="zh-CN"/>
        </w:rPr>
      </w:pPr>
      <w:r>
        <w:rPr>
          <w:rFonts w:hint="eastAsia" w:ascii="仿宋_GB2312" w:eastAsia="仿宋_GB2312"/>
          <w:b/>
          <w:bCs/>
          <w:spacing w:val="0"/>
          <w:sz w:val="32"/>
          <w:szCs w:val="32"/>
          <w:highlight w:val="none"/>
          <w:lang w:eastAsia="zh-CN"/>
        </w:rPr>
        <w:t>2024年度</w:t>
      </w:r>
      <w:r>
        <w:rPr>
          <w:rFonts w:hint="eastAsia" w:ascii="仿宋_GB2312" w:eastAsia="仿宋_GB2312"/>
          <w:b/>
          <w:bCs/>
          <w:sz w:val="32"/>
          <w:szCs w:val="32"/>
          <w:highlight w:val="none"/>
        </w:rPr>
        <w:t>政府性基金预算</w:t>
      </w:r>
      <w:r>
        <w:rPr>
          <w:rFonts w:hint="eastAsia" w:ascii="仿宋_GB2312" w:eastAsia="仿宋_GB2312"/>
          <w:b/>
          <w:bCs/>
          <w:sz w:val="32"/>
          <w:szCs w:val="32"/>
          <w:highlight w:val="none"/>
          <w:lang w:val="en-US" w:eastAsia="zh-CN"/>
        </w:rPr>
        <w:t>财政拨款</w:t>
      </w:r>
      <w:r>
        <w:rPr>
          <w:rFonts w:hint="eastAsia" w:ascii="仿宋_GB2312" w:eastAsia="仿宋_GB2312"/>
          <w:b/>
          <w:bCs/>
          <w:sz w:val="32"/>
          <w:szCs w:val="32"/>
          <w:highlight w:val="none"/>
        </w:rPr>
        <w:t>收入</w:t>
      </w:r>
      <w:r>
        <w:rPr>
          <w:rFonts w:hint="eastAsia" w:ascii="仿宋_GB2312" w:eastAsia="仿宋_GB2312"/>
          <w:b/>
          <w:bCs/>
          <w:sz w:val="32"/>
          <w:szCs w:val="32"/>
          <w:highlight w:val="none"/>
          <w:lang w:val="en-US" w:eastAsia="zh-CN"/>
        </w:rPr>
        <w:t>总计63.43</w:t>
      </w:r>
      <w:r>
        <w:rPr>
          <w:rFonts w:hint="eastAsia" w:ascii="仿宋_GB2312" w:eastAsia="仿宋_GB2312"/>
          <w:b/>
          <w:bCs/>
          <w:sz w:val="32"/>
          <w:szCs w:val="32"/>
          <w:highlight w:val="none"/>
        </w:rPr>
        <w:t>万元，</w:t>
      </w:r>
      <w:r>
        <w:rPr>
          <w:rFonts w:hint="eastAsia" w:ascii="仿宋_GB2312" w:eastAsia="仿宋_GB2312"/>
          <w:sz w:val="32"/>
          <w:szCs w:val="32"/>
          <w:highlight w:val="none"/>
          <w:lang w:val="en-US" w:eastAsia="zh-CN"/>
        </w:rPr>
        <w:t>其中：年初结转和结余0.00</w:t>
      </w:r>
      <w:r>
        <w:rPr>
          <w:rFonts w:hint="eastAsia" w:ascii="仿宋_GB2312" w:eastAsia="仿宋_GB2312"/>
          <w:sz w:val="32"/>
          <w:szCs w:val="32"/>
          <w:highlight w:val="none"/>
        </w:rPr>
        <w:t>万元</w:t>
      </w:r>
      <w:r>
        <w:rPr>
          <w:rFonts w:hint="eastAsia" w:ascii="仿宋_GB2312" w:eastAsia="仿宋_GB2312"/>
          <w:sz w:val="32"/>
          <w:szCs w:val="32"/>
          <w:highlight w:val="none"/>
          <w:lang w:eastAsia="zh-CN"/>
        </w:rPr>
        <w:t>，</w:t>
      </w:r>
      <w:r>
        <w:rPr>
          <w:rFonts w:hint="eastAsia" w:ascii="仿宋_GB2312" w:eastAsia="仿宋_GB2312"/>
          <w:sz w:val="32"/>
          <w:szCs w:val="32"/>
          <w:highlight w:val="none"/>
          <w:lang w:val="en-US" w:eastAsia="zh-CN"/>
        </w:rPr>
        <w:t>本年收入63.43</w:t>
      </w:r>
      <w:r>
        <w:rPr>
          <w:rFonts w:hint="eastAsia" w:ascii="仿宋_GB2312" w:eastAsia="仿宋_GB2312"/>
          <w:sz w:val="32"/>
          <w:szCs w:val="32"/>
          <w:highlight w:val="none"/>
        </w:rPr>
        <w:t>万元</w:t>
      </w:r>
      <w:r>
        <w:rPr>
          <w:rFonts w:hint="eastAsia" w:ascii="仿宋_GB2312" w:eastAsia="仿宋_GB2312"/>
          <w:sz w:val="32"/>
          <w:szCs w:val="32"/>
          <w:highlight w:val="none"/>
          <w:lang w:eastAsia="zh-CN"/>
        </w:rPr>
        <w:t>。</w:t>
      </w:r>
      <w:r>
        <w:rPr>
          <w:rFonts w:hint="eastAsia" w:ascii="仿宋_GB2312" w:eastAsia="仿宋_GB2312"/>
          <w:b/>
          <w:bCs/>
          <w:sz w:val="32"/>
          <w:szCs w:val="32"/>
          <w:highlight w:val="none"/>
        </w:rPr>
        <w:t>政府性基金预算财政拨款支出</w:t>
      </w:r>
      <w:r>
        <w:rPr>
          <w:rFonts w:hint="eastAsia" w:ascii="仿宋_GB2312" w:eastAsia="仿宋_GB2312"/>
          <w:b/>
          <w:bCs/>
          <w:sz w:val="32"/>
          <w:szCs w:val="32"/>
          <w:highlight w:val="none"/>
          <w:lang w:val="en-US" w:eastAsia="zh-CN"/>
        </w:rPr>
        <w:t>总计63.43</w:t>
      </w:r>
      <w:r>
        <w:rPr>
          <w:rFonts w:hint="eastAsia" w:ascii="仿宋_GB2312" w:eastAsia="仿宋_GB2312"/>
          <w:b/>
          <w:bCs/>
          <w:sz w:val="32"/>
          <w:szCs w:val="32"/>
          <w:highlight w:val="none"/>
        </w:rPr>
        <w:t>万元，</w:t>
      </w:r>
      <w:r>
        <w:rPr>
          <w:rFonts w:hint="eastAsia" w:ascii="仿宋_GB2312" w:eastAsia="仿宋_GB2312"/>
          <w:sz w:val="32"/>
          <w:szCs w:val="32"/>
          <w:highlight w:val="none"/>
          <w:lang w:val="en-US" w:eastAsia="zh-CN"/>
        </w:rPr>
        <w:t>其中：年末结转和结余0.00</w:t>
      </w:r>
      <w:r>
        <w:rPr>
          <w:rFonts w:hint="eastAsia" w:ascii="仿宋_GB2312" w:eastAsia="仿宋_GB2312"/>
          <w:sz w:val="32"/>
          <w:szCs w:val="32"/>
          <w:highlight w:val="none"/>
        </w:rPr>
        <w:t>万元</w:t>
      </w:r>
      <w:r>
        <w:rPr>
          <w:rFonts w:hint="eastAsia" w:ascii="仿宋_GB2312" w:eastAsia="仿宋_GB2312"/>
          <w:sz w:val="32"/>
          <w:szCs w:val="32"/>
          <w:highlight w:val="none"/>
          <w:lang w:eastAsia="zh-CN"/>
        </w:rPr>
        <w:t>，</w:t>
      </w:r>
      <w:r>
        <w:rPr>
          <w:rFonts w:hint="eastAsia" w:ascii="仿宋_GB2312" w:eastAsia="仿宋_GB2312"/>
          <w:sz w:val="32"/>
          <w:szCs w:val="32"/>
          <w:highlight w:val="none"/>
          <w:lang w:val="en-US" w:eastAsia="zh-CN"/>
        </w:rPr>
        <w:t>本年支出63.43</w:t>
      </w:r>
      <w:r>
        <w:rPr>
          <w:rFonts w:hint="eastAsia" w:ascii="仿宋_GB2312" w:eastAsia="仿宋_GB2312"/>
          <w:sz w:val="32"/>
          <w:szCs w:val="32"/>
          <w:highlight w:val="none"/>
        </w:rPr>
        <w:t>万元</w:t>
      </w:r>
      <w:r>
        <w:rPr>
          <w:rFonts w:hint="eastAsia" w:ascii="仿宋_GB2312" w:eastAsia="仿宋_GB2312"/>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_GB2312" w:eastAsia="仿宋_GB2312"/>
          <w:sz w:val="32"/>
          <w:szCs w:val="32"/>
          <w:highlight w:val="none"/>
          <w:lang w:eastAsia="zh-CN"/>
        </w:rPr>
      </w:pPr>
      <w:r>
        <w:rPr>
          <w:rFonts w:hint="eastAsia" w:ascii="仿宋_GB2312" w:hAnsi="仿宋_GB2312" w:eastAsia="仿宋_GB2312" w:cs="仿宋_GB2312"/>
          <w:b/>
          <w:bCs w:val="0"/>
          <w:kern w:val="0"/>
          <w:sz w:val="32"/>
          <w:szCs w:val="32"/>
          <w:highlight w:val="none"/>
          <w:lang w:eastAsia="zh-CN"/>
        </w:rPr>
        <w:t>政府性基金预算财政拨款收入支出</w:t>
      </w:r>
      <w:r>
        <w:rPr>
          <w:rFonts w:hint="eastAsia" w:ascii="仿宋_GB2312" w:hAnsi="仿宋_GB2312" w:eastAsia="仿宋_GB2312" w:cs="仿宋_GB2312"/>
          <w:b/>
          <w:bCs w:val="0"/>
          <w:kern w:val="0"/>
          <w:sz w:val="32"/>
          <w:szCs w:val="32"/>
          <w:highlight w:val="none"/>
          <w:lang w:val="en-US" w:eastAsia="zh-CN"/>
        </w:rPr>
        <w:t>总体</w:t>
      </w:r>
      <w:r>
        <w:rPr>
          <w:rFonts w:hint="eastAsia" w:ascii="仿宋_GB2312" w:hAnsi="仿宋_GB2312" w:eastAsia="仿宋_GB2312" w:cs="仿宋_GB2312"/>
          <w:b/>
          <w:bCs w:val="0"/>
          <w:sz w:val="32"/>
          <w:szCs w:val="32"/>
          <w:highlight w:val="none"/>
        </w:rPr>
        <w:t>与上年相</w:t>
      </w:r>
      <w:r>
        <w:rPr>
          <w:rFonts w:hint="eastAsia" w:ascii="仿宋_GB2312" w:eastAsia="仿宋_GB2312"/>
          <w:b/>
          <w:bCs/>
          <w:sz w:val="32"/>
          <w:szCs w:val="32"/>
          <w:highlight w:val="none"/>
        </w:rPr>
        <w:t>比，</w:t>
      </w:r>
      <w:r>
        <w:rPr>
          <w:rFonts w:hint="eastAsia" w:ascii="仿宋_GB2312" w:eastAsia="仿宋_GB2312"/>
          <w:sz w:val="32"/>
          <w:szCs w:val="32"/>
          <w:highlight w:val="none"/>
        </w:rPr>
        <w:t>减少</w:t>
      </w:r>
      <w:r>
        <w:rPr>
          <w:rFonts w:ascii="仿宋_GB2312" w:eastAsia="仿宋_GB2312"/>
          <w:b w:val="0"/>
          <w:sz w:val="32"/>
          <w:szCs w:val="32"/>
        </w:rPr>
        <w:t>357.97</w:t>
      </w:r>
      <w:r>
        <w:rPr>
          <w:rFonts w:hint="eastAsia" w:ascii="仿宋_GB2312" w:eastAsia="仿宋_GB2312"/>
          <w:sz w:val="32"/>
          <w:szCs w:val="32"/>
          <w:highlight w:val="none"/>
        </w:rPr>
        <w:t>万元，</w:t>
      </w:r>
      <w:r>
        <w:rPr>
          <w:rFonts w:hint="eastAsia" w:ascii="仿宋_GB2312" w:eastAsia="仿宋_GB2312"/>
          <w:sz w:val="32"/>
          <w:szCs w:val="32"/>
          <w:highlight w:val="none"/>
          <w:lang w:eastAsia="zh-CN"/>
        </w:rPr>
        <w:t>下降</w:t>
      </w:r>
      <w:r>
        <w:rPr>
          <w:rFonts w:hint="eastAsia" w:ascii="仿宋_GB2312" w:eastAsia="仿宋_GB2312"/>
          <w:sz w:val="32"/>
          <w:szCs w:val="32"/>
          <w:highlight w:val="none"/>
          <w:lang w:val="en-US" w:eastAsia="zh-CN"/>
        </w:rPr>
        <w:t>84.95</w:t>
      </w:r>
      <w:r>
        <w:rPr>
          <w:rFonts w:hint="eastAsia" w:ascii="仿宋_GB2312" w:eastAsia="仿宋_GB2312"/>
          <w:sz w:val="32"/>
          <w:szCs w:val="32"/>
          <w:highlight w:val="none"/>
        </w:rPr>
        <w:t>%，</w:t>
      </w:r>
      <w:r>
        <w:rPr>
          <w:rFonts w:hint="eastAsia" w:ascii="仿宋_GB2312" w:eastAsia="仿宋_GB2312"/>
          <w:sz w:val="32"/>
          <w:szCs w:val="32"/>
          <w:highlight w:val="none"/>
          <w:lang w:eastAsia="zh-CN"/>
        </w:rPr>
        <w:t>主要原因是</w:t>
      </w:r>
      <w:r>
        <w:rPr>
          <w:rFonts w:hint="eastAsia" w:ascii="仿宋_GB2312" w:eastAsia="仿宋_GB2312"/>
          <w:sz w:val="32"/>
          <w:szCs w:val="32"/>
          <w:highlight w:val="none"/>
        </w:rPr>
        <w:t>：</w:t>
      </w:r>
      <w:r>
        <w:rPr>
          <w:rFonts w:hint="eastAsia" w:ascii="仿宋_GB2312" w:eastAsia="仿宋_GB2312"/>
          <w:sz w:val="32"/>
          <w:szCs w:val="32"/>
          <w:highlight w:val="none"/>
          <w:lang w:val="en-US" w:eastAsia="zh-CN"/>
        </w:rPr>
        <w:t>2024年上级安排我镇乡村振兴项目资金为一般公共预算财政拨款收入</w:t>
      </w:r>
      <w:r>
        <w:rPr>
          <w:rFonts w:hint="eastAsia" w:ascii="仿宋_GB2312" w:eastAsia="仿宋_GB2312"/>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eastAsia="仿宋_GB2312"/>
          <w:sz w:val="32"/>
          <w:szCs w:val="32"/>
          <w:highlight w:val="none"/>
        </w:rPr>
      </w:pPr>
      <w:r>
        <w:rPr>
          <w:rFonts w:hint="eastAsia" w:ascii="仿宋_GB2312" w:eastAsia="仿宋_GB2312"/>
          <w:b/>
          <w:bCs/>
          <w:sz w:val="32"/>
          <w:szCs w:val="32"/>
          <w:highlight w:val="none"/>
        </w:rPr>
        <w:t>与</w:t>
      </w:r>
      <w:r>
        <w:rPr>
          <w:rFonts w:hint="eastAsia" w:ascii="仿宋_GB2312" w:eastAsia="仿宋_GB2312"/>
          <w:b/>
          <w:bCs/>
          <w:sz w:val="32"/>
          <w:szCs w:val="32"/>
          <w:highlight w:val="none"/>
          <w:lang w:eastAsia="zh-CN"/>
        </w:rPr>
        <w:t>年初预算</w:t>
      </w:r>
      <w:r>
        <w:rPr>
          <w:rFonts w:hint="eastAsia" w:ascii="仿宋_GB2312" w:eastAsia="仿宋_GB2312"/>
          <w:b/>
          <w:bCs/>
          <w:sz w:val="32"/>
          <w:szCs w:val="32"/>
          <w:highlight w:val="none"/>
        </w:rPr>
        <w:t>相比</w:t>
      </w:r>
      <w:r>
        <w:rPr>
          <w:rFonts w:hint="eastAsia" w:ascii="仿宋_GB2312" w:eastAsia="仿宋_GB2312"/>
          <w:b/>
          <w:bCs/>
          <w:sz w:val="32"/>
          <w:szCs w:val="32"/>
          <w:highlight w:val="none"/>
          <w:lang w:eastAsia="zh-CN"/>
        </w:rPr>
        <w:t>，</w:t>
      </w:r>
      <w:r>
        <w:rPr>
          <w:rFonts w:hint="eastAsia" w:ascii="仿宋_GB2312" w:eastAsia="仿宋_GB2312"/>
          <w:sz w:val="32"/>
          <w:szCs w:val="32"/>
          <w:highlight w:val="none"/>
          <w:lang w:eastAsia="zh-CN"/>
        </w:rPr>
        <w:t>年初预算数</w:t>
      </w:r>
      <w:r>
        <w:rPr>
          <w:rFonts w:ascii="仿宋_GB2312" w:eastAsia="仿宋_GB2312"/>
          <w:b w:val="0"/>
          <w:sz w:val="32"/>
          <w:szCs w:val="32"/>
        </w:rPr>
        <w:t>15.51</w:t>
      </w:r>
      <w:r>
        <w:rPr>
          <w:rFonts w:hint="eastAsia" w:ascii="仿宋_GB2312" w:eastAsia="仿宋_GB2312"/>
          <w:sz w:val="32"/>
          <w:szCs w:val="32"/>
          <w:highlight w:val="none"/>
        </w:rPr>
        <w:t>万元，决算数</w:t>
      </w:r>
      <w:r>
        <w:rPr>
          <w:rFonts w:ascii="仿宋_GB2312" w:eastAsia="仿宋_GB2312"/>
          <w:b w:val="0"/>
          <w:sz w:val="32"/>
          <w:szCs w:val="32"/>
        </w:rPr>
        <w:t>63.43</w:t>
      </w:r>
      <w:r>
        <w:rPr>
          <w:rFonts w:hint="eastAsia" w:ascii="仿宋_GB2312" w:eastAsia="仿宋_GB2312"/>
          <w:sz w:val="32"/>
          <w:szCs w:val="32"/>
          <w:highlight w:val="none"/>
        </w:rPr>
        <w:t>万元，预决算差异率</w:t>
      </w:r>
      <w:r>
        <w:rPr>
          <w:rFonts w:ascii="仿宋_GB2312" w:eastAsia="仿宋_GB2312"/>
          <w:b w:val="0"/>
          <w:sz w:val="32"/>
          <w:szCs w:val="32"/>
        </w:rPr>
        <w:t>308.96</w:t>
      </w:r>
      <w:r>
        <w:rPr>
          <w:rFonts w:hint="eastAsia" w:ascii="仿宋_GB2312" w:eastAsia="仿宋_GB2312"/>
          <w:sz w:val="32"/>
          <w:szCs w:val="32"/>
          <w:highlight w:val="none"/>
        </w:rPr>
        <w:t>%</w:t>
      </w:r>
      <w:r>
        <w:rPr>
          <w:rFonts w:hint="eastAsia" w:ascii="仿宋_GB2312" w:eastAsia="仿宋_GB2312"/>
          <w:sz w:val="32"/>
          <w:szCs w:val="32"/>
          <w:highlight w:val="none"/>
          <w:lang w:eastAsia="zh-CN"/>
        </w:rPr>
        <w:t>，主要原因是：</w:t>
      </w:r>
      <w:r>
        <w:rPr>
          <w:rFonts w:hint="eastAsia" w:ascii="仿宋_GB2312" w:eastAsia="仿宋_GB2312"/>
          <w:sz w:val="32"/>
          <w:szCs w:val="32"/>
          <w:highlight w:val="none"/>
          <w:lang w:val="en-US" w:eastAsia="zh-CN"/>
        </w:rPr>
        <w:t>2024年乡村振兴项目安排资金为年终追加</w:t>
      </w:r>
      <w:r>
        <w:rPr>
          <w:rFonts w:hint="eastAsia" w:ascii="仿宋_GB2312" w:eastAsia="仿宋_GB2312"/>
          <w:sz w:val="32"/>
          <w:szCs w:val="32"/>
          <w:highlight w:val="none"/>
        </w:rPr>
        <w:t>。</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_GB2312" w:eastAsia="仿宋_GB2312"/>
          <w:b/>
          <w:bCs/>
          <w:sz w:val="32"/>
          <w:szCs w:val="32"/>
          <w:highlight w:val="none"/>
          <w:lang w:eastAsia="zh-CN"/>
        </w:rPr>
      </w:pPr>
      <w:r>
        <w:rPr>
          <w:rFonts w:hint="eastAsia" w:ascii="仿宋_GB2312" w:eastAsia="仿宋_GB2312"/>
          <w:b/>
          <w:bCs/>
          <w:sz w:val="32"/>
          <w:szCs w:val="32"/>
          <w:highlight w:val="none"/>
        </w:rPr>
        <w:t>政府性基金预算财政拨款支出63.43万元</w:t>
      </w:r>
      <w:r>
        <w:rPr>
          <w:rFonts w:hint="eastAsia" w:ascii="仿宋_GB2312" w:eastAsia="仿宋_GB2312"/>
          <w:b/>
          <w:bCs/>
          <w:sz w:val="32"/>
          <w:szCs w:val="32"/>
          <w:highlight w:val="none"/>
          <w:lang w:eastAsia="zh-CN"/>
        </w:rPr>
        <w:t>。</w:t>
      </w:r>
    </w:p>
    <w:p>
      <w:pPr>
        <w:keepNext w:val="0"/>
        <w:keepLines w:val="0"/>
        <w:pageBreakBefore w:val="0"/>
        <w:widowControl w:val="0"/>
        <w:numPr>
          <w:ilvl w:val="0"/>
          <w:numId w:val="0"/>
        </w:numPr>
        <w:kinsoku/>
        <w:wordWrap/>
        <w:overflowPunct/>
        <w:topLinePunct w:val="0"/>
        <w:bidi w:val="0"/>
        <w:adjustRightInd/>
        <w:snapToGrid/>
        <w:spacing w:before="0" w:beforeLines="0" w:beforeAutospacing="0" w:after="0" w:afterLines="0" w:afterAutospacing="0" w:line="560" w:lineRule="exact"/>
        <w:ind w:firstLine="640" w:firstLineChars="200"/>
        <w:textAlignment w:val="auto"/>
        <w:rPr>
          <w:rFonts w:hint="default" w:ascii="仿宋_GB2312" w:eastAsia="仿宋_GB2312"/>
          <w:sz w:val="32"/>
          <w:szCs w:val="32"/>
          <w:lang w:val="en-US" w:eastAsia="zh-CN"/>
        </w:rPr>
      </w:pPr>
      <w:bookmarkStart w:id="25" w:name="_Toc5563"/>
      <w:r>
        <w:rPr>
          <w:rFonts w:hint="eastAsia" w:ascii="仿宋_GB2312" w:eastAsia="仿宋_GB2312"/>
          <w:b w:val="0"/>
          <w:sz w:val="32"/>
          <w:szCs w:val="32"/>
          <w:lang w:val="en-US" w:eastAsia="zh-CN"/>
        </w:rPr>
        <w:t>1.</w:t>
      </w:r>
      <w:r>
        <w:rPr>
          <w:rFonts w:ascii="仿宋_GB2312" w:eastAsia="仿宋_GB2312"/>
          <w:b w:val="0"/>
          <w:sz w:val="32"/>
          <w:szCs w:val="32"/>
        </w:rPr>
        <w:t>城乡社区支出（类）国有土地使用权出让收入安排的支出（款）农村基础设施建设支出（项）：支出决算数为46.82万元，比上年决算增加46.82万元，增长100.00%，主要原因是：</w:t>
      </w:r>
      <w:r>
        <w:rPr>
          <w:rFonts w:hint="eastAsia" w:ascii="仿宋_GB2312" w:eastAsia="仿宋_GB2312"/>
          <w:b w:val="0"/>
          <w:sz w:val="32"/>
          <w:szCs w:val="32"/>
          <w:lang w:val="en-US" w:eastAsia="zh-CN"/>
        </w:rPr>
        <w:t>2023年我镇未安排预算。</w:t>
      </w:r>
    </w:p>
    <w:p>
      <w:pPr>
        <w:keepNext w:val="0"/>
        <w:keepLines w:val="0"/>
        <w:pageBreakBefore w:val="0"/>
        <w:widowControl w:val="0"/>
        <w:numPr>
          <w:ilvl w:val="0"/>
          <w:numId w:val="0"/>
        </w:numPr>
        <w:kinsoku/>
        <w:wordWrap/>
        <w:overflowPunct/>
        <w:topLinePunct w:val="0"/>
        <w:bidi w:val="0"/>
        <w:adjustRightInd/>
        <w:snapToGrid/>
        <w:spacing w:before="0" w:beforeLines="0" w:beforeAutospacing="0" w:after="0" w:afterLines="0" w:afterAutospacing="0" w:line="560" w:lineRule="exact"/>
        <w:ind w:firstLine="640" w:firstLineChars="200"/>
        <w:textAlignment w:val="auto"/>
        <w:rPr>
          <w:rFonts w:hint="default" w:ascii="仿宋_GB2312" w:eastAsia="仿宋_GB2312"/>
          <w:sz w:val="32"/>
          <w:szCs w:val="32"/>
          <w:lang w:val="en-US" w:eastAsia="zh-CN"/>
        </w:rPr>
      </w:pPr>
      <w:r>
        <w:rPr>
          <w:rFonts w:hint="eastAsia" w:ascii="仿宋_GB2312" w:eastAsia="仿宋_GB2312"/>
          <w:b w:val="0"/>
          <w:sz w:val="32"/>
          <w:szCs w:val="32"/>
          <w:lang w:val="en-US" w:eastAsia="zh-CN"/>
        </w:rPr>
        <w:t>2.</w:t>
      </w:r>
      <w:r>
        <w:rPr>
          <w:rFonts w:ascii="仿宋_GB2312" w:eastAsia="仿宋_GB2312"/>
          <w:b w:val="0"/>
          <w:sz w:val="32"/>
          <w:szCs w:val="32"/>
        </w:rPr>
        <w:t>城乡社区支出（类）国有土地使用权出让收入安排的支出（款）其他国有土地使用权出让收入安排的支出（项）：支出决算数为0.00万元，比上年决算减少136.91万元，下降100.00%，主要原因是：</w:t>
      </w:r>
      <w:r>
        <w:rPr>
          <w:rFonts w:hint="eastAsia" w:ascii="仿宋_GB2312" w:eastAsia="仿宋_GB2312"/>
          <w:b w:val="0"/>
          <w:sz w:val="32"/>
          <w:szCs w:val="32"/>
          <w:lang w:val="en-US" w:eastAsia="zh-CN"/>
        </w:rPr>
        <w:t>2024年我镇未安排此项预算。</w:t>
      </w:r>
    </w:p>
    <w:p>
      <w:pPr>
        <w:keepNext w:val="0"/>
        <w:keepLines w:val="0"/>
        <w:pageBreakBefore w:val="0"/>
        <w:widowControl w:val="0"/>
        <w:numPr>
          <w:ilvl w:val="0"/>
          <w:numId w:val="0"/>
        </w:numPr>
        <w:kinsoku/>
        <w:wordWrap/>
        <w:overflowPunct/>
        <w:topLinePunct w:val="0"/>
        <w:bidi w:val="0"/>
        <w:adjustRightInd/>
        <w:snapToGrid/>
        <w:spacing w:before="0" w:beforeLines="0" w:beforeAutospacing="0" w:after="0" w:afterLines="0" w:afterAutospacing="0" w:line="560" w:lineRule="exact"/>
        <w:ind w:firstLine="640" w:firstLineChars="200"/>
        <w:textAlignment w:val="auto"/>
        <w:rPr>
          <w:rFonts w:hint="default" w:ascii="仿宋_GB2312" w:eastAsia="仿宋_GB2312"/>
          <w:sz w:val="32"/>
          <w:szCs w:val="32"/>
          <w:lang w:val="en-US" w:eastAsia="zh-CN"/>
        </w:rPr>
      </w:pPr>
      <w:r>
        <w:rPr>
          <w:rFonts w:hint="eastAsia" w:ascii="仿宋_GB2312" w:eastAsia="仿宋_GB2312"/>
          <w:b w:val="0"/>
          <w:sz w:val="32"/>
          <w:szCs w:val="32"/>
          <w:lang w:val="en-US" w:eastAsia="zh-CN"/>
        </w:rPr>
        <w:t>3.</w:t>
      </w:r>
      <w:r>
        <w:rPr>
          <w:rFonts w:ascii="仿宋_GB2312" w:eastAsia="仿宋_GB2312"/>
          <w:b w:val="0"/>
          <w:sz w:val="32"/>
          <w:szCs w:val="32"/>
        </w:rPr>
        <w:t>其他支出（类）彩票公益金安排的支出（款）用于巩固脱贫攻坚成果衔接乡村振兴的彩票公益金支出（项）：支出决算数为16.61万元，比上年决算减少267.88万元，下降94.16%，主要原因是：</w:t>
      </w:r>
      <w:r>
        <w:rPr>
          <w:rFonts w:hint="eastAsia" w:ascii="仿宋_GB2312" w:eastAsia="仿宋_GB2312"/>
          <w:b w:val="0"/>
          <w:sz w:val="32"/>
          <w:szCs w:val="32"/>
          <w:lang w:val="en-US" w:eastAsia="zh-CN"/>
        </w:rPr>
        <w:t>2024我镇乡村振兴项目安排资金为</w:t>
      </w:r>
      <w:r>
        <w:rPr>
          <w:rFonts w:hint="eastAsia" w:ascii="仿宋_GB2312" w:eastAsia="仿宋_GB2312"/>
          <w:sz w:val="32"/>
          <w:szCs w:val="32"/>
          <w:highlight w:val="none"/>
          <w:lang w:val="en-US" w:eastAsia="zh-CN"/>
        </w:rPr>
        <w:t>一般公共预算财政拨款收入。</w:t>
      </w: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1"/>
        <w:rPr>
          <w:rFonts w:hint="eastAsia" w:ascii="黑体" w:hAnsi="黑体" w:eastAsia="黑体" w:cs="宋体"/>
          <w:bCs/>
          <w:kern w:val="0"/>
          <w:sz w:val="32"/>
          <w:szCs w:val="32"/>
          <w:highlight w:val="none"/>
          <w:lang w:eastAsia="zh-CN"/>
        </w:rPr>
      </w:pPr>
      <w:r>
        <w:rPr>
          <w:rFonts w:hint="eastAsia" w:ascii="黑体" w:hAnsi="黑体" w:eastAsia="黑体" w:cs="宋体"/>
          <w:bCs/>
          <w:kern w:val="0"/>
          <w:sz w:val="32"/>
          <w:szCs w:val="32"/>
          <w:highlight w:val="none"/>
          <w:lang w:val="en-US" w:eastAsia="zh-CN"/>
        </w:rPr>
        <w:t>八</w:t>
      </w:r>
      <w:r>
        <w:rPr>
          <w:rFonts w:hint="eastAsia" w:ascii="黑体" w:hAnsi="黑体" w:eastAsia="黑体" w:cs="宋体"/>
          <w:bCs/>
          <w:kern w:val="0"/>
          <w:sz w:val="32"/>
          <w:szCs w:val="32"/>
          <w:highlight w:val="none"/>
          <w:lang w:eastAsia="zh-CN"/>
        </w:rPr>
        <w:t>、国有资本经营预算财政拨款收入支出决算情况说明</w:t>
      </w:r>
      <w:bookmarkEnd w:id="25"/>
    </w:p>
    <w:p>
      <w:pPr>
        <w:keepNext w:val="0"/>
        <w:keepLines w:val="0"/>
        <w:pageBreakBefore w:val="0"/>
        <w:widowControl w:val="0"/>
        <w:kinsoku/>
        <w:wordWrap/>
        <w:overflowPunct/>
        <w:topLinePunct w:val="0"/>
        <w:bidi w:val="0"/>
        <w:adjustRightInd/>
        <w:snapToGrid/>
        <w:spacing w:line="560" w:lineRule="exact"/>
        <w:ind w:firstLine="643" w:firstLineChars="200"/>
        <w:textAlignment w:val="auto"/>
        <w:rPr>
          <w:rFonts w:hint="eastAsia" w:ascii="仿宋_GB2312" w:eastAsia="仿宋_GB2312"/>
          <w:sz w:val="32"/>
          <w:szCs w:val="32"/>
          <w:highlight w:val="none"/>
          <w:lang w:eastAsia="zh-CN"/>
        </w:rPr>
      </w:pPr>
      <w:r>
        <w:rPr>
          <w:rFonts w:hint="eastAsia" w:ascii="仿宋_GB2312" w:eastAsia="仿宋_GB2312"/>
          <w:b/>
          <w:bCs/>
          <w:spacing w:val="0"/>
          <w:sz w:val="32"/>
          <w:szCs w:val="32"/>
          <w:highlight w:val="none"/>
          <w:lang w:eastAsia="zh-CN"/>
        </w:rPr>
        <w:t>2024年度国有资本经营</w:t>
      </w:r>
      <w:r>
        <w:rPr>
          <w:rFonts w:hint="eastAsia" w:ascii="仿宋_GB2312" w:eastAsia="仿宋_GB2312"/>
          <w:b/>
          <w:bCs/>
          <w:sz w:val="32"/>
          <w:szCs w:val="32"/>
          <w:highlight w:val="none"/>
        </w:rPr>
        <w:t>预算</w:t>
      </w:r>
      <w:r>
        <w:rPr>
          <w:rFonts w:hint="eastAsia" w:ascii="仿宋_GB2312" w:eastAsia="仿宋_GB2312"/>
          <w:b/>
          <w:bCs/>
          <w:sz w:val="32"/>
          <w:szCs w:val="32"/>
          <w:highlight w:val="none"/>
          <w:lang w:val="en-US" w:eastAsia="zh-CN"/>
        </w:rPr>
        <w:t>财政拨款</w:t>
      </w:r>
      <w:r>
        <w:rPr>
          <w:rFonts w:hint="eastAsia" w:ascii="仿宋_GB2312" w:eastAsia="仿宋_GB2312"/>
          <w:b/>
          <w:bCs/>
          <w:sz w:val="32"/>
          <w:szCs w:val="32"/>
          <w:highlight w:val="none"/>
        </w:rPr>
        <w:t>收入</w:t>
      </w:r>
      <w:r>
        <w:rPr>
          <w:rFonts w:hint="eastAsia" w:ascii="仿宋_GB2312" w:eastAsia="仿宋_GB2312"/>
          <w:b/>
          <w:bCs/>
          <w:sz w:val="32"/>
          <w:szCs w:val="32"/>
          <w:highlight w:val="none"/>
          <w:lang w:val="en-US" w:eastAsia="zh-CN"/>
        </w:rPr>
        <w:t>总计0.03</w:t>
      </w:r>
      <w:r>
        <w:rPr>
          <w:rFonts w:hint="eastAsia" w:ascii="仿宋_GB2312" w:eastAsia="仿宋_GB2312"/>
          <w:b/>
          <w:bCs/>
          <w:sz w:val="32"/>
          <w:szCs w:val="32"/>
          <w:highlight w:val="none"/>
        </w:rPr>
        <w:t>万元，</w:t>
      </w:r>
      <w:r>
        <w:rPr>
          <w:rFonts w:hint="eastAsia" w:ascii="仿宋_GB2312" w:eastAsia="仿宋_GB2312"/>
          <w:sz w:val="32"/>
          <w:szCs w:val="32"/>
          <w:highlight w:val="none"/>
          <w:lang w:val="en-US" w:eastAsia="zh-CN"/>
        </w:rPr>
        <w:t>其中：年初结转和结余0.00</w:t>
      </w:r>
      <w:r>
        <w:rPr>
          <w:rFonts w:hint="eastAsia" w:ascii="仿宋_GB2312" w:eastAsia="仿宋_GB2312"/>
          <w:sz w:val="32"/>
          <w:szCs w:val="32"/>
          <w:highlight w:val="none"/>
        </w:rPr>
        <w:t>万元</w:t>
      </w:r>
      <w:r>
        <w:rPr>
          <w:rFonts w:hint="eastAsia" w:ascii="仿宋_GB2312" w:eastAsia="仿宋_GB2312"/>
          <w:sz w:val="32"/>
          <w:szCs w:val="32"/>
          <w:highlight w:val="none"/>
          <w:lang w:eastAsia="zh-CN"/>
        </w:rPr>
        <w:t>，</w:t>
      </w:r>
      <w:r>
        <w:rPr>
          <w:rFonts w:hint="eastAsia" w:ascii="仿宋_GB2312" w:eastAsia="仿宋_GB2312"/>
          <w:sz w:val="32"/>
          <w:szCs w:val="32"/>
          <w:highlight w:val="none"/>
          <w:lang w:val="en-US" w:eastAsia="zh-CN"/>
        </w:rPr>
        <w:t>本年收入0.03</w:t>
      </w:r>
      <w:r>
        <w:rPr>
          <w:rFonts w:hint="eastAsia" w:ascii="仿宋_GB2312" w:eastAsia="仿宋_GB2312"/>
          <w:sz w:val="32"/>
          <w:szCs w:val="32"/>
          <w:highlight w:val="none"/>
        </w:rPr>
        <w:t>万元</w:t>
      </w:r>
      <w:r>
        <w:rPr>
          <w:rFonts w:hint="eastAsia" w:ascii="仿宋_GB2312" w:eastAsia="仿宋_GB2312"/>
          <w:sz w:val="32"/>
          <w:szCs w:val="32"/>
          <w:highlight w:val="none"/>
          <w:lang w:eastAsia="zh-CN"/>
        </w:rPr>
        <w:t>。</w:t>
      </w:r>
      <w:r>
        <w:rPr>
          <w:rFonts w:hint="eastAsia" w:ascii="仿宋_GB2312" w:eastAsia="仿宋_GB2312"/>
          <w:b/>
          <w:bCs/>
          <w:spacing w:val="0"/>
          <w:sz w:val="32"/>
          <w:szCs w:val="32"/>
          <w:highlight w:val="none"/>
          <w:lang w:eastAsia="zh-CN"/>
        </w:rPr>
        <w:t>国有资本经营</w:t>
      </w:r>
      <w:r>
        <w:rPr>
          <w:rFonts w:hint="eastAsia" w:ascii="仿宋_GB2312" w:eastAsia="仿宋_GB2312"/>
          <w:b/>
          <w:bCs/>
          <w:sz w:val="32"/>
          <w:szCs w:val="32"/>
          <w:highlight w:val="none"/>
        </w:rPr>
        <w:t>预算财政拨款支出</w:t>
      </w:r>
      <w:r>
        <w:rPr>
          <w:rFonts w:hint="eastAsia" w:ascii="仿宋_GB2312" w:eastAsia="仿宋_GB2312"/>
          <w:b/>
          <w:bCs/>
          <w:sz w:val="32"/>
          <w:szCs w:val="32"/>
          <w:highlight w:val="none"/>
          <w:lang w:val="en-US" w:eastAsia="zh-CN"/>
        </w:rPr>
        <w:t>总计0.03</w:t>
      </w:r>
      <w:r>
        <w:rPr>
          <w:rFonts w:hint="eastAsia" w:ascii="仿宋_GB2312" w:eastAsia="仿宋_GB2312"/>
          <w:b/>
          <w:bCs/>
          <w:sz w:val="32"/>
          <w:szCs w:val="32"/>
          <w:highlight w:val="none"/>
        </w:rPr>
        <w:t>万元，</w:t>
      </w:r>
      <w:r>
        <w:rPr>
          <w:rFonts w:hint="eastAsia" w:ascii="仿宋_GB2312" w:eastAsia="仿宋_GB2312"/>
          <w:sz w:val="32"/>
          <w:szCs w:val="32"/>
          <w:highlight w:val="none"/>
          <w:lang w:val="en-US" w:eastAsia="zh-CN"/>
        </w:rPr>
        <w:t>其中：年末结转和结余0.00</w:t>
      </w:r>
      <w:r>
        <w:rPr>
          <w:rFonts w:hint="eastAsia" w:ascii="仿宋_GB2312" w:eastAsia="仿宋_GB2312"/>
          <w:sz w:val="32"/>
          <w:szCs w:val="32"/>
          <w:highlight w:val="none"/>
        </w:rPr>
        <w:t>万元</w:t>
      </w:r>
      <w:r>
        <w:rPr>
          <w:rFonts w:hint="eastAsia" w:ascii="仿宋_GB2312" w:eastAsia="仿宋_GB2312"/>
          <w:sz w:val="32"/>
          <w:szCs w:val="32"/>
          <w:highlight w:val="none"/>
          <w:lang w:eastAsia="zh-CN"/>
        </w:rPr>
        <w:t>，</w:t>
      </w:r>
      <w:r>
        <w:rPr>
          <w:rFonts w:hint="eastAsia" w:ascii="仿宋_GB2312" w:eastAsia="仿宋_GB2312"/>
          <w:sz w:val="32"/>
          <w:szCs w:val="32"/>
          <w:highlight w:val="none"/>
          <w:lang w:val="en-US" w:eastAsia="zh-CN"/>
        </w:rPr>
        <w:t>本年支出0.03</w:t>
      </w:r>
      <w:r>
        <w:rPr>
          <w:rFonts w:hint="eastAsia" w:ascii="仿宋_GB2312" w:eastAsia="仿宋_GB2312"/>
          <w:sz w:val="32"/>
          <w:szCs w:val="32"/>
          <w:highlight w:val="none"/>
        </w:rPr>
        <w:t>万元</w:t>
      </w:r>
      <w:r>
        <w:rPr>
          <w:rFonts w:hint="eastAsia" w:ascii="仿宋_GB2312" w:eastAsia="仿宋_GB2312"/>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_GB2312" w:eastAsia="仿宋_GB2312"/>
          <w:spacing w:val="0"/>
          <w:sz w:val="32"/>
          <w:szCs w:val="32"/>
          <w:highlight w:val="none"/>
          <w:lang w:eastAsia="zh-CN"/>
        </w:rPr>
      </w:pPr>
      <w:r>
        <w:rPr>
          <w:rFonts w:hint="eastAsia" w:ascii="仿宋_GB2312" w:eastAsia="仿宋_GB2312"/>
          <w:b/>
          <w:bCs/>
          <w:sz w:val="32"/>
          <w:szCs w:val="32"/>
          <w:highlight w:val="none"/>
          <w:lang w:eastAsia="zh-CN"/>
        </w:rPr>
        <w:t>国有资本经营预算财政拨款收入支出</w:t>
      </w:r>
      <w:r>
        <w:rPr>
          <w:rFonts w:hint="eastAsia" w:ascii="仿宋_GB2312" w:eastAsia="仿宋_GB2312"/>
          <w:b/>
          <w:bCs/>
          <w:sz w:val="32"/>
          <w:szCs w:val="32"/>
          <w:highlight w:val="none"/>
          <w:lang w:val="en-US" w:eastAsia="zh-CN"/>
        </w:rPr>
        <w:t>总体</w:t>
      </w:r>
      <w:r>
        <w:rPr>
          <w:rFonts w:hint="eastAsia" w:ascii="仿宋_GB2312" w:eastAsia="仿宋_GB2312"/>
          <w:b/>
          <w:bCs/>
          <w:sz w:val="32"/>
          <w:szCs w:val="32"/>
          <w:highlight w:val="none"/>
        </w:rPr>
        <w:t>与上年相比，</w:t>
      </w:r>
      <w:r>
        <w:rPr>
          <w:rFonts w:hint="eastAsia" w:ascii="仿宋_GB2312" w:eastAsia="仿宋_GB2312"/>
          <w:sz w:val="32"/>
          <w:szCs w:val="32"/>
          <w:highlight w:val="none"/>
        </w:rPr>
        <w:t>减少</w:t>
      </w:r>
      <w:r>
        <w:rPr>
          <w:rFonts w:hint="eastAsia" w:ascii="仿宋_GB2312" w:eastAsia="仿宋_GB2312"/>
          <w:sz w:val="32"/>
          <w:szCs w:val="32"/>
          <w:highlight w:val="none"/>
          <w:lang w:val="en-US" w:eastAsia="zh-CN"/>
        </w:rPr>
        <w:t>0.02</w:t>
      </w:r>
      <w:r>
        <w:rPr>
          <w:rFonts w:hint="eastAsia" w:ascii="仿宋_GB2312" w:eastAsia="仿宋_GB2312"/>
          <w:sz w:val="32"/>
          <w:szCs w:val="32"/>
          <w:highlight w:val="none"/>
        </w:rPr>
        <w:t>万元，</w:t>
      </w:r>
      <w:r>
        <w:rPr>
          <w:rFonts w:hint="eastAsia" w:ascii="仿宋_GB2312" w:eastAsia="仿宋_GB2312"/>
          <w:sz w:val="32"/>
          <w:szCs w:val="32"/>
          <w:highlight w:val="none"/>
          <w:lang w:eastAsia="zh-CN"/>
        </w:rPr>
        <w:t>下降</w:t>
      </w:r>
      <w:r>
        <w:rPr>
          <w:rFonts w:hint="eastAsia" w:ascii="仿宋_GB2312" w:eastAsia="仿宋_GB2312"/>
          <w:sz w:val="32"/>
          <w:szCs w:val="32"/>
          <w:highlight w:val="none"/>
          <w:lang w:val="en-US" w:eastAsia="zh-CN"/>
        </w:rPr>
        <w:t>40.00</w:t>
      </w:r>
      <w:r>
        <w:rPr>
          <w:rFonts w:hint="eastAsia" w:ascii="仿宋_GB2312" w:eastAsia="仿宋_GB2312"/>
          <w:sz w:val="32"/>
          <w:szCs w:val="32"/>
          <w:highlight w:val="none"/>
        </w:rPr>
        <w:t>%，</w:t>
      </w:r>
      <w:r>
        <w:rPr>
          <w:rFonts w:hint="eastAsia" w:ascii="仿宋_GB2312" w:eastAsia="仿宋_GB2312"/>
          <w:sz w:val="32"/>
          <w:szCs w:val="32"/>
          <w:highlight w:val="none"/>
          <w:lang w:eastAsia="zh-CN"/>
        </w:rPr>
        <w:t>主要原因是</w:t>
      </w:r>
      <w:r>
        <w:rPr>
          <w:rFonts w:hint="eastAsia" w:ascii="仿宋_GB2312" w:eastAsia="仿宋_GB2312"/>
          <w:sz w:val="32"/>
          <w:szCs w:val="32"/>
          <w:highlight w:val="none"/>
        </w:rPr>
        <w:t>：</w:t>
      </w:r>
      <w:r>
        <w:rPr>
          <w:rFonts w:hint="eastAsia" w:ascii="仿宋_GB2312" w:eastAsia="仿宋_GB2312"/>
          <w:sz w:val="32"/>
          <w:szCs w:val="32"/>
          <w:highlight w:val="none"/>
          <w:lang w:val="en-US" w:eastAsia="zh-CN"/>
        </w:rPr>
        <w:t>我镇</w:t>
      </w:r>
      <w:r>
        <w:rPr>
          <w:rFonts w:hint="eastAsia" w:ascii="仿宋_GB2312" w:hAnsi="仿宋_GB2312" w:eastAsia="仿宋_GB2312" w:cs="仿宋_GB2312"/>
          <w:kern w:val="0"/>
          <w:sz w:val="32"/>
          <w:szCs w:val="32"/>
          <w:highlight w:val="none"/>
        </w:rPr>
        <w:t>国有企业退休人员</w:t>
      </w:r>
      <w:r>
        <w:rPr>
          <w:rFonts w:hint="eastAsia" w:ascii="仿宋_GB2312" w:eastAsia="仿宋_GB2312"/>
          <w:sz w:val="32"/>
          <w:szCs w:val="32"/>
          <w:highlight w:val="none"/>
          <w:lang w:val="en-US" w:eastAsia="zh-CN"/>
        </w:rPr>
        <w:t>减少，支出相应减少</w:t>
      </w:r>
      <w:r>
        <w:rPr>
          <w:rFonts w:hint="eastAsia" w:ascii="仿宋_GB2312" w:eastAsia="仿宋_GB2312"/>
          <w:sz w:val="32"/>
          <w:szCs w:val="32"/>
          <w:highlight w:val="none"/>
        </w:rPr>
        <w:t>。</w:t>
      </w:r>
      <w:r>
        <w:rPr>
          <w:rFonts w:hint="eastAsia" w:ascii="仿宋_GB2312" w:eastAsia="仿宋_GB2312"/>
          <w:b/>
          <w:bCs/>
          <w:sz w:val="32"/>
          <w:szCs w:val="32"/>
          <w:highlight w:val="none"/>
        </w:rPr>
        <w:t>与</w:t>
      </w:r>
      <w:r>
        <w:rPr>
          <w:rFonts w:hint="eastAsia" w:ascii="仿宋_GB2312" w:eastAsia="仿宋_GB2312"/>
          <w:b/>
          <w:bCs/>
          <w:sz w:val="32"/>
          <w:szCs w:val="32"/>
          <w:highlight w:val="none"/>
          <w:lang w:eastAsia="zh-CN"/>
        </w:rPr>
        <w:t>年初预算</w:t>
      </w:r>
      <w:r>
        <w:rPr>
          <w:rFonts w:hint="eastAsia" w:ascii="仿宋_GB2312" w:eastAsia="仿宋_GB2312"/>
          <w:b/>
          <w:bCs/>
          <w:sz w:val="32"/>
          <w:szCs w:val="32"/>
          <w:highlight w:val="none"/>
        </w:rPr>
        <w:t>相比</w:t>
      </w:r>
      <w:r>
        <w:rPr>
          <w:rFonts w:hint="eastAsia" w:ascii="仿宋_GB2312" w:eastAsia="仿宋_GB2312"/>
          <w:b/>
          <w:bCs/>
          <w:sz w:val="32"/>
          <w:szCs w:val="32"/>
          <w:highlight w:val="none"/>
          <w:lang w:eastAsia="zh-CN"/>
        </w:rPr>
        <w:t>，</w:t>
      </w:r>
      <w:r>
        <w:rPr>
          <w:rFonts w:hint="eastAsia" w:ascii="仿宋_GB2312" w:eastAsia="仿宋_GB2312"/>
          <w:b w:val="0"/>
          <w:bCs w:val="0"/>
          <w:sz w:val="32"/>
          <w:szCs w:val="32"/>
          <w:highlight w:val="none"/>
          <w:lang w:eastAsia="zh-CN"/>
        </w:rPr>
        <w:t>年初</w:t>
      </w:r>
      <w:r>
        <w:rPr>
          <w:rFonts w:hint="eastAsia" w:ascii="仿宋_GB2312" w:eastAsia="仿宋_GB2312"/>
          <w:sz w:val="32"/>
          <w:szCs w:val="32"/>
          <w:highlight w:val="none"/>
          <w:lang w:eastAsia="zh-CN"/>
        </w:rPr>
        <w:t>预算数</w:t>
      </w:r>
      <w:r>
        <w:rPr>
          <w:rFonts w:hint="eastAsia" w:ascii="仿宋_GB2312" w:eastAsia="仿宋_GB2312"/>
          <w:sz w:val="32"/>
          <w:szCs w:val="32"/>
          <w:highlight w:val="none"/>
          <w:lang w:val="en-US" w:eastAsia="zh-CN"/>
        </w:rPr>
        <w:t>0.00</w:t>
      </w:r>
      <w:r>
        <w:rPr>
          <w:rFonts w:hint="eastAsia" w:ascii="仿宋_GB2312" w:eastAsia="仿宋_GB2312"/>
          <w:sz w:val="32"/>
          <w:szCs w:val="32"/>
          <w:highlight w:val="none"/>
        </w:rPr>
        <w:t>万元，决算数</w:t>
      </w:r>
      <w:r>
        <w:rPr>
          <w:rFonts w:hint="eastAsia" w:ascii="仿宋_GB2312" w:eastAsia="仿宋_GB2312"/>
          <w:sz w:val="32"/>
          <w:szCs w:val="32"/>
          <w:highlight w:val="none"/>
          <w:lang w:val="en-US" w:eastAsia="zh-CN"/>
        </w:rPr>
        <w:t>0.03</w:t>
      </w:r>
      <w:r>
        <w:rPr>
          <w:rFonts w:hint="eastAsia" w:ascii="仿宋_GB2312" w:eastAsia="仿宋_GB2312"/>
          <w:sz w:val="32"/>
          <w:szCs w:val="32"/>
          <w:highlight w:val="none"/>
        </w:rPr>
        <w:t>万元，预决算差异率</w:t>
      </w:r>
      <w:r>
        <w:rPr>
          <w:rFonts w:hint="eastAsia" w:ascii="仿宋_GB2312" w:eastAsia="仿宋_GB2312"/>
          <w:sz w:val="32"/>
          <w:szCs w:val="32"/>
          <w:highlight w:val="none"/>
          <w:lang w:val="en-US" w:eastAsia="zh-CN"/>
        </w:rPr>
        <w:t>100</w:t>
      </w:r>
      <w:r>
        <w:rPr>
          <w:rFonts w:hint="eastAsia" w:ascii="仿宋_GB2312" w:eastAsia="仿宋_GB2312"/>
          <w:sz w:val="32"/>
          <w:szCs w:val="32"/>
          <w:highlight w:val="none"/>
        </w:rPr>
        <w:t>%</w:t>
      </w:r>
      <w:r>
        <w:rPr>
          <w:rFonts w:hint="eastAsia" w:ascii="仿宋_GB2312" w:eastAsia="仿宋_GB2312"/>
          <w:sz w:val="32"/>
          <w:szCs w:val="32"/>
          <w:highlight w:val="none"/>
          <w:lang w:eastAsia="zh-CN"/>
        </w:rPr>
        <w:t>，主要原因是：</w:t>
      </w:r>
      <w:r>
        <w:rPr>
          <w:rFonts w:hint="eastAsia" w:ascii="仿宋_GB2312" w:eastAsia="仿宋_GB2312"/>
          <w:sz w:val="32"/>
          <w:szCs w:val="32"/>
          <w:highlight w:val="none"/>
          <w:lang w:val="en-US" w:eastAsia="zh-CN"/>
        </w:rPr>
        <w:t>此款项为年终追加项目</w:t>
      </w:r>
      <w:r>
        <w:rPr>
          <w:rFonts w:hint="eastAsia" w:ascii="仿宋_GB2312" w:eastAsia="仿宋_GB2312"/>
          <w:sz w:val="32"/>
          <w:szCs w:val="32"/>
          <w:highlight w:val="none"/>
        </w:rPr>
        <w:t>。</w:t>
      </w:r>
    </w:p>
    <w:p>
      <w:pPr>
        <w:keepNext w:val="0"/>
        <w:keepLines w:val="0"/>
        <w:pageBreakBefore w:val="0"/>
        <w:widowControl w:val="0"/>
        <w:kinsoku/>
        <w:wordWrap/>
        <w:overflowPunct/>
        <w:topLinePunct w:val="0"/>
        <w:bidi w:val="0"/>
        <w:adjustRightInd/>
        <w:snapToGrid/>
        <w:spacing w:line="560" w:lineRule="exact"/>
        <w:ind w:firstLine="643" w:firstLineChars="200"/>
        <w:textAlignment w:val="auto"/>
        <w:rPr>
          <w:rFonts w:hint="eastAsia" w:ascii="仿宋_GB2312" w:eastAsia="仿宋_GB2312"/>
          <w:b/>
          <w:bCs/>
          <w:sz w:val="32"/>
          <w:szCs w:val="32"/>
          <w:highlight w:val="none"/>
          <w:lang w:eastAsia="zh-CN"/>
        </w:rPr>
      </w:pPr>
      <w:r>
        <w:rPr>
          <w:rFonts w:hint="eastAsia" w:ascii="仿宋_GB2312" w:eastAsia="仿宋_GB2312"/>
          <w:b/>
          <w:bCs/>
          <w:spacing w:val="0"/>
          <w:sz w:val="32"/>
          <w:szCs w:val="32"/>
          <w:highlight w:val="none"/>
          <w:lang w:eastAsia="zh-CN"/>
        </w:rPr>
        <w:t>国有资本经营</w:t>
      </w:r>
      <w:r>
        <w:rPr>
          <w:rFonts w:hint="eastAsia" w:ascii="仿宋_GB2312" w:eastAsia="仿宋_GB2312"/>
          <w:b/>
          <w:bCs/>
          <w:sz w:val="32"/>
          <w:szCs w:val="32"/>
          <w:highlight w:val="none"/>
        </w:rPr>
        <w:t>预算财政拨款支出</w:t>
      </w:r>
      <w:r>
        <w:rPr>
          <w:rFonts w:hint="eastAsia" w:ascii="仿宋_GB2312" w:eastAsia="仿宋_GB2312"/>
          <w:b/>
          <w:bCs/>
          <w:sz w:val="32"/>
          <w:szCs w:val="32"/>
          <w:highlight w:val="none"/>
          <w:lang w:val="en-US" w:eastAsia="zh-CN"/>
        </w:rPr>
        <w:t>0.03</w:t>
      </w:r>
      <w:r>
        <w:rPr>
          <w:rFonts w:hint="eastAsia" w:ascii="仿宋_GB2312" w:eastAsia="仿宋_GB2312"/>
          <w:b/>
          <w:bCs/>
          <w:sz w:val="32"/>
          <w:szCs w:val="32"/>
          <w:highlight w:val="none"/>
        </w:rPr>
        <w:t>万元</w:t>
      </w:r>
      <w:r>
        <w:rPr>
          <w:rFonts w:hint="eastAsia" w:ascii="仿宋_GB2312" w:eastAsia="仿宋_GB2312"/>
          <w:b/>
          <w:bCs/>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default" w:ascii="仿宋_GB2312" w:hAnsi="仿宋_GB2312" w:eastAsia="仿宋_GB2312" w:cs="仿宋_GB2312"/>
          <w:kern w:val="0"/>
          <w:sz w:val="32"/>
          <w:szCs w:val="32"/>
          <w:highlight w:val="none"/>
          <w:lang w:val="en-US" w:eastAsia="zh-CN"/>
        </w:rPr>
      </w:pPr>
      <w:r>
        <w:rPr>
          <w:rFonts w:hint="eastAsia" w:ascii="仿宋_GB2312" w:hAnsi="仿宋_GB2312" w:eastAsia="仿宋_GB2312" w:cs="仿宋_GB2312"/>
          <w:kern w:val="0"/>
          <w:sz w:val="32"/>
          <w:szCs w:val="32"/>
          <w:highlight w:val="none"/>
        </w:rPr>
        <w:t>1</w:t>
      </w:r>
      <w:r>
        <w:rPr>
          <w:rFonts w:hint="eastAsia" w:ascii="仿宋_GB2312" w:hAnsi="仿宋_GB2312" w:eastAsia="仿宋_GB2312" w:cs="仿宋_GB2312"/>
          <w:kern w:val="0"/>
          <w:sz w:val="32"/>
          <w:szCs w:val="32"/>
          <w:highlight w:val="none"/>
          <w:lang w:eastAsia="zh-CN"/>
        </w:rPr>
        <w:t>.</w:t>
      </w:r>
      <w:r>
        <w:rPr>
          <w:rFonts w:hint="eastAsia" w:ascii="仿宋_GB2312" w:hAnsi="仿宋_GB2312" w:eastAsia="仿宋_GB2312" w:cs="仿宋_GB2312"/>
          <w:kern w:val="0"/>
          <w:sz w:val="32"/>
          <w:szCs w:val="32"/>
          <w:highlight w:val="none"/>
        </w:rPr>
        <w:t>国有资本经营预算支出（类）解决历史遗留问题及改革成本支出（款）国有企业退休人员社会化管理补助支出（项）:</w:t>
      </w:r>
      <w:r>
        <w:rPr>
          <w:rFonts w:hint="eastAsia" w:ascii="仿宋_GB2312" w:hAnsi="仿宋_GB2312" w:eastAsia="仿宋_GB2312" w:cs="仿宋_GB2312"/>
          <w:kern w:val="0"/>
          <w:sz w:val="32"/>
          <w:szCs w:val="32"/>
          <w:highlight w:val="none"/>
          <w:lang w:val="en-US" w:eastAsia="zh-CN"/>
        </w:rPr>
        <w:t>支出决算数</w:t>
      </w:r>
      <w:r>
        <w:rPr>
          <w:rFonts w:hint="eastAsia" w:ascii="仿宋_GB2312" w:hAnsi="仿宋_GB2312" w:eastAsia="仿宋_GB2312" w:cs="仿宋_GB2312"/>
          <w:kern w:val="0"/>
          <w:sz w:val="32"/>
          <w:szCs w:val="32"/>
          <w:highlight w:val="none"/>
        </w:rPr>
        <w:t>为</w:t>
      </w:r>
      <w:r>
        <w:rPr>
          <w:rFonts w:hint="eastAsia" w:ascii="仿宋_GB2312" w:hAnsi="仿宋_GB2312" w:eastAsia="仿宋_GB2312" w:cs="仿宋_GB2312"/>
          <w:kern w:val="0"/>
          <w:sz w:val="32"/>
          <w:szCs w:val="32"/>
          <w:highlight w:val="none"/>
          <w:lang w:val="en-US" w:eastAsia="zh-CN"/>
        </w:rPr>
        <w:t>0.03</w:t>
      </w:r>
      <w:r>
        <w:rPr>
          <w:rFonts w:hint="eastAsia" w:ascii="仿宋_GB2312" w:hAnsi="仿宋_GB2312" w:eastAsia="仿宋_GB2312" w:cs="仿宋_GB2312"/>
          <w:kern w:val="0"/>
          <w:sz w:val="32"/>
          <w:szCs w:val="32"/>
          <w:highlight w:val="none"/>
        </w:rPr>
        <w:t>万元，比上年</w:t>
      </w:r>
      <w:r>
        <w:rPr>
          <w:rFonts w:hint="eastAsia" w:ascii="仿宋_GB2312" w:hAnsi="仿宋_GB2312" w:eastAsia="仿宋_GB2312" w:cs="仿宋_GB2312"/>
          <w:kern w:val="0"/>
          <w:sz w:val="32"/>
          <w:szCs w:val="32"/>
          <w:highlight w:val="none"/>
          <w:lang w:val="en-US" w:eastAsia="zh-CN"/>
        </w:rPr>
        <w:t>决算</w:t>
      </w:r>
      <w:r>
        <w:rPr>
          <w:rFonts w:hint="eastAsia" w:ascii="仿宋_GB2312" w:hAnsi="仿宋_GB2312" w:eastAsia="仿宋_GB2312" w:cs="仿宋_GB2312"/>
          <w:kern w:val="0"/>
          <w:sz w:val="32"/>
          <w:szCs w:val="32"/>
          <w:highlight w:val="none"/>
        </w:rPr>
        <w:t>减少</w:t>
      </w:r>
      <w:r>
        <w:rPr>
          <w:rFonts w:hint="eastAsia" w:ascii="仿宋_GB2312" w:hAnsi="仿宋_GB2312" w:eastAsia="仿宋_GB2312" w:cs="仿宋_GB2312"/>
          <w:kern w:val="0"/>
          <w:sz w:val="32"/>
          <w:szCs w:val="32"/>
          <w:highlight w:val="none"/>
          <w:lang w:val="en-US" w:eastAsia="zh-CN"/>
        </w:rPr>
        <w:t>0.02</w:t>
      </w:r>
      <w:r>
        <w:rPr>
          <w:rFonts w:hint="eastAsia" w:ascii="仿宋_GB2312" w:hAnsi="仿宋_GB2312" w:eastAsia="仿宋_GB2312" w:cs="仿宋_GB2312"/>
          <w:kern w:val="0"/>
          <w:sz w:val="32"/>
          <w:szCs w:val="32"/>
          <w:highlight w:val="none"/>
        </w:rPr>
        <w:t>万元，下降</w:t>
      </w:r>
      <w:r>
        <w:rPr>
          <w:rFonts w:hint="eastAsia" w:ascii="仿宋_GB2312" w:hAnsi="仿宋_GB2312" w:eastAsia="仿宋_GB2312" w:cs="仿宋_GB2312"/>
          <w:kern w:val="0"/>
          <w:sz w:val="32"/>
          <w:szCs w:val="32"/>
          <w:highlight w:val="none"/>
          <w:lang w:val="en-US" w:eastAsia="zh-CN"/>
        </w:rPr>
        <w:t>40.00</w:t>
      </w:r>
      <w:r>
        <w:rPr>
          <w:rFonts w:hint="eastAsia" w:ascii="仿宋_GB2312" w:hAnsi="仿宋_GB2312" w:eastAsia="仿宋_GB2312" w:cs="仿宋_GB2312"/>
          <w:kern w:val="0"/>
          <w:sz w:val="32"/>
          <w:szCs w:val="32"/>
          <w:highlight w:val="none"/>
        </w:rPr>
        <w:t>%，主要原因是：</w:t>
      </w:r>
      <w:r>
        <w:rPr>
          <w:rFonts w:hint="eastAsia" w:ascii="仿宋_GB2312" w:eastAsia="仿宋_GB2312"/>
          <w:sz w:val="32"/>
          <w:szCs w:val="32"/>
          <w:highlight w:val="none"/>
          <w:lang w:val="en-US" w:eastAsia="zh-CN"/>
        </w:rPr>
        <w:t>我镇</w:t>
      </w:r>
      <w:r>
        <w:rPr>
          <w:rFonts w:hint="eastAsia" w:ascii="仿宋_GB2312" w:hAnsi="仿宋_GB2312" w:eastAsia="仿宋_GB2312" w:cs="仿宋_GB2312"/>
          <w:kern w:val="0"/>
          <w:sz w:val="32"/>
          <w:szCs w:val="32"/>
          <w:highlight w:val="none"/>
        </w:rPr>
        <w:t>国有企业退休人员</w:t>
      </w:r>
      <w:r>
        <w:rPr>
          <w:rFonts w:hint="eastAsia" w:ascii="仿宋_GB2312" w:eastAsia="仿宋_GB2312"/>
          <w:sz w:val="32"/>
          <w:szCs w:val="32"/>
          <w:highlight w:val="none"/>
          <w:lang w:val="en-US" w:eastAsia="zh-CN"/>
        </w:rPr>
        <w:t>减少，支出相应减少</w:t>
      </w:r>
      <w:r>
        <w:rPr>
          <w:rFonts w:hint="eastAsia" w:ascii="仿宋_GB2312" w:eastAsia="仿宋_GB2312"/>
          <w:sz w:val="32"/>
          <w:szCs w:val="32"/>
          <w:highlight w:val="none"/>
        </w:rPr>
        <w:t>。</w:t>
      </w: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1"/>
        <w:rPr>
          <w:rFonts w:hint="eastAsia" w:ascii="黑体" w:hAnsi="黑体" w:eastAsia="黑体" w:cs="宋体"/>
          <w:bCs/>
          <w:kern w:val="0"/>
          <w:sz w:val="32"/>
          <w:szCs w:val="32"/>
          <w:highlight w:val="none"/>
          <w:lang w:eastAsia="zh-CN"/>
        </w:rPr>
      </w:pPr>
      <w:bookmarkStart w:id="26" w:name="_Toc9161"/>
      <w:bookmarkStart w:id="27" w:name="_Toc7190"/>
      <w:r>
        <w:rPr>
          <w:rFonts w:hint="eastAsia" w:ascii="黑体" w:hAnsi="黑体" w:eastAsia="黑体" w:cs="宋体"/>
          <w:bCs/>
          <w:kern w:val="0"/>
          <w:sz w:val="32"/>
          <w:szCs w:val="32"/>
          <w:highlight w:val="none"/>
          <w:lang w:val="en-US" w:eastAsia="zh-CN"/>
        </w:rPr>
        <w:t>九</w:t>
      </w:r>
      <w:r>
        <w:rPr>
          <w:rFonts w:hint="eastAsia" w:ascii="黑体" w:hAnsi="黑体" w:eastAsia="黑体" w:cs="宋体"/>
          <w:bCs/>
          <w:kern w:val="0"/>
          <w:sz w:val="32"/>
          <w:szCs w:val="32"/>
          <w:highlight w:val="none"/>
          <w:lang w:eastAsia="zh-CN"/>
        </w:rPr>
        <w:t>、财政拨款</w:t>
      </w:r>
      <w:r>
        <w:rPr>
          <w:rFonts w:hint="eastAsia" w:ascii="黑体" w:hAnsi="黑体" w:eastAsia="黑体" w:cs="宋体"/>
          <w:bCs/>
          <w:kern w:val="0"/>
          <w:sz w:val="32"/>
          <w:szCs w:val="32"/>
          <w:highlight w:val="none"/>
        </w:rPr>
        <w:t>“三公”经费支出</w:t>
      </w:r>
      <w:r>
        <w:rPr>
          <w:rFonts w:hint="eastAsia" w:ascii="黑体" w:hAnsi="黑体" w:eastAsia="黑体" w:cs="宋体"/>
          <w:bCs/>
          <w:kern w:val="0"/>
          <w:sz w:val="32"/>
          <w:szCs w:val="32"/>
          <w:highlight w:val="none"/>
          <w:lang w:eastAsia="zh-CN"/>
        </w:rPr>
        <w:t>决算</w:t>
      </w:r>
      <w:r>
        <w:rPr>
          <w:rFonts w:hint="eastAsia" w:ascii="黑体" w:hAnsi="黑体" w:eastAsia="黑体" w:cs="宋体"/>
          <w:bCs/>
          <w:kern w:val="0"/>
          <w:sz w:val="32"/>
          <w:szCs w:val="32"/>
          <w:highlight w:val="none"/>
        </w:rPr>
        <w:t>情况</w:t>
      </w:r>
      <w:r>
        <w:rPr>
          <w:rFonts w:hint="eastAsia" w:ascii="黑体" w:hAnsi="黑体" w:eastAsia="黑体" w:cs="宋体"/>
          <w:bCs/>
          <w:kern w:val="0"/>
          <w:sz w:val="32"/>
          <w:szCs w:val="32"/>
          <w:highlight w:val="none"/>
          <w:lang w:eastAsia="zh-CN"/>
        </w:rPr>
        <w:t>说明</w:t>
      </w:r>
      <w:bookmarkEnd w:id="26"/>
      <w:bookmarkEnd w:id="27"/>
    </w:p>
    <w:p>
      <w:pPr>
        <w:keepNext w:val="0"/>
        <w:keepLines w:val="0"/>
        <w:pageBreakBefore w:val="0"/>
        <w:widowControl w:val="0"/>
        <w:kinsoku/>
        <w:wordWrap/>
        <w:overflowPunct/>
        <w:topLinePunct w:val="0"/>
        <w:bidi w:val="0"/>
        <w:adjustRightInd/>
        <w:snapToGrid/>
        <w:spacing w:before="0" w:beforeLines="0" w:beforeAutospacing="0" w:after="0" w:afterLines="0" w:afterAutospacing="0" w:line="560" w:lineRule="exact"/>
        <w:ind w:firstLine="643" w:firstLineChars="200"/>
        <w:jc w:val="both"/>
        <w:textAlignment w:val="auto"/>
        <w:rPr>
          <w:rFonts w:ascii="仿宋_GB2312" w:eastAsia="仿宋_GB2312"/>
          <w:sz w:val="32"/>
          <w:szCs w:val="32"/>
        </w:rPr>
      </w:pPr>
      <w:r>
        <w:rPr>
          <w:rFonts w:hint="eastAsia" w:ascii="仿宋_GB2312" w:eastAsia="仿宋_GB2312"/>
          <w:b/>
          <w:bCs/>
          <w:spacing w:val="0"/>
          <w:sz w:val="32"/>
          <w:szCs w:val="32"/>
          <w:highlight w:val="none"/>
          <w:lang w:eastAsia="zh-CN"/>
        </w:rPr>
        <w:t>2024年度</w:t>
      </w:r>
      <w:r>
        <w:rPr>
          <w:rFonts w:hint="eastAsia" w:ascii="仿宋_GB2312" w:eastAsia="仿宋_GB2312"/>
          <w:b/>
          <w:bCs/>
          <w:sz w:val="32"/>
          <w:szCs w:val="32"/>
          <w:highlight w:val="none"/>
          <w:lang w:val="en-US" w:eastAsia="zh-CN"/>
        </w:rPr>
        <w:t>财政拨款</w:t>
      </w:r>
      <w:r>
        <w:rPr>
          <w:rFonts w:hint="eastAsia" w:ascii="仿宋_GB2312" w:eastAsia="仿宋_GB2312"/>
          <w:b/>
          <w:bCs/>
          <w:sz w:val="32"/>
          <w:szCs w:val="32"/>
          <w:highlight w:val="none"/>
        </w:rPr>
        <w:t>“三公”经费支出</w:t>
      </w:r>
      <w:r>
        <w:rPr>
          <w:rFonts w:hint="eastAsia" w:ascii="仿宋_GB2312" w:eastAsia="仿宋_GB2312"/>
          <w:b/>
          <w:bCs/>
          <w:sz w:val="32"/>
          <w:szCs w:val="32"/>
          <w:highlight w:val="none"/>
          <w:lang w:val="en-US" w:eastAsia="zh-CN"/>
        </w:rPr>
        <w:t>10.88</w:t>
      </w:r>
      <w:r>
        <w:rPr>
          <w:rFonts w:hint="eastAsia" w:ascii="仿宋_GB2312" w:eastAsia="仿宋_GB2312"/>
          <w:b/>
          <w:bCs/>
          <w:sz w:val="32"/>
          <w:szCs w:val="32"/>
          <w:highlight w:val="none"/>
        </w:rPr>
        <w:t>万元，</w:t>
      </w:r>
      <w:r>
        <w:rPr>
          <w:rFonts w:hint="eastAsia" w:ascii="仿宋_GB2312" w:eastAsia="仿宋_GB2312"/>
          <w:sz w:val="32"/>
          <w:szCs w:val="32"/>
          <w:highlight w:val="none"/>
        </w:rPr>
        <w:t>比上年增加</w:t>
      </w:r>
      <w:r>
        <w:rPr>
          <w:rFonts w:hint="eastAsia" w:ascii="仿宋_GB2312" w:eastAsia="仿宋_GB2312"/>
          <w:sz w:val="32"/>
          <w:szCs w:val="32"/>
          <w:highlight w:val="none"/>
          <w:lang w:val="en-US" w:eastAsia="zh-CN"/>
        </w:rPr>
        <w:t>3.94</w:t>
      </w:r>
      <w:r>
        <w:rPr>
          <w:rFonts w:hint="eastAsia" w:ascii="仿宋_GB2312" w:eastAsia="仿宋_GB2312"/>
          <w:sz w:val="32"/>
          <w:szCs w:val="32"/>
          <w:highlight w:val="none"/>
        </w:rPr>
        <w:t>万元，增长</w:t>
      </w:r>
      <w:r>
        <w:rPr>
          <w:rFonts w:ascii="仿宋_GB2312" w:eastAsia="仿宋_GB2312"/>
          <w:b w:val="0"/>
          <w:sz w:val="32"/>
          <w:szCs w:val="32"/>
        </w:rPr>
        <w:t>56.77</w:t>
      </w:r>
      <w:r>
        <w:rPr>
          <w:rFonts w:hint="eastAsia" w:ascii="仿宋_GB2312" w:eastAsia="仿宋_GB2312"/>
          <w:sz w:val="32"/>
          <w:szCs w:val="32"/>
          <w:highlight w:val="none"/>
        </w:rPr>
        <w:t>%，</w:t>
      </w:r>
      <w:r>
        <w:rPr>
          <w:rFonts w:hint="eastAsia" w:ascii="仿宋_GB2312" w:eastAsia="仿宋_GB2312"/>
          <w:sz w:val="32"/>
          <w:szCs w:val="32"/>
          <w:highlight w:val="none"/>
          <w:lang w:eastAsia="zh-CN"/>
        </w:rPr>
        <w:t>主要原因是：</w:t>
      </w:r>
      <w:r>
        <w:rPr>
          <w:rFonts w:hint="eastAsia" w:ascii="仿宋_GB2312" w:eastAsia="仿宋_GB2312"/>
          <w:color w:val="auto"/>
          <w:sz w:val="32"/>
          <w:szCs w:val="32"/>
          <w:highlight w:val="none"/>
          <w:lang w:val="en-US" w:eastAsia="zh-CN"/>
        </w:rPr>
        <w:t>2023年我镇定点维修厂家因个人原因，未能及时开具相关车辆维修发票，部分车辆维修费未支付，2024年支付2023年车辆维修欠款</w:t>
      </w:r>
      <w:r>
        <w:rPr>
          <w:rFonts w:hint="eastAsia" w:ascii="仿宋_GB2312" w:eastAsia="仿宋_GB2312"/>
          <w:sz w:val="32"/>
          <w:szCs w:val="32"/>
          <w:highlight w:val="none"/>
        </w:rPr>
        <w:t>。其中</w:t>
      </w:r>
      <w:r>
        <w:rPr>
          <w:rFonts w:hint="eastAsia" w:ascii="仿宋_GB2312" w:eastAsia="仿宋_GB2312"/>
          <w:sz w:val="32"/>
          <w:szCs w:val="32"/>
          <w:highlight w:val="none"/>
          <w:lang w:eastAsia="zh-CN"/>
        </w:rPr>
        <w:t>：</w:t>
      </w:r>
      <w:r>
        <w:rPr>
          <w:rFonts w:ascii="仿宋_GB2312" w:eastAsia="仿宋_GB2312"/>
          <w:b w:val="0"/>
          <w:sz w:val="32"/>
          <w:szCs w:val="32"/>
        </w:rPr>
        <w:t>因公出国（境）费支出0.00万元,占0.00%，与上年相比无变化，主要原因是：</w:t>
      </w:r>
      <w:r>
        <w:rPr>
          <w:rFonts w:hint="eastAsia" w:ascii="仿宋_GB2312" w:eastAsia="仿宋_GB2312"/>
          <w:color w:val="auto"/>
          <w:sz w:val="32"/>
          <w:szCs w:val="32"/>
          <w:highlight w:val="none"/>
          <w:lang w:val="en-US" w:eastAsia="zh-CN"/>
        </w:rPr>
        <w:t>我单位本年无因公出国（境）费支出</w:t>
      </w:r>
      <w:r>
        <w:rPr>
          <w:rFonts w:ascii="仿宋_GB2312" w:eastAsia="仿宋_GB2312"/>
          <w:b w:val="0"/>
          <w:sz w:val="32"/>
          <w:szCs w:val="32"/>
        </w:rPr>
        <w:t>；公务用车购置及运行维护费支出10.88万元，占100.00%，比上年增加3.94万元，增长56.77%，主要原因是：</w:t>
      </w:r>
      <w:r>
        <w:rPr>
          <w:rFonts w:hint="eastAsia" w:ascii="仿宋_GB2312" w:eastAsia="仿宋_GB2312"/>
          <w:color w:val="auto"/>
          <w:sz w:val="32"/>
          <w:szCs w:val="32"/>
          <w:highlight w:val="none"/>
          <w:lang w:val="en-US" w:eastAsia="zh-CN"/>
        </w:rPr>
        <w:t>2023年我镇定点维修厂家因个人原因，未能及时开具相关车辆维修发票，部分车辆维修费未支付，2024年支付2023年车辆维修欠款</w:t>
      </w:r>
      <w:r>
        <w:rPr>
          <w:rFonts w:ascii="仿宋_GB2312" w:eastAsia="仿宋_GB2312"/>
          <w:b w:val="0"/>
          <w:sz w:val="32"/>
          <w:szCs w:val="32"/>
        </w:rPr>
        <w:t>；公务接待费支出0.00万元，占0.00%，与上年相比无变化，主要原因是：</w:t>
      </w:r>
      <w:r>
        <w:rPr>
          <w:rFonts w:hint="eastAsia" w:ascii="仿宋_GB2312" w:eastAsia="仿宋_GB2312"/>
          <w:color w:val="auto"/>
          <w:sz w:val="32"/>
          <w:szCs w:val="32"/>
          <w:highlight w:val="none"/>
          <w:lang w:val="en-US" w:eastAsia="zh-CN"/>
        </w:rPr>
        <w:t>我单位无公务接待支出</w:t>
      </w:r>
      <w:r>
        <w:rPr>
          <w:rFonts w:ascii="仿宋_GB2312" w:eastAsia="仿宋_GB2312"/>
          <w:b w:val="0"/>
          <w:sz w:val="32"/>
          <w:szCs w:val="32"/>
        </w:rPr>
        <w:t>。</w:t>
      </w:r>
    </w:p>
    <w:p>
      <w:pPr>
        <w:keepNext w:val="0"/>
        <w:keepLines w:val="0"/>
        <w:pageBreakBefore w:val="0"/>
        <w:widowControl w:val="0"/>
        <w:kinsoku/>
        <w:wordWrap/>
        <w:overflowPunct/>
        <w:topLinePunct w:val="0"/>
        <w:bidi w:val="0"/>
        <w:adjustRightInd/>
        <w:snapToGrid/>
        <w:spacing w:line="560" w:lineRule="exact"/>
        <w:ind w:firstLine="643" w:firstLineChars="200"/>
        <w:textAlignment w:val="auto"/>
        <w:rPr>
          <w:rFonts w:hint="eastAsia" w:ascii="仿宋_GB2312" w:eastAsia="仿宋_GB2312"/>
          <w:b/>
          <w:bCs/>
          <w:sz w:val="32"/>
          <w:szCs w:val="32"/>
          <w:highlight w:val="none"/>
        </w:rPr>
      </w:pPr>
      <w:r>
        <w:rPr>
          <w:rFonts w:hint="eastAsia" w:ascii="仿宋_GB2312" w:eastAsia="仿宋_GB2312"/>
          <w:b/>
          <w:bCs/>
          <w:sz w:val="32"/>
          <w:szCs w:val="32"/>
          <w:highlight w:val="none"/>
        </w:rPr>
        <w:t>具体情况如下：</w:t>
      </w:r>
    </w:p>
    <w:p>
      <w:pPr>
        <w:keepNext w:val="0"/>
        <w:keepLines w:val="0"/>
        <w:pageBreakBefore w:val="0"/>
        <w:widowControl w:val="0"/>
        <w:kinsoku/>
        <w:wordWrap/>
        <w:overflowPunct/>
        <w:topLinePunct w:val="0"/>
        <w:bidi w:val="0"/>
        <w:adjustRightInd/>
        <w:snapToGrid/>
        <w:spacing w:line="560" w:lineRule="exact"/>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因公出国（境）费支出0.00万元，开支内容包括本年未安排因公出国（境）费支出，无开支内容。单位全年安排的因公出国（境）团组0个，因公出国（境）0人次。</w:t>
      </w:r>
    </w:p>
    <w:p>
      <w:pPr>
        <w:keepNext w:val="0"/>
        <w:keepLines w:val="0"/>
        <w:pageBreakBefore w:val="0"/>
        <w:widowControl w:val="0"/>
        <w:kinsoku/>
        <w:wordWrap/>
        <w:overflowPunct/>
        <w:topLinePunct w:val="0"/>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公务用车购置及运行维护费10.88万元，其中：公务用车购置费0.00万元，公务用车运行维护费10.88万元。公务用车运行维护费开支内容包括。公务用车购置数0辆，公务用车保有量12辆。国有资产占用情况中固定资产车辆12辆，与公务用车保有量差异原因是：</w:t>
      </w:r>
      <w:r>
        <w:rPr>
          <w:rFonts w:hint="eastAsia" w:ascii="仿宋_GB2312" w:eastAsia="仿宋_GB2312"/>
          <w:color w:val="auto"/>
          <w:sz w:val="32"/>
          <w:szCs w:val="32"/>
          <w:highlight w:val="none"/>
          <w:lang w:val="en-US" w:eastAsia="zh-CN"/>
        </w:rPr>
        <w:t>本单位公务用车无差异</w:t>
      </w:r>
      <w:r>
        <w:rPr>
          <w:rFonts w:ascii="仿宋_GB2312" w:eastAsia="仿宋_GB2312"/>
          <w:b w:val="0"/>
          <w:sz w:val="32"/>
          <w:szCs w:val="32"/>
        </w:rPr>
        <w:t>。</w:t>
      </w:r>
    </w:p>
    <w:p>
      <w:pPr>
        <w:keepNext w:val="0"/>
        <w:keepLines w:val="0"/>
        <w:pageBreakBefore w:val="0"/>
        <w:widowControl w:val="0"/>
        <w:kinsoku/>
        <w:wordWrap/>
        <w:overflowPunct/>
        <w:topLinePunct w:val="0"/>
        <w:bidi w:val="0"/>
        <w:adjustRightInd/>
        <w:snapToGrid/>
        <w:spacing w:line="560" w:lineRule="exact"/>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公务接待费0.00万元，开支内容包括本年未安排公务接待费支出，无开支内容。单位全年安排的国内公务接待0批次，0人次。</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3" w:firstLineChars="200"/>
        <w:jc w:val="both"/>
        <w:textAlignment w:val="auto"/>
        <w:rPr>
          <w:rFonts w:hint="eastAsia" w:ascii="仿宋_GB2312" w:eastAsia="仿宋_GB2312"/>
          <w:sz w:val="32"/>
          <w:szCs w:val="32"/>
          <w:highlight w:val="none"/>
          <w:lang w:eastAsia="zh-CN"/>
        </w:rPr>
      </w:pPr>
      <w:r>
        <w:rPr>
          <w:rFonts w:hint="eastAsia" w:ascii="仿宋_GB2312" w:eastAsia="仿宋_GB2312"/>
          <w:b/>
          <w:bCs/>
          <w:sz w:val="32"/>
          <w:szCs w:val="32"/>
          <w:highlight w:val="none"/>
        </w:rPr>
        <w:t>与</w:t>
      </w:r>
      <w:r>
        <w:rPr>
          <w:rFonts w:hint="eastAsia" w:ascii="仿宋_GB2312" w:eastAsia="仿宋_GB2312"/>
          <w:b/>
          <w:bCs/>
          <w:sz w:val="32"/>
          <w:szCs w:val="32"/>
          <w:highlight w:val="none"/>
          <w:lang w:val="en-US" w:eastAsia="zh-CN"/>
        </w:rPr>
        <w:t>全年</w:t>
      </w:r>
      <w:r>
        <w:rPr>
          <w:rFonts w:hint="eastAsia" w:ascii="仿宋_GB2312" w:eastAsia="仿宋_GB2312"/>
          <w:b/>
          <w:bCs/>
          <w:sz w:val="32"/>
          <w:szCs w:val="32"/>
          <w:highlight w:val="none"/>
          <w:lang w:eastAsia="zh-CN"/>
        </w:rPr>
        <w:t>预算</w:t>
      </w:r>
      <w:r>
        <w:rPr>
          <w:rFonts w:hint="eastAsia" w:ascii="仿宋_GB2312" w:eastAsia="仿宋_GB2312"/>
          <w:b/>
          <w:bCs/>
          <w:sz w:val="32"/>
          <w:szCs w:val="32"/>
          <w:highlight w:val="none"/>
        </w:rPr>
        <w:t>相比</w:t>
      </w:r>
      <w:r>
        <w:rPr>
          <w:rFonts w:hint="eastAsia" w:ascii="仿宋_GB2312" w:eastAsia="仿宋_GB2312"/>
          <w:b/>
          <w:bCs/>
          <w:sz w:val="32"/>
          <w:szCs w:val="32"/>
          <w:highlight w:val="none"/>
          <w:lang w:eastAsia="zh-CN"/>
        </w:rPr>
        <w:t>，</w:t>
      </w:r>
      <w:r>
        <w:rPr>
          <w:rFonts w:hint="eastAsia" w:ascii="仿宋_GB2312" w:eastAsia="仿宋_GB2312"/>
          <w:b w:val="0"/>
          <w:bCs w:val="0"/>
          <w:sz w:val="32"/>
          <w:szCs w:val="32"/>
          <w:highlight w:val="none"/>
          <w:lang w:eastAsia="zh-CN"/>
        </w:rPr>
        <w:t>财政拨款</w:t>
      </w:r>
      <w:r>
        <w:rPr>
          <w:rFonts w:hint="eastAsia" w:ascii="仿宋_GB2312" w:eastAsia="仿宋_GB2312"/>
          <w:b w:val="0"/>
          <w:bCs w:val="0"/>
          <w:sz w:val="32"/>
          <w:szCs w:val="32"/>
          <w:highlight w:val="none"/>
        </w:rPr>
        <w:t>“</w:t>
      </w:r>
      <w:r>
        <w:rPr>
          <w:rFonts w:hint="eastAsia" w:ascii="仿宋_GB2312" w:eastAsia="仿宋_GB2312"/>
          <w:sz w:val="32"/>
          <w:szCs w:val="32"/>
          <w:highlight w:val="none"/>
        </w:rPr>
        <w:t>三公”经费支出</w:t>
      </w:r>
      <w:r>
        <w:rPr>
          <w:rFonts w:hint="eastAsia" w:ascii="仿宋_GB2312" w:eastAsia="仿宋_GB2312"/>
          <w:sz w:val="32"/>
          <w:szCs w:val="32"/>
          <w:highlight w:val="none"/>
          <w:lang w:val="en-US" w:eastAsia="zh-CN"/>
        </w:rPr>
        <w:t>全年</w:t>
      </w:r>
      <w:r>
        <w:rPr>
          <w:rFonts w:hint="eastAsia" w:ascii="仿宋_GB2312" w:eastAsia="仿宋_GB2312"/>
          <w:sz w:val="32"/>
          <w:szCs w:val="32"/>
          <w:highlight w:val="none"/>
          <w:lang w:eastAsia="zh-CN"/>
        </w:rPr>
        <w:t>预算数</w:t>
      </w:r>
      <w:r>
        <w:rPr>
          <w:rFonts w:ascii="仿宋_GB2312" w:eastAsia="仿宋_GB2312"/>
          <w:b w:val="0"/>
          <w:sz w:val="32"/>
          <w:szCs w:val="32"/>
        </w:rPr>
        <w:t>10.88</w:t>
      </w:r>
      <w:r>
        <w:rPr>
          <w:rFonts w:hint="eastAsia" w:ascii="仿宋_GB2312" w:eastAsia="仿宋_GB2312"/>
          <w:sz w:val="32"/>
          <w:szCs w:val="32"/>
          <w:highlight w:val="none"/>
        </w:rPr>
        <w:t>万元，决算数</w:t>
      </w:r>
      <w:r>
        <w:rPr>
          <w:rFonts w:ascii="仿宋_GB2312" w:eastAsia="仿宋_GB2312"/>
          <w:b w:val="0"/>
          <w:sz w:val="32"/>
          <w:szCs w:val="32"/>
        </w:rPr>
        <w:t>10.88</w:t>
      </w:r>
      <w:r>
        <w:rPr>
          <w:rFonts w:hint="eastAsia" w:ascii="仿宋_GB2312" w:eastAsia="仿宋_GB2312"/>
          <w:sz w:val="32"/>
          <w:szCs w:val="32"/>
          <w:highlight w:val="none"/>
        </w:rPr>
        <w:t>万元，预决算差异率</w:t>
      </w:r>
      <w:r>
        <w:rPr>
          <w:rFonts w:hint="eastAsia" w:ascii="仿宋_GB2312" w:eastAsia="仿宋_GB2312"/>
          <w:sz w:val="32"/>
          <w:szCs w:val="32"/>
          <w:highlight w:val="none"/>
          <w:lang w:val="en-US" w:eastAsia="zh-CN"/>
        </w:rPr>
        <w:t>0.00</w:t>
      </w:r>
      <w:r>
        <w:rPr>
          <w:rFonts w:hint="eastAsia" w:ascii="仿宋_GB2312" w:eastAsia="仿宋_GB2312"/>
          <w:sz w:val="32"/>
          <w:szCs w:val="32"/>
          <w:highlight w:val="none"/>
        </w:rPr>
        <w:t>%，</w:t>
      </w:r>
      <w:r>
        <w:rPr>
          <w:rFonts w:hint="eastAsia" w:ascii="仿宋_GB2312" w:eastAsia="仿宋_GB2312"/>
          <w:sz w:val="32"/>
          <w:szCs w:val="32"/>
          <w:highlight w:val="none"/>
          <w:lang w:eastAsia="zh-CN"/>
        </w:rPr>
        <w:t>主要原因是：</w:t>
      </w:r>
      <w:r>
        <w:rPr>
          <w:rFonts w:hint="eastAsia" w:ascii="仿宋_GB2312" w:eastAsia="仿宋_GB2312"/>
          <w:color w:val="auto"/>
          <w:sz w:val="32"/>
          <w:szCs w:val="32"/>
          <w:highlight w:val="none"/>
          <w:lang w:val="en-US" w:eastAsia="zh-CN"/>
        </w:rPr>
        <w:t>预决算一致无差异</w:t>
      </w:r>
      <w:r>
        <w:rPr>
          <w:rFonts w:hint="eastAsia" w:ascii="仿宋_GB2312" w:eastAsia="仿宋_GB2312"/>
          <w:sz w:val="32"/>
          <w:szCs w:val="32"/>
          <w:highlight w:val="none"/>
        </w:rPr>
        <w:t>。</w:t>
      </w:r>
      <w:r>
        <w:rPr>
          <w:rFonts w:hint="eastAsia" w:ascii="仿宋_GB2312" w:hAnsi="宋体" w:eastAsia="仿宋_GB2312" w:cs="宋体"/>
          <w:kern w:val="0"/>
          <w:sz w:val="32"/>
          <w:szCs w:val="32"/>
          <w:highlight w:val="none"/>
        </w:rPr>
        <w:t>其中：</w:t>
      </w:r>
      <w:r>
        <w:rPr>
          <w:rFonts w:hint="eastAsia" w:ascii="仿宋_GB2312" w:eastAsia="仿宋_GB2312"/>
          <w:color w:val="auto"/>
          <w:sz w:val="32"/>
          <w:szCs w:val="32"/>
          <w:highlight w:val="none"/>
          <w:lang w:val="zh-CN" w:eastAsia="zh-CN"/>
        </w:rPr>
        <w:t>因公出国（境）费</w:t>
      </w:r>
      <w:r>
        <w:rPr>
          <w:rFonts w:hint="eastAsia" w:ascii="仿宋_GB2312" w:eastAsia="仿宋_GB2312"/>
          <w:color w:val="auto"/>
          <w:sz w:val="32"/>
          <w:szCs w:val="32"/>
          <w:highlight w:val="none"/>
          <w:lang w:val="en-US" w:eastAsia="zh-CN"/>
        </w:rPr>
        <w:t>全年预算数</w:t>
      </w:r>
      <w:r>
        <w:rPr>
          <w:rFonts w:hint="eastAsia" w:ascii="仿宋_GB2312" w:eastAsia="仿宋_GB2312"/>
          <w:color w:val="auto"/>
          <w:sz w:val="32"/>
          <w:szCs w:val="32"/>
          <w:highlight w:val="none"/>
          <w:lang w:val="zh-CN" w:eastAsia="zh-CN"/>
        </w:rPr>
        <w:t>0.00万元，决算数0.00万元，预决算差异率0.00%，主要原因是：</w:t>
      </w:r>
      <w:r>
        <w:rPr>
          <w:rFonts w:hint="eastAsia" w:ascii="仿宋_GB2312" w:eastAsia="仿宋_GB2312"/>
          <w:color w:val="auto"/>
          <w:sz w:val="32"/>
          <w:szCs w:val="32"/>
          <w:highlight w:val="none"/>
          <w:lang w:val="en-US" w:eastAsia="zh-CN"/>
        </w:rPr>
        <w:t>我单位本年无因公出国（境）费支出</w:t>
      </w:r>
      <w:r>
        <w:rPr>
          <w:rFonts w:hint="eastAsia" w:ascii="仿宋_GB2312" w:eastAsia="仿宋_GB2312"/>
          <w:sz w:val="32"/>
          <w:szCs w:val="32"/>
          <w:highlight w:val="none"/>
        </w:rPr>
        <w:t>；</w:t>
      </w:r>
      <w:r>
        <w:rPr>
          <w:rFonts w:hint="eastAsia" w:ascii="仿宋_GB2312" w:eastAsia="仿宋_GB2312"/>
          <w:color w:val="auto"/>
          <w:sz w:val="32"/>
          <w:szCs w:val="32"/>
          <w:highlight w:val="none"/>
          <w:lang w:val="zh-CN" w:eastAsia="zh-CN"/>
        </w:rPr>
        <w:t>公务用车购置费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w:t>
      </w:r>
      <w:r>
        <w:rPr>
          <w:rFonts w:hint="eastAsia" w:ascii="仿宋_GB2312" w:eastAsia="仿宋_GB2312"/>
          <w:color w:val="auto"/>
          <w:sz w:val="32"/>
          <w:szCs w:val="32"/>
          <w:highlight w:val="none"/>
          <w:lang w:val="en-US" w:eastAsia="zh-CN"/>
        </w:rPr>
        <w:t>预决算无差异</w:t>
      </w:r>
      <w:r>
        <w:rPr>
          <w:rFonts w:hint="eastAsia" w:ascii="仿宋_GB2312" w:eastAsia="仿宋_GB2312"/>
          <w:sz w:val="32"/>
          <w:szCs w:val="32"/>
          <w:highlight w:val="none"/>
        </w:rPr>
        <w:t>；</w:t>
      </w:r>
      <w:r>
        <w:rPr>
          <w:rFonts w:ascii="仿宋_GB2312" w:eastAsia="仿宋_GB2312"/>
          <w:b w:val="0"/>
          <w:sz w:val="32"/>
          <w:szCs w:val="32"/>
        </w:rPr>
        <w:t>公务用车运行维护费全年预算数10.88万元，决算数10.88万元，预决算差异率0.00%，主要原因是：</w:t>
      </w:r>
      <w:r>
        <w:rPr>
          <w:rFonts w:hint="eastAsia" w:ascii="仿宋_GB2312" w:eastAsia="仿宋_GB2312"/>
          <w:color w:val="auto"/>
          <w:sz w:val="32"/>
          <w:szCs w:val="32"/>
          <w:highlight w:val="none"/>
          <w:lang w:val="en-US" w:eastAsia="zh-CN"/>
        </w:rPr>
        <w:t>预决算一致无差异</w:t>
      </w:r>
      <w:r>
        <w:rPr>
          <w:rFonts w:ascii="仿宋_GB2312" w:eastAsia="仿宋_GB2312"/>
          <w:b w:val="0"/>
          <w:sz w:val="32"/>
          <w:szCs w:val="32"/>
        </w:rPr>
        <w:t>。公务接待费全年预算数0.00万元，决算数0.00万元，预决算差异率0.00%</w:t>
      </w:r>
      <w:r>
        <w:rPr>
          <w:rFonts w:hint="eastAsia" w:ascii="仿宋_GB2312" w:eastAsia="仿宋_GB2312"/>
          <w:sz w:val="32"/>
          <w:szCs w:val="32"/>
          <w:highlight w:val="none"/>
        </w:rPr>
        <w:t>，</w:t>
      </w:r>
      <w:r>
        <w:rPr>
          <w:rFonts w:hint="eastAsia" w:ascii="仿宋_GB2312" w:eastAsia="仿宋_GB2312"/>
          <w:sz w:val="32"/>
          <w:szCs w:val="32"/>
          <w:highlight w:val="none"/>
          <w:lang w:eastAsia="zh-CN"/>
        </w:rPr>
        <w:t>主要原因是：</w:t>
      </w:r>
      <w:r>
        <w:rPr>
          <w:rFonts w:hint="eastAsia" w:ascii="仿宋_GB2312" w:eastAsia="仿宋_GB2312"/>
          <w:color w:val="auto"/>
          <w:sz w:val="32"/>
          <w:szCs w:val="32"/>
          <w:highlight w:val="none"/>
          <w:lang w:val="en-US" w:eastAsia="zh-CN"/>
        </w:rPr>
        <w:t>我单位无公务接待支出</w:t>
      </w:r>
      <w:r>
        <w:rPr>
          <w:rFonts w:hint="eastAsia" w:ascii="仿宋_GB2312" w:eastAsia="仿宋_GB2312"/>
          <w:sz w:val="32"/>
          <w:szCs w:val="32"/>
          <w:highlight w:val="none"/>
        </w:rPr>
        <w:t>。</w:t>
      </w: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1"/>
        <w:rPr>
          <w:rFonts w:hint="eastAsia" w:ascii="黑体" w:hAnsi="黑体" w:eastAsia="黑体" w:cs="宋体"/>
          <w:bCs/>
          <w:kern w:val="0"/>
          <w:sz w:val="32"/>
          <w:szCs w:val="32"/>
          <w:highlight w:val="none"/>
          <w:lang w:eastAsia="zh-CN"/>
        </w:rPr>
      </w:pPr>
      <w:bookmarkStart w:id="28" w:name="_Toc7314"/>
      <w:bookmarkStart w:id="29" w:name="_Toc16395"/>
      <w:r>
        <w:rPr>
          <w:rFonts w:hint="eastAsia" w:ascii="黑体" w:hAnsi="黑体" w:eastAsia="黑体" w:cs="宋体"/>
          <w:bCs/>
          <w:kern w:val="0"/>
          <w:sz w:val="32"/>
          <w:szCs w:val="32"/>
          <w:highlight w:val="none"/>
          <w:lang w:eastAsia="zh-CN"/>
        </w:rPr>
        <w:t>十</w:t>
      </w:r>
      <w:r>
        <w:rPr>
          <w:rFonts w:hint="eastAsia" w:ascii="黑体" w:hAnsi="黑体" w:eastAsia="黑体" w:cs="宋体"/>
          <w:bCs/>
          <w:kern w:val="0"/>
          <w:sz w:val="32"/>
          <w:szCs w:val="32"/>
          <w:highlight w:val="none"/>
        </w:rPr>
        <w:t>、其他重要事项的情况</w:t>
      </w:r>
      <w:r>
        <w:rPr>
          <w:rFonts w:hint="eastAsia" w:ascii="黑体" w:hAnsi="黑体" w:eastAsia="黑体" w:cs="宋体"/>
          <w:bCs/>
          <w:kern w:val="0"/>
          <w:sz w:val="32"/>
          <w:szCs w:val="32"/>
          <w:highlight w:val="none"/>
          <w:lang w:eastAsia="zh-CN"/>
        </w:rPr>
        <w:t>说明</w:t>
      </w:r>
      <w:bookmarkEnd w:id="28"/>
      <w:bookmarkEnd w:id="29"/>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2"/>
        <w:rPr>
          <w:rFonts w:hint="eastAsia" w:ascii="黑体" w:hAnsi="黑体" w:eastAsia="黑体"/>
          <w:sz w:val="32"/>
          <w:szCs w:val="32"/>
          <w:highlight w:val="none"/>
        </w:rPr>
      </w:pPr>
      <w:bookmarkStart w:id="30" w:name="_Toc21748"/>
      <w:bookmarkStart w:id="31" w:name="_Toc13105"/>
      <w:r>
        <w:rPr>
          <w:rFonts w:hint="eastAsia" w:ascii="黑体" w:hAnsi="黑体" w:eastAsia="黑体"/>
          <w:sz w:val="32"/>
          <w:szCs w:val="32"/>
          <w:highlight w:val="none"/>
          <w:lang w:eastAsia="zh-CN"/>
        </w:rPr>
        <w:t>（一）</w:t>
      </w:r>
      <w:r>
        <w:rPr>
          <w:rFonts w:hint="eastAsia" w:ascii="黑体" w:hAnsi="黑体" w:eastAsia="黑体"/>
          <w:sz w:val="32"/>
          <w:szCs w:val="32"/>
          <w:highlight w:val="none"/>
        </w:rPr>
        <w:t>机关运行经费</w:t>
      </w:r>
      <w:r>
        <w:rPr>
          <w:rFonts w:hint="eastAsia" w:ascii="黑体" w:hAnsi="黑体" w:eastAsia="黑体"/>
          <w:sz w:val="32"/>
          <w:szCs w:val="32"/>
          <w:highlight w:val="none"/>
          <w:lang w:val="en-US" w:eastAsia="zh-CN"/>
        </w:rPr>
        <w:t>及公用经费</w:t>
      </w:r>
      <w:r>
        <w:rPr>
          <w:rFonts w:hint="eastAsia" w:ascii="黑体" w:hAnsi="黑体" w:eastAsia="黑体"/>
          <w:sz w:val="32"/>
          <w:szCs w:val="32"/>
          <w:highlight w:val="none"/>
        </w:rPr>
        <w:t>支出情况</w:t>
      </w:r>
      <w:bookmarkEnd w:id="30"/>
      <w:bookmarkEnd w:id="31"/>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仿宋_GB2312" w:eastAsia="仿宋_GB2312"/>
          <w:spacing w:val="0"/>
          <w:sz w:val="32"/>
          <w:szCs w:val="32"/>
          <w:highlight w:val="none"/>
          <w:lang w:eastAsia="zh-CN"/>
        </w:rPr>
        <w:t>2024年度</w:t>
      </w:r>
      <w:r>
        <w:rPr>
          <w:rFonts w:hint="eastAsia" w:ascii="Times New Roman" w:hAnsi="Times New Roman" w:eastAsia="仿宋_GB2312" w:cs="Times New Roman"/>
          <w:color w:val="auto"/>
          <w:sz w:val="32"/>
          <w:szCs w:val="32"/>
          <w:highlight w:val="none"/>
          <w:lang w:val="en-US" w:eastAsia="zh-CN"/>
        </w:rPr>
        <w:t>新疆库尔勒市西尼尔镇人民政府</w:t>
      </w:r>
      <w:r>
        <w:rPr>
          <w:rFonts w:hint="eastAsia" w:ascii="仿宋_GB2312" w:eastAsia="仿宋_GB2312"/>
          <w:sz w:val="32"/>
          <w:szCs w:val="32"/>
          <w:highlight w:val="none"/>
        </w:rPr>
        <w:t>（行政单位和参照公务员法管理事业单位）机关运行经费支出</w:t>
      </w:r>
      <w:r>
        <w:rPr>
          <w:rFonts w:ascii="仿宋_GB2312" w:eastAsia="仿宋_GB2312"/>
          <w:b w:val="0"/>
          <w:sz w:val="32"/>
          <w:szCs w:val="32"/>
        </w:rPr>
        <w:t>130.09</w:t>
      </w:r>
      <w:r>
        <w:rPr>
          <w:rFonts w:hint="eastAsia" w:ascii="仿宋_GB2312" w:eastAsia="仿宋_GB2312"/>
          <w:sz w:val="32"/>
          <w:szCs w:val="32"/>
          <w:highlight w:val="none"/>
        </w:rPr>
        <w:t>万元，比上年增加</w:t>
      </w:r>
      <w:r>
        <w:rPr>
          <w:rFonts w:ascii="仿宋_GB2312" w:eastAsia="仿宋_GB2312"/>
          <w:b w:val="0"/>
          <w:sz w:val="32"/>
          <w:szCs w:val="32"/>
        </w:rPr>
        <w:t>44.37</w:t>
      </w:r>
      <w:r>
        <w:rPr>
          <w:rFonts w:hint="eastAsia" w:ascii="仿宋_GB2312" w:eastAsia="仿宋_GB2312"/>
          <w:sz w:val="32"/>
          <w:szCs w:val="32"/>
          <w:highlight w:val="none"/>
        </w:rPr>
        <w:t>万元，增长</w:t>
      </w:r>
      <w:r>
        <w:rPr>
          <w:rFonts w:ascii="仿宋_GB2312" w:eastAsia="仿宋_GB2312"/>
          <w:b w:val="0"/>
          <w:sz w:val="32"/>
          <w:szCs w:val="32"/>
        </w:rPr>
        <w:t>51.76</w:t>
      </w:r>
      <w:r>
        <w:rPr>
          <w:rFonts w:hint="eastAsia" w:ascii="仿宋_GB2312" w:eastAsia="仿宋_GB2312"/>
          <w:sz w:val="32"/>
          <w:szCs w:val="32"/>
          <w:highlight w:val="none"/>
        </w:rPr>
        <w:t>%，主要原因是</w:t>
      </w:r>
      <w:r>
        <w:rPr>
          <w:rFonts w:hint="eastAsia" w:ascii="仿宋_GB2312" w:eastAsia="仿宋_GB2312"/>
          <w:sz w:val="32"/>
          <w:szCs w:val="32"/>
          <w:highlight w:val="none"/>
          <w:lang w:eastAsia="zh-CN"/>
        </w:rPr>
        <w:t>：</w:t>
      </w:r>
      <w:r>
        <w:rPr>
          <w:rFonts w:hint="eastAsia" w:eastAsia="仿宋_GB2312" w:cs="Times New Roman"/>
          <w:color w:val="auto"/>
          <w:kern w:val="2"/>
          <w:sz w:val="32"/>
          <w:szCs w:val="32"/>
          <w:highlight w:val="none"/>
          <w:lang w:val="en-US" w:eastAsia="zh-CN" w:bidi="ar-SA"/>
        </w:rPr>
        <w:t>2024年度部分科目调整，</w:t>
      </w:r>
      <w:r>
        <w:rPr>
          <w:rFonts w:hint="eastAsia" w:ascii="仿宋_GB2312" w:eastAsia="仿宋_GB2312"/>
          <w:sz w:val="32"/>
          <w:szCs w:val="32"/>
          <w:highlight w:val="none"/>
        </w:rPr>
        <w:t>机关运行经费支出</w:t>
      </w:r>
      <w:r>
        <w:rPr>
          <w:rFonts w:hint="eastAsia" w:ascii="仿宋_GB2312" w:eastAsia="仿宋_GB2312"/>
          <w:sz w:val="32"/>
          <w:szCs w:val="32"/>
          <w:highlight w:val="none"/>
          <w:lang w:val="en-US" w:eastAsia="zh-CN"/>
        </w:rPr>
        <w:t>增长</w:t>
      </w:r>
      <w:r>
        <w:rPr>
          <w:rFonts w:hint="eastAsia"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2"/>
        <w:rPr>
          <w:rFonts w:hint="eastAsia" w:ascii="黑体" w:hAnsi="黑体" w:eastAsia="黑体"/>
          <w:sz w:val="32"/>
          <w:szCs w:val="32"/>
          <w:highlight w:val="none"/>
          <w:lang w:eastAsia="zh-CN"/>
        </w:rPr>
      </w:pPr>
      <w:bookmarkStart w:id="32" w:name="_Toc25177"/>
      <w:bookmarkStart w:id="33" w:name="_Toc26704"/>
      <w:r>
        <w:rPr>
          <w:rFonts w:hint="eastAsia" w:ascii="黑体" w:hAnsi="黑体" w:eastAsia="黑体"/>
          <w:sz w:val="32"/>
          <w:szCs w:val="32"/>
          <w:highlight w:val="none"/>
          <w:lang w:eastAsia="zh-CN"/>
        </w:rPr>
        <w:t>（二）政府采购情况</w:t>
      </w:r>
      <w:bookmarkEnd w:id="32"/>
      <w:bookmarkEnd w:id="33"/>
    </w:p>
    <w:p>
      <w:pPr>
        <w:keepNext w:val="0"/>
        <w:keepLines w:val="0"/>
        <w:pageBreakBefore w:val="0"/>
        <w:widowControl w:val="0"/>
        <w:kinsoku/>
        <w:wordWrap/>
        <w:overflowPunct/>
        <w:topLinePunct w:val="0"/>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rPr>
      </w:pPr>
      <w:bookmarkStart w:id="34" w:name="_Toc4591"/>
      <w:bookmarkStart w:id="35" w:name="_Toc31294"/>
      <w:r>
        <w:rPr>
          <w:rFonts w:ascii="仿宋_GB2312" w:eastAsia="仿宋_GB2312"/>
          <w:b w:val="0"/>
          <w:sz w:val="32"/>
          <w:szCs w:val="32"/>
        </w:rPr>
        <w:t>2024年度政府采购支出总额1,585.19万元，其中：政府采购货物支出2.32万元、政府采购工程支出1,563.07万元、政府采购服务支出19.80万元。</w:t>
      </w:r>
    </w:p>
    <w:p>
      <w:pPr>
        <w:keepNext w:val="0"/>
        <w:keepLines w:val="0"/>
        <w:pageBreakBefore w:val="0"/>
        <w:widowControl w:val="0"/>
        <w:kinsoku/>
        <w:wordWrap/>
        <w:overflowPunct/>
        <w:topLinePunct w:val="0"/>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授予中小企业合同金额1,368.84万元，占政府采购支出总额的86.35%，其中：授予小微企业合同金额489.09万元，占政府采购支出总额的30.85%。</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2"/>
        <w:rPr>
          <w:rFonts w:hint="eastAsia" w:ascii="黑体" w:hAnsi="黑体" w:eastAsia="黑体"/>
          <w:sz w:val="32"/>
          <w:szCs w:val="32"/>
          <w:highlight w:val="none"/>
          <w:lang w:eastAsia="zh-CN"/>
        </w:rPr>
      </w:pPr>
      <w:r>
        <w:rPr>
          <w:rFonts w:hint="eastAsia" w:ascii="黑体" w:hAnsi="黑体" w:eastAsia="黑体"/>
          <w:sz w:val="32"/>
          <w:szCs w:val="32"/>
          <w:highlight w:val="none"/>
          <w:lang w:eastAsia="zh-CN"/>
        </w:rPr>
        <w:t>（三）国有资产占用情况说明</w:t>
      </w:r>
      <w:bookmarkEnd w:id="34"/>
      <w:bookmarkEnd w:id="35"/>
    </w:p>
    <w:p>
      <w:pPr>
        <w:keepNext w:val="0"/>
        <w:keepLines w:val="0"/>
        <w:pageBreakBefore w:val="0"/>
        <w:widowControl w:val="0"/>
        <w:kinsoku/>
        <w:wordWrap/>
        <w:overflowPunct/>
        <w:topLinePunct w:val="0"/>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截至2024年12月31日，房屋5,871.05平方米，价值997.91万元。车辆12辆，价值126.27万元，其中：副部（省）级及以上领导用车0辆、主要负责人用车0辆、机要通信用车0辆、应急保障用车0辆、执法执勤用车0辆、特种专业技术用车0辆、离退休干部服务用车0辆、其他用车12辆，其他用车主要是：</w:t>
      </w:r>
      <w:r>
        <w:rPr>
          <w:rFonts w:hint="eastAsia" w:ascii="仿宋_GB2312" w:eastAsia="仿宋_GB2312"/>
          <w:b w:val="0"/>
          <w:sz w:val="32"/>
          <w:szCs w:val="32"/>
        </w:rPr>
        <w:t>辖区内巡逻及镇级办公车辆</w:t>
      </w:r>
      <w:r>
        <w:rPr>
          <w:rFonts w:ascii="仿宋_GB2312" w:eastAsia="仿宋_GB2312"/>
          <w:b w:val="0"/>
          <w:sz w:val="32"/>
          <w:szCs w:val="32"/>
        </w:rPr>
        <w:t>;单价100万元（含）以上设备（不含车辆）0台（套）。</w:t>
      </w: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1"/>
        <w:rPr>
          <w:rFonts w:hint="eastAsia" w:ascii="黑体" w:hAnsi="黑体" w:eastAsia="黑体" w:cs="宋体"/>
          <w:bCs/>
          <w:kern w:val="0"/>
          <w:sz w:val="32"/>
          <w:szCs w:val="32"/>
          <w:highlight w:val="none"/>
          <w:lang w:eastAsia="zh-CN"/>
        </w:rPr>
      </w:pPr>
      <w:bookmarkStart w:id="36" w:name="_Toc435"/>
      <w:bookmarkStart w:id="37" w:name="_Toc17664"/>
      <w:r>
        <w:rPr>
          <w:rFonts w:hint="eastAsia" w:ascii="黑体" w:hAnsi="黑体" w:eastAsia="黑体" w:cs="宋体"/>
          <w:bCs/>
          <w:kern w:val="0"/>
          <w:sz w:val="32"/>
          <w:szCs w:val="32"/>
          <w:highlight w:val="none"/>
          <w:lang w:eastAsia="zh-CN"/>
        </w:rPr>
        <w:t>十</w:t>
      </w:r>
      <w:r>
        <w:rPr>
          <w:rFonts w:hint="eastAsia" w:ascii="黑体" w:hAnsi="黑体" w:eastAsia="黑体" w:cs="宋体"/>
          <w:bCs/>
          <w:kern w:val="0"/>
          <w:sz w:val="32"/>
          <w:szCs w:val="32"/>
          <w:highlight w:val="none"/>
          <w:lang w:val="en-US" w:eastAsia="zh-CN"/>
        </w:rPr>
        <w:t>一</w:t>
      </w:r>
      <w:r>
        <w:rPr>
          <w:rFonts w:hint="eastAsia" w:ascii="黑体" w:hAnsi="黑体" w:eastAsia="黑体" w:cs="宋体"/>
          <w:bCs/>
          <w:kern w:val="0"/>
          <w:sz w:val="32"/>
          <w:szCs w:val="32"/>
          <w:highlight w:val="none"/>
          <w:lang w:eastAsia="zh-CN"/>
        </w:rPr>
        <w:t>、预算绩效的情况说明</w:t>
      </w:r>
      <w:bookmarkEnd w:id="36"/>
      <w:bookmarkEnd w:id="37"/>
    </w:p>
    <w:p>
      <w:pPr>
        <w:keepNext w:val="0"/>
        <w:keepLines w:val="0"/>
        <w:pageBreakBefore w:val="0"/>
        <w:widowControl w:val="0"/>
        <w:kinsoku/>
        <w:wordWrap/>
        <w:overflowPunct/>
        <w:topLinePunct w:val="0"/>
        <w:bidi w:val="0"/>
        <w:adjustRightInd/>
        <w:snapToGrid/>
        <w:spacing w:line="560" w:lineRule="exact"/>
        <w:ind w:firstLine="640" w:firstLineChars="200"/>
        <w:jc w:val="left"/>
        <w:textAlignment w:val="auto"/>
        <w:rPr>
          <w:rFonts w:hint="eastAsia" w:ascii="仿宋_GB2312" w:eastAsia="仿宋_GB2312"/>
          <w:color w:val="auto"/>
          <w:sz w:val="32"/>
          <w:szCs w:val="32"/>
          <w:highlight w:val="none"/>
        </w:rPr>
      </w:pPr>
      <w:r>
        <w:rPr>
          <w:rFonts w:hint="eastAsia" w:ascii="仿宋_GB2312" w:eastAsia="仿宋_GB2312"/>
          <w:sz w:val="32"/>
          <w:szCs w:val="32"/>
          <w:highlight w:val="none"/>
          <w:lang w:eastAsia="zh-CN"/>
        </w:rPr>
        <w:t>根据预算绩效管理要求，</w:t>
      </w:r>
      <w:r>
        <w:rPr>
          <w:rFonts w:hint="eastAsia" w:ascii="仿宋_GB2312" w:eastAsia="仿宋_GB2312"/>
          <w:sz w:val="32"/>
          <w:szCs w:val="32"/>
          <w:highlight w:val="none"/>
          <w:lang w:val="en-US" w:eastAsia="zh-CN"/>
        </w:rPr>
        <w:t>本部门</w:t>
      </w:r>
      <w:r>
        <w:rPr>
          <w:rFonts w:hint="eastAsia" w:ascii="仿宋_GB2312" w:eastAsia="仿宋_GB2312"/>
          <w:sz w:val="32"/>
          <w:szCs w:val="32"/>
          <w:highlight w:val="none"/>
          <w:lang w:eastAsia="zh-CN"/>
        </w:rPr>
        <w:t>2024年度</w:t>
      </w:r>
      <w:r>
        <w:rPr>
          <w:rFonts w:hint="eastAsia" w:ascii="仿宋_GB2312" w:hAnsi="仿宋_GB2312" w:eastAsia="仿宋_GB2312" w:cs="仿宋_GB2312"/>
          <w:color w:val="auto"/>
          <w:kern w:val="0"/>
          <w:sz w:val="32"/>
          <w:szCs w:val="32"/>
          <w:highlight w:val="none"/>
        </w:rPr>
        <w:t>预算绩效管理整体</w:t>
      </w:r>
      <w:r>
        <w:rPr>
          <w:rFonts w:hint="eastAsia" w:ascii="仿宋_GB2312" w:hAnsi="仿宋_GB2312" w:eastAsia="仿宋_GB2312" w:cs="仿宋_GB2312"/>
          <w:color w:val="auto"/>
          <w:kern w:val="0"/>
          <w:sz w:val="32"/>
          <w:szCs w:val="32"/>
          <w:highlight w:val="none"/>
          <w:lang w:eastAsia="zh-CN"/>
        </w:rPr>
        <w:t>支出</w:t>
      </w:r>
      <w:r>
        <w:rPr>
          <w:rFonts w:hint="eastAsia" w:ascii="仿宋_GB2312" w:hAnsi="仿宋_GB2312" w:eastAsia="仿宋_GB2312" w:cs="仿宋_GB2312"/>
          <w:color w:val="auto"/>
          <w:kern w:val="0"/>
          <w:sz w:val="32"/>
          <w:szCs w:val="32"/>
          <w:highlight w:val="none"/>
        </w:rPr>
        <w:t>绩效自评表</w:t>
      </w:r>
      <w:r>
        <w:rPr>
          <w:rFonts w:hint="eastAsia" w:ascii="仿宋_GB2312" w:eastAsia="仿宋_GB2312"/>
          <w:sz w:val="32"/>
          <w:szCs w:val="32"/>
          <w:highlight w:val="none"/>
          <w:lang w:val="en-US" w:eastAsia="zh-CN"/>
        </w:rPr>
        <w:t>1</w:t>
      </w:r>
      <w:r>
        <w:rPr>
          <w:rFonts w:hint="eastAsia" w:ascii="仿宋_GB2312" w:hAnsi="仿宋_GB2312" w:eastAsia="仿宋_GB2312" w:cs="仿宋_GB2312"/>
          <w:color w:val="auto"/>
          <w:kern w:val="0"/>
          <w:sz w:val="32"/>
          <w:szCs w:val="32"/>
          <w:highlight w:val="none"/>
          <w:lang w:val="en-US" w:eastAsia="zh-CN"/>
        </w:rPr>
        <w:t>个，全年</w:t>
      </w:r>
      <w:r>
        <w:rPr>
          <w:rFonts w:hint="eastAsia" w:ascii="仿宋_GB2312" w:eastAsia="仿宋_GB2312"/>
          <w:sz w:val="32"/>
          <w:szCs w:val="32"/>
          <w:highlight w:val="none"/>
          <w:lang w:val="en-US" w:eastAsia="zh-CN"/>
        </w:rPr>
        <w:t>预算总额3，404.82</w:t>
      </w:r>
      <w:r>
        <w:rPr>
          <w:rFonts w:hint="eastAsia" w:ascii="仿宋_GB2312" w:eastAsia="仿宋_GB2312"/>
          <w:sz w:val="32"/>
          <w:szCs w:val="32"/>
          <w:highlight w:val="none"/>
        </w:rPr>
        <w:t>万元</w:t>
      </w:r>
      <w:r>
        <w:rPr>
          <w:rFonts w:hint="eastAsia" w:ascii="仿宋_GB2312" w:eastAsia="仿宋_GB2312"/>
          <w:sz w:val="32"/>
          <w:szCs w:val="32"/>
          <w:highlight w:val="none"/>
          <w:lang w:eastAsia="zh-CN"/>
        </w:rPr>
        <w:t>，</w:t>
      </w:r>
      <w:r>
        <w:rPr>
          <w:rFonts w:hint="eastAsia" w:ascii="仿宋_GB2312" w:eastAsia="仿宋_GB2312"/>
          <w:sz w:val="32"/>
          <w:szCs w:val="32"/>
          <w:highlight w:val="none"/>
          <w:lang w:val="en-US" w:eastAsia="zh-CN"/>
        </w:rPr>
        <w:t>实际执行总额3，404.82</w:t>
      </w:r>
      <w:r>
        <w:rPr>
          <w:rFonts w:hint="eastAsia" w:ascii="仿宋_GB2312" w:eastAsia="仿宋_GB2312"/>
          <w:sz w:val="32"/>
          <w:szCs w:val="32"/>
          <w:highlight w:val="none"/>
        </w:rPr>
        <w:t>万元</w:t>
      </w:r>
      <w:r>
        <w:rPr>
          <w:rFonts w:hint="eastAsia" w:ascii="仿宋_GB2312" w:hAnsi="仿宋_GB2312" w:eastAsia="仿宋_GB2312" w:cs="仿宋_GB2312"/>
          <w:color w:val="auto"/>
          <w:kern w:val="0"/>
          <w:sz w:val="32"/>
          <w:szCs w:val="32"/>
          <w:highlight w:val="none"/>
          <w:lang w:val="en-US" w:eastAsia="zh-CN"/>
        </w:rPr>
        <w:t>；</w:t>
      </w:r>
      <w:r>
        <w:rPr>
          <w:rFonts w:hint="eastAsia" w:ascii="仿宋_GB2312" w:eastAsia="仿宋_GB2312"/>
          <w:sz w:val="32"/>
          <w:szCs w:val="32"/>
          <w:highlight w:val="none"/>
          <w:lang w:eastAsia="zh-CN"/>
        </w:rPr>
        <w:t>预算绩效评价项目</w:t>
      </w:r>
      <w:r>
        <w:rPr>
          <w:rFonts w:hint="eastAsia" w:ascii="仿宋_GB2312" w:eastAsia="仿宋_GB2312"/>
          <w:sz w:val="32"/>
          <w:szCs w:val="32"/>
          <w:highlight w:val="none"/>
          <w:lang w:val="en-US" w:eastAsia="zh-CN"/>
        </w:rPr>
        <w:t>12</w:t>
      </w:r>
      <w:r>
        <w:rPr>
          <w:rFonts w:hint="eastAsia" w:ascii="仿宋_GB2312" w:eastAsia="仿宋_GB2312"/>
          <w:sz w:val="32"/>
          <w:szCs w:val="32"/>
          <w:highlight w:val="none"/>
          <w:lang w:eastAsia="zh-CN"/>
        </w:rPr>
        <w:t>个，</w:t>
      </w:r>
      <w:r>
        <w:rPr>
          <w:rFonts w:hint="eastAsia" w:ascii="仿宋_GB2312" w:eastAsia="仿宋_GB2312"/>
          <w:sz w:val="32"/>
          <w:szCs w:val="32"/>
          <w:highlight w:val="none"/>
          <w:lang w:val="en-US" w:eastAsia="zh-CN"/>
        </w:rPr>
        <w:t>全年预算数76.14</w:t>
      </w:r>
      <w:r>
        <w:rPr>
          <w:rFonts w:hint="eastAsia" w:ascii="仿宋_GB2312" w:eastAsia="仿宋_GB2312"/>
          <w:sz w:val="32"/>
          <w:szCs w:val="32"/>
          <w:highlight w:val="none"/>
        </w:rPr>
        <w:t>万元</w:t>
      </w:r>
      <w:r>
        <w:rPr>
          <w:rFonts w:hint="eastAsia" w:ascii="仿宋_GB2312" w:eastAsia="仿宋_GB2312"/>
          <w:sz w:val="32"/>
          <w:szCs w:val="32"/>
          <w:highlight w:val="none"/>
          <w:lang w:eastAsia="zh-CN"/>
        </w:rPr>
        <w:t>，</w:t>
      </w:r>
      <w:r>
        <w:rPr>
          <w:rFonts w:hint="eastAsia" w:ascii="仿宋_GB2312" w:eastAsia="仿宋_GB2312"/>
          <w:sz w:val="32"/>
          <w:szCs w:val="32"/>
          <w:highlight w:val="none"/>
          <w:lang w:val="en-US" w:eastAsia="zh-CN"/>
        </w:rPr>
        <w:t>全年执行数</w:t>
      </w:r>
      <w:bookmarkStart w:id="59" w:name="_GoBack"/>
      <w:r>
        <w:rPr>
          <w:rFonts w:hint="eastAsia" w:ascii="仿宋_GB2312" w:eastAsia="仿宋_GB2312"/>
          <w:sz w:val="32"/>
          <w:szCs w:val="32"/>
          <w:highlight w:val="none"/>
          <w:lang w:val="en-US" w:eastAsia="zh-CN"/>
        </w:rPr>
        <w:t>67.73</w:t>
      </w:r>
      <w:bookmarkEnd w:id="59"/>
      <w:r>
        <w:rPr>
          <w:rFonts w:hint="eastAsia" w:ascii="仿宋_GB2312" w:eastAsia="仿宋_GB2312"/>
          <w:sz w:val="32"/>
          <w:szCs w:val="32"/>
          <w:highlight w:val="none"/>
        </w:rPr>
        <w:t>万元</w:t>
      </w:r>
      <w:r>
        <w:rPr>
          <w:rFonts w:hint="eastAsia" w:ascii="仿宋_GB2312" w:eastAsia="仿宋_GB2312"/>
          <w:sz w:val="32"/>
          <w:szCs w:val="32"/>
          <w:highlight w:val="none"/>
          <w:lang w:eastAsia="zh-CN"/>
        </w:rPr>
        <w:t>。预算绩效管理取得的成效：</w:t>
      </w:r>
      <w:r>
        <w:rPr>
          <w:rFonts w:hint="eastAsia" w:ascii="仿宋_GB2312" w:eastAsia="仿宋_GB2312"/>
          <w:color w:val="auto"/>
          <w:sz w:val="32"/>
          <w:szCs w:val="32"/>
          <w:highlight w:val="none"/>
          <w:lang w:eastAsia="zh-CN"/>
        </w:rPr>
        <w:t>预算绩效管理取得的成效：一是确保各项惠民政策及时落地；二是解民忧暖民心，积极解决群众的困难诉求通过活动丰富了基层党组织生活，增强了基层党员的凝聚力，增强了党员的归属感、身份感及自豪感；三是调动了党员带头服务群众的积极性和率先垂范的重要性和使命感。发现的问题及原因：一是在工作产出完成及时率上由于前期计划工作数制定有所偏差，同时部门在工作完成及时率上也有所延迟，所以导致工作产出完成及时率没有达到100%；二是重点工作办结率也存在加强与上升空间，需要有关部门加强工作效率，在重点工作的完成率和完成度上都需要达到100%；三是村镇建设管理和专业技术人才相对缺乏，在工作协调等方面存在不足，影响了村镇建设的整体推进。下一步改进措施：一是细化预算编制工作，严格按照预算编制的相关制度和要求做好预算的编制，进一步加强各站所的预算管理意识；全面编制预算项目，优先保障固定的、相对刚性的费用支出项目，尽量压缩变动的、有控制空间的费用项目，进一步提高预算编制的科学性、严谨性和可控性；二是加强财务管理，严格财务审核。在费用报账支付时，按照预算规定的费用项目和用途进行资金使用审核、列报支付、财务核算，杜绝超支现象的发生；三是持续抓好“三公经费”控制管理。严格控制“三公经费”的规模和比例，把关“三公经费”支出的审核、审批，杜绝挪用和挤占其他预算资金行为；进一步细化“三公经费”的管理，合理压缩“三公经费”支出。具体</w:t>
      </w:r>
      <w:r>
        <w:rPr>
          <w:rFonts w:hint="eastAsia" w:ascii="仿宋_GB2312" w:eastAsia="仿宋_GB2312"/>
          <w:color w:val="auto"/>
          <w:sz w:val="32"/>
          <w:szCs w:val="32"/>
          <w:highlight w:val="none"/>
        </w:rPr>
        <w:t>项目自评情况附绩效自评表</w:t>
      </w:r>
      <w:r>
        <w:rPr>
          <w:rFonts w:hint="eastAsia" w:ascii="仿宋_GB2312" w:eastAsia="仿宋_GB2312"/>
          <w:color w:val="auto"/>
          <w:sz w:val="32"/>
          <w:szCs w:val="32"/>
          <w:highlight w:val="none"/>
          <w:lang w:val="en-US" w:eastAsia="zh-CN"/>
        </w:rPr>
        <w:t>及自评报告</w:t>
      </w:r>
      <w:r>
        <w:rPr>
          <w:rFonts w:hint="eastAsia" w:ascii="仿宋_GB2312" w:eastAsia="仿宋_GB2312"/>
          <w:color w:val="auto"/>
          <w:sz w:val="32"/>
          <w:szCs w:val="32"/>
          <w:highlight w:val="none"/>
        </w:rPr>
        <w:t>。</w:t>
      </w:r>
    </w:p>
    <w:p>
      <w:pPr>
        <w:keepNext w:val="0"/>
        <w:keepLines w:val="0"/>
        <w:pageBreakBefore w:val="0"/>
        <w:widowControl w:val="0"/>
        <w:kinsoku/>
        <w:wordWrap/>
        <w:overflowPunct/>
        <w:topLinePunct w:val="0"/>
        <w:bidi w:val="0"/>
        <w:adjustRightInd/>
        <w:snapToGrid/>
        <w:spacing w:line="560" w:lineRule="exact"/>
        <w:textAlignment w:val="auto"/>
        <w:rPr>
          <w:rFonts w:hint="eastAsia" w:ascii="黑体" w:hAnsi="黑体" w:eastAsia="黑体" w:cs="宋体"/>
          <w:bCs/>
          <w:kern w:val="0"/>
          <w:sz w:val="32"/>
          <w:szCs w:val="32"/>
          <w:highlight w:val="none"/>
          <w:lang w:eastAsia="zh-CN"/>
        </w:rPr>
      </w:pPr>
      <w:r>
        <w:rPr>
          <w:rFonts w:hint="eastAsia" w:ascii="黑体" w:hAnsi="黑体" w:eastAsia="黑体" w:cs="宋体"/>
          <w:bCs/>
          <w:kern w:val="0"/>
          <w:sz w:val="32"/>
          <w:szCs w:val="32"/>
          <w:highlight w:val="none"/>
          <w:lang w:eastAsia="zh-CN"/>
        </w:rPr>
        <w:t>十</w:t>
      </w:r>
      <w:r>
        <w:rPr>
          <w:rFonts w:hint="eastAsia" w:ascii="黑体" w:hAnsi="黑体" w:eastAsia="黑体" w:cs="宋体"/>
          <w:bCs/>
          <w:kern w:val="0"/>
          <w:sz w:val="32"/>
          <w:szCs w:val="32"/>
          <w:highlight w:val="none"/>
          <w:lang w:val="en-US" w:eastAsia="zh-CN"/>
        </w:rPr>
        <w:t>二</w:t>
      </w:r>
      <w:r>
        <w:rPr>
          <w:rFonts w:hint="eastAsia" w:ascii="黑体" w:hAnsi="黑体" w:eastAsia="黑体" w:cs="宋体"/>
          <w:bCs/>
          <w:kern w:val="0"/>
          <w:sz w:val="32"/>
          <w:szCs w:val="32"/>
          <w:highlight w:val="none"/>
          <w:lang w:eastAsia="zh-CN"/>
        </w:rPr>
        <w:t>、其他需说明的事项</w:t>
      </w:r>
    </w:p>
    <w:p>
      <w:pPr>
        <w:keepNext w:val="0"/>
        <w:keepLines w:val="0"/>
        <w:pageBreakBefore w:val="0"/>
        <w:widowControl w:val="0"/>
        <w:kinsoku/>
        <w:wordWrap/>
        <w:overflowPunct/>
        <w:topLinePunct w:val="0"/>
        <w:bidi w:val="0"/>
        <w:adjustRightInd/>
        <w:snapToGrid/>
        <w:spacing w:line="560" w:lineRule="exact"/>
        <w:ind w:firstLine="640" w:firstLineChars="200"/>
        <w:textAlignment w:val="auto"/>
        <w:rPr>
          <w:rFonts w:hint="eastAsia" w:ascii="黑体" w:hAnsi="黑体" w:eastAsia="黑体"/>
          <w:sz w:val="32"/>
          <w:szCs w:val="32"/>
          <w:highlight w:val="none"/>
        </w:rPr>
      </w:pPr>
      <w:r>
        <w:rPr>
          <w:rFonts w:hint="eastAsia" w:ascii="仿宋_GB2312" w:hAnsi="仿宋_GB2312" w:eastAsia="仿宋_GB2312" w:cs="仿宋_GB2312"/>
          <w:color w:val="auto"/>
          <w:kern w:val="0"/>
          <w:sz w:val="32"/>
          <w:szCs w:val="32"/>
          <w:highlight w:val="none"/>
          <w:lang w:val="en-US" w:eastAsia="zh-CN"/>
        </w:rPr>
        <w:t>本部门无其他需说明事项</w:t>
      </w:r>
      <w:bookmarkStart w:id="38" w:name="_Toc30038"/>
      <w:bookmarkStart w:id="39" w:name="_Toc24143"/>
    </w:p>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center"/>
        <w:textAlignment w:val="auto"/>
        <w:outlineLvl w:val="0"/>
        <w:rPr>
          <w:rFonts w:hint="eastAsia" w:ascii="黑体" w:hAnsi="黑体" w:eastAsia="黑体"/>
          <w:sz w:val="32"/>
          <w:szCs w:val="32"/>
          <w:highlight w:val="none"/>
        </w:rPr>
      </w:pPr>
    </w:p>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center"/>
        <w:textAlignment w:val="auto"/>
        <w:outlineLvl w:val="0"/>
        <w:rPr>
          <w:rFonts w:hint="eastAsia" w:ascii="黑体" w:hAnsi="黑体" w:eastAsia="黑体"/>
          <w:sz w:val="32"/>
          <w:szCs w:val="32"/>
          <w:highlight w:val="none"/>
        </w:rPr>
      </w:pPr>
      <w:r>
        <w:rPr>
          <w:rFonts w:hint="eastAsia" w:ascii="黑体" w:hAnsi="黑体" w:eastAsia="黑体"/>
          <w:sz w:val="32"/>
          <w:szCs w:val="32"/>
          <w:highlight w:val="none"/>
        </w:rPr>
        <w:t>第</w:t>
      </w:r>
      <w:r>
        <w:rPr>
          <w:rFonts w:hint="eastAsia" w:ascii="黑体" w:hAnsi="黑体" w:eastAsia="黑体"/>
          <w:sz w:val="32"/>
          <w:szCs w:val="32"/>
          <w:highlight w:val="none"/>
          <w:lang w:val="en-US" w:eastAsia="zh-CN"/>
        </w:rPr>
        <w:t>三</w:t>
      </w:r>
      <w:r>
        <w:rPr>
          <w:rFonts w:hint="eastAsia" w:ascii="黑体" w:hAnsi="黑体" w:eastAsia="黑体"/>
          <w:sz w:val="32"/>
          <w:szCs w:val="32"/>
          <w:highlight w:val="none"/>
        </w:rPr>
        <w:t>部分 专业名词解释</w:t>
      </w:r>
      <w:bookmarkEnd w:id="38"/>
      <w:bookmarkEnd w:id="39"/>
    </w:p>
    <w:p>
      <w:pPr>
        <w:keepNext w:val="0"/>
        <w:keepLines w:val="0"/>
        <w:pageBreakBefore w:val="0"/>
        <w:widowControl w:val="0"/>
        <w:kinsoku/>
        <w:wordWrap/>
        <w:overflowPunct/>
        <w:topLinePunct w:val="0"/>
        <w:autoSpaceDE w:val="0"/>
        <w:autoSpaceDN w:val="0"/>
        <w:bidi w:val="0"/>
        <w:adjustRightInd/>
        <w:snapToGrid/>
        <w:spacing w:line="560" w:lineRule="exact"/>
        <w:ind w:firstLine="643" w:firstLineChars="200"/>
        <w:textAlignment w:val="auto"/>
        <w:rPr>
          <w:rFonts w:hint="eastAsia" w:ascii="仿宋_GB2312" w:eastAsia="仿宋_GB2312"/>
          <w:sz w:val="32"/>
          <w:szCs w:val="32"/>
          <w:highlight w:val="none"/>
        </w:rPr>
      </w:pPr>
      <w:r>
        <w:rPr>
          <w:rFonts w:hint="eastAsia" w:ascii="仿宋_GB2312" w:eastAsia="仿宋_GB2312"/>
          <w:b/>
          <w:bCs/>
          <w:sz w:val="32"/>
          <w:szCs w:val="32"/>
          <w:highlight w:val="none"/>
          <w:lang w:val="en-US" w:eastAsia="zh-CN"/>
        </w:rPr>
        <w:t>一、</w:t>
      </w:r>
      <w:r>
        <w:rPr>
          <w:rFonts w:hint="eastAsia" w:ascii="仿宋_GB2312" w:eastAsia="仿宋_GB2312"/>
          <w:b/>
          <w:bCs/>
          <w:sz w:val="32"/>
          <w:szCs w:val="32"/>
          <w:highlight w:val="none"/>
        </w:rPr>
        <w:t>财政拨款收入：</w:t>
      </w:r>
      <w:r>
        <w:rPr>
          <w:rFonts w:hint="eastAsia" w:ascii="仿宋_GB2312" w:eastAsia="仿宋_GB2312"/>
          <w:sz w:val="32"/>
          <w:szCs w:val="32"/>
          <w:highlight w:val="none"/>
        </w:rPr>
        <w:t>指同级财政当年拨付的资金。</w:t>
      </w:r>
    </w:p>
    <w:p>
      <w:pPr>
        <w:keepNext w:val="0"/>
        <w:keepLines w:val="0"/>
        <w:pageBreakBefore w:val="0"/>
        <w:widowControl w:val="0"/>
        <w:kinsoku/>
        <w:wordWrap/>
        <w:overflowPunct/>
        <w:topLinePunct w:val="0"/>
        <w:autoSpaceDE w:val="0"/>
        <w:autoSpaceDN w:val="0"/>
        <w:bidi w:val="0"/>
        <w:adjustRightInd/>
        <w:snapToGrid/>
        <w:spacing w:line="560" w:lineRule="exact"/>
        <w:ind w:firstLine="643" w:firstLineChars="200"/>
        <w:textAlignment w:val="auto"/>
        <w:rPr>
          <w:rFonts w:hint="eastAsia" w:ascii="仿宋_GB2312" w:eastAsia="仿宋_GB2312"/>
          <w:sz w:val="32"/>
          <w:szCs w:val="32"/>
          <w:highlight w:val="none"/>
        </w:rPr>
      </w:pPr>
      <w:r>
        <w:rPr>
          <w:rFonts w:hint="eastAsia" w:ascii="仿宋_GB2312" w:eastAsia="仿宋_GB2312"/>
          <w:b/>
          <w:bCs/>
          <w:sz w:val="32"/>
          <w:szCs w:val="32"/>
          <w:highlight w:val="none"/>
          <w:lang w:val="en-US" w:eastAsia="zh-CN"/>
        </w:rPr>
        <w:t>二、</w:t>
      </w:r>
      <w:r>
        <w:rPr>
          <w:rFonts w:hint="eastAsia" w:ascii="仿宋_GB2312" w:eastAsia="仿宋_GB2312"/>
          <w:b/>
          <w:bCs/>
          <w:sz w:val="32"/>
          <w:szCs w:val="32"/>
          <w:highlight w:val="none"/>
        </w:rPr>
        <w:t>上级补助收入：</w:t>
      </w:r>
      <w:r>
        <w:rPr>
          <w:rFonts w:hint="eastAsia" w:ascii="仿宋_GB2312" w:eastAsia="仿宋_GB2312"/>
          <w:sz w:val="32"/>
          <w:szCs w:val="32"/>
          <w:highlight w:val="none"/>
        </w:rPr>
        <w:t>指事业单位从主管部门和上级单位取得的非财政补助收入。</w:t>
      </w:r>
    </w:p>
    <w:p>
      <w:pPr>
        <w:keepNext w:val="0"/>
        <w:keepLines w:val="0"/>
        <w:pageBreakBefore w:val="0"/>
        <w:widowControl w:val="0"/>
        <w:kinsoku/>
        <w:wordWrap/>
        <w:overflowPunct/>
        <w:topLinePunct w:val="0"/>
        <w:autoSpaceDE w:val="0"/>
        <w:autoSpaceDN w:val="0"/>
        <w:bidi w:val="0"/>
        <w:adjustRightInd/>
        <w:snapToGrid/>
        <w:spacing w:line="560" w:lineRule="exact"/>
        <w:ind w:firstLine="643" w:firstLineChars="200"/>
        <w:textAlignment w:val="auto"/>
        <w:rPr>
          <w:rFonts w:hint="eastAsia" w:ascii="仿宋_GB2312" w:eastAsia="仿宋_GB2312"/>
          <w:sz w:val="32"/>
          <w:szCs w:val="32"/>
          <w:highlight w:val="none"/>
        </w:rPr>
      </w:pPr>
      <w:r>
        <w:rPr>
          <w:rFonts w:hint="eastAsia" w:ascii="仿宋_GB2312" w:eastAsia="仿宋_GB2312"/>
          <w:b/>
          <w:bCs/>
          <w:sz w:val="32"/>
          <w:szCs w:val="32"/>
          <w:highlight w:val="none"/>
          <w:lang w:val="en-US" w:eastAsia="zh-CN"/>
        </w:rPr>
        <w:t>三、</w:t>
      </w:r>
      <w:r>
        <w:rPr>
          <w:rFonts w:hint="eastAsia" w:ascii="仿宋_GB2312" w:eastAsia="仿宋_GB2312"/>
          <w:b/>
          <w:bCs/>
          <w:sz w:val="32"/>
          <w:szCs w:val="32"/>
          <w:highlight w:val="none"/>
        </w:rPr>
        <w:t>事业收入：</w:t>
      </w:r>
      <w:r>
        <w:rPr>
          <w:rFonts w:hint="eastAsia" w:ascii="仿宋_GB2312" w:eastAsia="仿宋_GB2312"/>
          <w:sz w:val="32"/>
          <w:szCs w:val="32"/>
          <w:highlight w:val="none"/>
        </w:rPr>
        <w:t>指事业单位开展专业业务活动及其辅助活动所取得的收入。</w:t>
      </w:r>
    </w:p>
    <w:p>
      <w:pPr>
        <w:keepNext w:val="0"/>
        <w:keepLines w:val="0"/>
        <w:pageBreakBefore w:val="0"/>
        <w:widowControl w:val="0"/>
        <w:kinsoku/>
        <w:wordWrap/>
        <w:overflowPunct/>
        <w:topLinePunct w:val="0"/>
        <w:autoSpaceDE w:val="0"/>
        <w:autoSpaceDN w:val="0"/>
        <w:bidi w:val="0"/>
        <w:adjustRightInd/>
        <w:snapToGrid/>
        <w:spacing w:line="560" w:lineRule="exact"/>
        <w:ind w:firstLine="643" w:firstLineChars="200"/>
        <w:textAlignment w:val="auto"/>
        <w:rPr>
          <w:rFonts w:hint="eastAsia" w:ascii="仿宋_GB2312" w:eastAsia="仿宋_GB2312"/>
          <w:sz w:val="32"/>
          <w:szCs w:val="32"/>
          <w:highlight w:val="none"/>
        </w:rPr>
      </w:pPr>
      <w:r>
        <w:rPr>
          <w:rFonts w:hint="eastAsia" w:ascii="仿宋_GB2312" w:eastAsia="仿宋_GB2312"/>
          <w:b/>
          <w:bCs/>
          <w:sz w:val="32"/>
          <w:szCs w:val="32"/>
          <w:highlight w:val="none"/>
          <w:lang w:val="en-US" w:eastAsia="zh-CN"/>
        </w:rPr>
        <w:t>四、</w:t>
      </w:r>
      <w:r>
        <w:rPr>
          <w:rFonts w:hint="eastAsia" w:ascii="仿宋_GB2312" w:eastAsia="仿宋_GB2312"/>
          <w:b/>
          <w:bCs/>
          <w:sz w:val="32"/>
          <w:szCs w:val="32"/>
          <w:highlight w:val="none"/>
        </w:rPr>
        <w:t>经营收入：</w:t>
      </w:r>
      <w:r>
        <w:rPr>
          <w:rFonts w:hint="eastAsia" w:ascii="仿宋_GB2312" w:eastAsia="仿宋_GB2312"/>
          <w:sz w:val="32"/>
          <w:szCs w:val="32"/>
          <w:highlight w:val="none"/>
        </w:rPr>
        <w:t>指事业单位在专业业务活动及其辅助活动之外开展非独立核算经营活动取得的收入。</w:t>
      </w:r>
    </w:p>
    <w:p>
      <w:pPr>
        <w:keepNext w:val="0"/>
        <w:keepLines w:val="0"/>
        <w:pageBreakBefore w:val="0"/>
        <w:widowControl w:val="0"/>
        <w:kinsoku/>
        <w:wordWrap/>
        <w:overflowPunct/>
        <w:topLinePunct w:val="0"/>
        <w:autoSpaceDE w:val="0"/>
        <w:autoSpaceDN w:val="0"/>
        <w:bidi w:val="0"/>
        <w:adjustRightInd/>
        <w:snapToGrid/>
        <w:spacing w:line="560" w:lineRule="exact"/>
        <w:ind w:firstLine="643" w:firstLineChars="200"/>
        <w:textAlignment w:val="auto"/>
        <w:rPr>
          <w:rFonts w:hint="eastAsia" w:ascii="仿宋_GB2312" w:eastAsia="仿宋_GB2312"/>
          <w:sz w:val="32"/>
          <w:szCs w:val="32"/>
          <w:highlight w:val="none"/>
        </w:rPr>
      </w:pPr>
      <w:r>
        <w:rPr>
          <w:rFonts w:hint="eastAsia" w:ascii="仿宋_GB2312" w:eastAsia="仿宋_GB2312"/>
          <w:b/>
          <w:bCs/>
          <w:sz w:val="32"/>
          <w:szCs w:val="32"/>
          <w:highlight w:val="none"/>
          <w:lang w:val="en-US" w:eastAsia="zh-CN"/>
        </w:rPr>
        <w:t>五、</w:t>
      </w:r>
      <w:r>
        <w:rPr>
          <w:rFonts w:hint="eastAsia" w:ascii="仿宋_GB2312" w:eastAsia="仿宋_GB2312"/>
          <w:b/>
          <w:bCs/>
          <w:sz w:val="32"/>
          <w:szCs w:val="32"/>
          <w:highlight w:val="none"/>
        </w:rPr>
        <w:t>附属单位上缴收入：</w:t>
      </w:r>
      <w:r>
        <w:rPr>
          <w:rFonts w:hint="eastAsia" w:ascii="仿宋_GB2312" w:eastAsia="仿宋_GB2312"/>
          <w:sz w:val="32"/>
          <w:szCs w:val="32"/>
          <w:highlight w:val="none"/>
        </w:rPr>
        <w:t>指事业单位附属的独立核算单位按有关规定上缴的收入。</w:t>
      </w:r>
    </w:p>
    <w:p>
      <w:pPr>
        <w:keepNext w:val="0"/>
        <w:keepLines w:val="0"/>
        <w:pageBreakBefore w:val="0"/>
        <w:widowControl w:val="0"/>
        <w:kinsoku/>
        <w:wordWrap/>
        <w:overflowPunct/>
        <w:topLinePunct w:val="0"/>
        <w:autoSpaceDE w:val="0"/>
        <w:autoSpaceDN w:val="0"/>
        <w:bidi w:val="0"/>
        <w:adjustRightInd/>
        <w:snapToGrid/>
        <w:spacing w:line="560" w:lineRule="exact"/>
        <w:ind w:firstLine="643" w:firstLineChars="200"/>
        <w:textAlignment w:val="auto"/>
        <w:rPr>
          <w:rFonts w:hint="eastAsia" w:ascii="仿宋_GB2312" w:eastAsia="仿宋_GB2312"/>
          <w:sz w:val="32"/>
          <w:szCs w:val="32"/>
          <w:highlight w:val="none"/>
        </w:rPr>
      </w:pPr>
      <w:r>
        <w:rPr>
          <w:rFonts w:hint="eastAsia" w:ascii="仿宋_GB2312" w:eastAsia="仿宋_GB2312"/>
          <w:b/>
          <w:bCs/>
          <w:sz w:val="32"/>
          <w:szCs w:val="32"/>
          <w:highlight w:val="none"/>
          <w:lang w:val="en-US" w:eastAsia="zh-CN"/>
        </w:rPr>
        <w:t>六、</w:t>
      </w:r>
      <w:r>
        <w:rPr>
          <w:rFonts w:hint="eastAsia" w:ascii="仿宋_GB2312" w:eastAsia="仿宋_GB2312"/>
          <w:b/>
          <w:bCs/>
          <w:sz w:val="32"/>
          <w:szCs w:val="32"/>
          <w:highlight w:val="none"/>
        </w:rPr>
        <w:t>其他收入：</w:t>
      </w:r>
      <w:r>
        <w:rPr>
          <w:rFonts w:hint="eastAsia" w:ascii="仿宋_GB2312" w:eastAsia="仿宋_GB2312"/>
          <w:sz w:val="32"/>
          <w:szCs w:val="32"/>
          <w:highlight w:val="none"/>
        </w:rPr>
        <w:t>指除上述“财政拨款收入”、“事业收入”、“经营收入”、“附属单位上缴收入”等之外取得的收入。</w:t>
      </w:r>
    </w:p>
    <w:p>
      <w:pPr>
        <w:keepNext w:val="0"/>
        <w:keepLines w:val="0"/>
        <w:pageBreakBefore w:val="0"/>
        <w:widowControl w:val="0"/>
        <w:kinsoku/>
        <w:wordWrap/>
        <w:overflowPunct/>
        <w:topLinePunct w:val="0"/>
        <w:autoSpaceDE w:val="0"/>
        <w:autoSpaceDN w:val="0"/>
        <w:bidi w:val="0"/>
        <w:adjustRightInd/>
        <w:snapToGrid/>
        <w:spacing w:line="560" w:lineRule="exact"/>
        <w:ind w:firstLine="643" w:firstLineChars="200"/>
        <w:textAlignment w:val="auto"/>
        <w:rPr>
          <w:rFonts w:hint="eastAsia" w:ascii="仿宋_GB2312" w:eastAsia="仿宋_GB2312"/>
          <w:sz w:val="32"/>
          <w:szCs w:val="32"/>
          <w:highlight w:val="none"/>
        </w:rPr>
      </w:pPr>
      <w:r>
        <w:rPr>
          <w:rFonts w:hint="eastAsia" w:ascii="仿宋_GB2312" w:eastAsia="仿宋_GB2312"/>
          <w:b/>
          <w:bCs/>
          <w:sz w:val="32"/>
          <w:szCs w:val="32"/>
          <w:highlight w:val="none"/>
          <w:lang w:val="en-US" w:eastAsia="zh-CN"/>
        </w:rPr>
        <w:t>七、</w:t>
      </w:r>
      <w:r>
        <w:rPr>
          <w:rFonts w:hint="eastAsia" w:ascii="仿宋_GB2312" w:eastAsia="仿宋_GB2312"/>
          <w:b/>
          <w:bCs/>
          <w:sz w:val="32"/>
          <w:szCs w:val="32"/>
          <w:highlight w:val="none"/>
          <w:lang w:eastAsia="zh-CN"/>
        </w:rPr>
        <w:t>年初</w:t>
      </w:r>
      <w:r>
        <w:rPr>
          <w:rFonts w:hint="eastAsia" w:ascii="仿宋_GB2312" w:eastAsia="仿宋_GB2312"/>
          <w:b/>
          <w:bCs/>
          <w:sz w:val="32"/>
          <w:szCs w:val="32"/>
          <w:highlight w:val="none"/>
        </w:rPr>
        <w:t>结转和结余：</w:t>
      </w:r>
      <w:r>
        <w:rPr>
          <w:rFonts w:hint="eastAsia" w:ascii="仿宋_GB2312" w:eastAsia="仿宋_GB2312"/>
          <w:sz w:val="32"/>
          <w:szCs w:val="32"/>
          <w:highlight w:val="none"/>
        </w:rPr>
        <w:t>指以前年度支出预算因客观条件变化未执行完毕、结转到本年度按有关规定继续使用的资金，既包括财政拨款结转和结余，也包括事业收入、经营收入、其他收入的结转和结余。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val="0"/>
        <w:autoSpaceDN w:val="0"/>
        <w:bidi w:val="0"/>
        <w:adjustRightInd/>
        <w:snapToGrid/>
        <w:spacing w:line="560" w:lineRule="exact"/>
        <w:ind w:firstLine="643" w:firstLineChars="200"/>
        <w:textAlignment w:val="auto"/>
        <w:rPr>
          <w:rFonts w:hint="eastAsia" w:ascii="仿宋_GB2312" w:eastAsia="仿宋_GB2312"/>
          <w:sz w:val="32"/>
          <w:szCs w:val="32"/>
          <w:highlight w:val="none"/>
        </w:rPr>
      </w:pPr>
      <w:r>
        <w:rPr>
          <w:rFonts w:hint="eastAsia" w:ascii="仿宋_GB2312" w:eastAsia="仿宋_GB2312"/>
          <w:b/>
          <w:bCs/>
          <w:sz w:val="32"/>
          <w:szCs w:val="32"/>
          <w:highlight w:val="none"/>
          <w:lang w:val="en-US" w:eastAsia="zh-CN"/>
        </w:rPr>
        <w:t>八、</w:t>
      </w:r>
      <w:r>
        <w:rPr>
          <w:rFonts w:hint="eastAsia" w:ascii="仿宋_GB2312" w:eastAsia="仿宋_GB2312"/>
          <w:b/>
          <w:bCs/>
          <w:sz w:val="32"/>
          <w:szCs w:val="32"/>
          <w:highlight w:val="none"/>
        </w:rPr>
        <w:t>年末结转和结余：</w:t>
      </w:r>
      <w:r>
        <w:rPr>
          <w:rFonts w:hint="eastAsia" w:ascii="仿宋_GB2312" w:eastAsia="仿宋_GB2312"/>
          <w:sz w:val="32"/>
          <w:szCs w:val="32"/>
          <w:highlight w:val="none"/>
        </w:rPr>
        <w:t>指本年度或以前年度预算安排、因客观条件发生变化无法按原计划实施，需要延迟到以后年度按有关规定继续使用的资金，既包括财政拨款结转和结余，也包括事业收入、经营收入、其他收入的结转和结余。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val="0"/>
        <w:autoSpaceDN w:val="0"/>
        <w:bidi w:val="0"/>
        <w:adjustRightInd/>
        <w:snapToGrid/>
        <w:spacing w:line="560" w:lineRule="exact"/>
        <w:ind w:firstLine="643" w:firstLineChars="200"/>
        <w:textAlignment w:val="auto"/>
        <w:rPr>
          <w:rFonts w:hint="eastAsia" w:ascii="仿宋_GB2312" w:eastAsia="仿宋_GB2312"/>
          <w:sz w:val="32"/>
          <w:szCs w:val="32"/>
          <w:highlight w:val="none"/>
        </w:rPr>
      </w:pPr>
      <w:r>
        <w:rPr>
          <w:rFonts w:hint="eastAsia" w:ascii="仿宋_GB2312" w:eastAsia="仿宋_GB2312"/>
          <w:b/>
          <w:bCs/>
          <w:sz w:val="32"/>
          <w:szCs w:val="32"/>
          <w:highlight w:val="none"/>
          <w:lang w:val="en-US" w:eastAsia="zh-CN"/>
        </w:rPr>
        <w:t>九、</w:t>
      </w:r>
      <w:r>
        <w:rPr>
          <w:rFonts w:hint="eastAsia" w:ascii="仿宋_GB2312" w:eastAsia="仿宋_GB2312"/>
          <w:b/>
          <w:bCs/>
          <w:sz w:val="32"/>
          <w:szCs w:val="32"/>
          <w:highlight w:val="none"/>
        </w:rPr>
        <w:t>基本支出：</w:t>
      </w:r>
      <w:r>
        <w:rPr>
          <w:rFonts w:hint="eastAsia" w:ascii="仿宋_GB2312" w:eastAsia="仿宋_GB2312"/>
          <w:sz w:val="32"/>
          <w:szCs w:val="32"/>
          <w:highlight w:val="none"/>
        </w:rPr>
        <w:t>指为保障机构正常运转、完成日常工作任务而发生的人员支出和公用支出。</w:t>
      </w:r>
    </w:p>
    <w:p>
      <w:pPr>
        <w:keepNext w:val="0"/>
        <w:keepLines w:val="0"/>
        <w:pageBreakBefore w:val="0"/>
        <w:widowControl w:val="0"/>
        <w:kinsoku/>
        <w:wordWrap/>
        <w:overflowPunct/>
        <w:topLinePunct w:val="0"/>
        <w:autoSpaceDE w:val="0"/>
        <w:autoSpaceDN w:val="0"/>
        <w:bidi w:val="0"/>
        <w:adjustRightInd/>
        <w:snapToGrid/>
        <w:spacing w:line="560" w:lineRule="exact"/>
        <w:ind w:firstLine="643" w:firstLineChars="200"/>
        <w:textAlignment w:val="auto"/>
        <w:rPr>
          <w:rFonts w:hint="eastAsia" w:ascii="仿宋_GB2312" w:eastAsia="仿宋_GB2312"/>
          <w:sz w:val="32"/>
          <w:szCs w:val="32"/>
          <w:highlight w:val="none"/>
        </w:rPr>
      </w:pPr>
      <w:r>
        <w:rPr>
          <w:rFonts w:hint="eastAsia" w:ascii="仿宋_GB2312" w:eastAsia="仿宋_GB2312"/>
          <w:b/>
          <w:bCs/>
          <w:sz w:val="32"/>
          <w:szCs w:val="32"/>
          <w:highlight w:val="none"/>
          <w:lang w:val="en-US" w:eastAsia="zh-CN"/>
        </w:rPr>
        <w:t>十、</w:t>
      </w:r>
      <w:r>
        <w:rPr>
          <w:rFonts w:hint="eastAsia" w:ascii="仿宋_GB2312" w:eastAsia="仿宋_GB2312"/>
          <w:b/>
          <w:bCs/>
          <w:sz w:val="32"/>
          <w:szCs w:val="32"/>
          <w:highlight w:val="none"/>
        </w:rPr>
        <w:t>项目支出：</w:t>
      </w:r>
      <w:r>
        <w:rPr>
          <w:rFonts w:hint="eastAsia" w:ascii="仿宋_GB2312" w:eastAsia="仿宋_GB2312"/>
          <w:sz w:val="32"/>
          <w:szCs w:val="32"/>
          <w:highlight w:val="none"/>
        </w:rPr>
        <w:t>指在基本支出之外为完成特定行政任务和事业发展目标所发生的支出。</w:t>
      </w:r>
    </w:p>
    <w:p>
      <w:pPr>
        <w:keepNext w:val="0"/>
        <w:keepLines w:val="0"/>
        <w:pageBreakBefore w:val="0"/>
        <w:widowControl w:val="0"/>
        <w:kinsoku/>
        <w:wordWrap/>
        <w:overflowPunct/>
        <w:topLinePunct w:val="0"/>
        <w:autoSpaceDE w:val="0"/>
        <w:autoSpaceDN w:val="0"/>
        <w:bidi w:val="0"/>
        <w:adjustRightInd/>
        <w:snapToGrid/>
        <w:spacing w:line="560" w:lineRule="exact"/>
        <w:ind w:firstLine="643" w:firstLineChars="200"/>
        <w:textAlignment w:val="auto"/>
        <w:rPr>
          <w:rFonts w:hint="eastAsia" w:ascii="仿宋_GB2312" w:eastAsia="仿宋_GB2312"/>
          <w:sz w:val="32"/>
          <w:szCs w:val="32"/>
          <w:highlight w:val="none"/>
        </w:rPr>
      </w:pPr>
      <w:r>
        <w:rPr>
          <w:rFonts w:hint="eastAsia" w:ascii="仿宋_GB2312" w:eastAsia="仿宋_GB2312"/>
          <w:b/>
          <w:bCs/>
          <w:sz w:val="32"/>
          <w:szCs w:val="32"/>
          <w:highlight w:val="none"/>
          <w:lang w:val="en-US" w:eastAsia="zh-CN"/>
        </w:rPr>
        <w:t>十一、</w:t>
      </w:r>
      <w:r>
        <w:rPr>
          <w:rFonts w:hint="eastAsia" w:ascii="仿宋_GB2312" w:eastAsia="仿宋_GB2312"/>
          <w:b/>
          <w:bCs/>
          <w:sz w:val="32"/>
          <w:szCs w:val="32"/>
          <w:highlight w:val="none"/>
        </w:rPr>
        <w:t>经营支出：</w:t>
      </w:r>
      <w:r>
        <w:rPr>
          <w:rFonts w:hint="eastAsia" w:ascii="仿宋_GB2312" w:eastAsia="仿宋_GB2312"/>
          <w:sz w:val="32"/>
          <w:szCs w:val="32"/>
          <w:highlight w:val="none"/>
        </w:rPr>
        <w:t>指事业单位在专业业务活动及其辅助活动之外开展非独立核算经营活动发生的支出。</w:t>
      </w:r>
    </w:p>
    <w:p>
      <w:pPr>
        <w:keepNext w:val="0"/>
        <w:keepLines w:val="0"/>
        <w:pageBreakBefore w:val="0"/>
        <w:widowControl w:val="0"/>
        <w:kinsoku/>
        <w:wordWrap/>
        <w:overflowPunct/>
        <w:topLinePunct w:val="0"/>
        <w:autoSpaceDE w:val="0"/>
        <w:autoSpaceDN w:val="0"/>
        <w:bidi w:val="0"/>
        <w:adjustRightInd/>
        <w:snapToGrid/>
        <w:spacing w:line="560" w:lineRule="exact"/>
        <w:ind w:firstLine="643" w:firstLineChars="200"/>
        <w:textAlignment w:val="auto"/>
        <w:rPr>
          <w:rFonts w:hint="eastAsia" w:ascii="仿宋_GB2312" w:eastAsia="仿宋_GB2312"/>
          <w:sz w:val="32"/>
          <w:szCs w:val="32"/>
          <w:highlight w:val="none"/>
        </w:rPr>
      </w:pPr>
      <w:r>
        <w:rPr>
          <w:rFonts w:hint="eastAsia" w:ascii="仿宋_GB2312" w:eastAsia="仿宋_GB2312"/>
          <w:b/>
          <w:bCs/>
          <w:sz w:val="32"/>
          <w:szCs w:val="32"/>
          <w:highlight w:val="none"/>
          <w:lang w:val="en-US" w:eastAsia="zh-CN"/>
        </w:rPr>
        <w:t>十二、</w:t>
      </w:r>
      <w:r>
        <w:rPr>
          <w:rFonts w:hint="eastAsia" w:ascii="仿宋_GB2312" w:eastAsia="仿宋_GB2312"/>
          <w:b/>
          <w:bCs/>
          <w:sz w:val="32"/>
          <w:szCs w:val="32"/>
          <w:highlight w:val="none"/>
        </w:rPr>
        <w:t>对附属单位补助支出：</w:t>
      </w:r>
      <w:r>
        <w:rPr>
          <w:rFonts w:hint="eastAsia" w:ascii="仿宋_GB2312" w:eastAsia="仿宋_GB2312"/>
          <w:sz w:val="32"/>
          <w:szCs w:val="32"/>
          <w:highlight w:val="none"/>
        </w:rPr>
        <w:t>指事业单位发生的用非财政预算资金对附属单位的补助支出。</w:t>
      </w:r>
    </w:p>
    <w:p>
      <w:pPr>
        <w:keepNext w:val="0"/>
        <w:keepLines w:val="0"/>
        <w:pageBreakBefore w:val="0"/>
        <w:widowControl w:val="0"/>
        <w:kinsoku/>
        <w:wordWrap/>
        <w:overflowPunct/>
        <w:topLinePunct w:val="0"/>
        <w:autoSpaceDE w:val="0"/>
        <w:autoSpaceDN w:val="0"/>
        <w:bidi w:val="0"/>
        <w:adjustRightInd/>
        <w:snapToGrid/>
        <w:spacing w:line="560" w:lineRule="exact"/>
        <w:ind w:firstLine="643" w:firstLineChars="200"/>
        <w:textAlignment w:val="auto"/>
        <w:rPr>
          <w:rFonts w:hint="eastAsia" w:ascii="仿宋_GB2312" w:eastAsia="仿宋_GB2312"/>
          <w:sz w:val="32"/>
          <w:szCs w:val="32"/>
          <w:highlight w:val="none"/>
          <w:lang w:eastAsia="zh-CN"/>
        </w:rPr>
      </w:pPr>
      <w:r>
        <w:rPr>
          <w:rFonts w:hint="eastAsia" w:ascii="仿宋_GB2312" w:eastAsia="仿宋_GB2312"/>
          <w:b/>
          <w:bCs/>
          <w:sz w:val="32"/>
          <w:szCs w:val="32"/>
          <w:highlight w:val="none"/>
          <w:lang w:val="en-US" w:eastAsia="zh-CN"/>
        </w:rPr>
        <w:t>十三、</w:t>
      </w:r>
      <w:r>
        <w:rPr>
          <w:rFonts w:hint="eastAsia" w:ascii="仿宋_GB2312" w:eastAsia="仿宋_GB2312"/>
          <w:b/>
          <w:bCs/>
          <w:sz w:val="32"/>
          <w:szCs w:val="32"/>
          <w:highlight w:val="none"/>
        </w:rPr>
        <w:t>“三公”经费：</w:t>
      </w:r>
      <w:r>
        <w:rPr>
          <w:rFonts w:hint="eastAsia" w:ascii="仿宋_GB2312" w:eastAsia="仿宋_GB2312"/>
          <w:sz w:val="32"/>
          <w:szCs w:val="32"/>
          <w:highlight w:val="none"/>
        </w:rPr>
        <w:t>指用财政拨款安排的因公出国（境）费、公务用车购置及运行费和公务接待费。其中，因公出国（境）费反映单位公务出国（境）的</w:t>
      </w:r>
      <w:r>
        <w:rPr>
          <w:rFonts w:hint="eastAsia" w:ascii="仿宋_GB2312" w:eastAsia="仿宋_GB2312"/>
          <w:sz w:val="32"/>
          <w:szCs w:val="32"/>
          <w:highlight w:val="none"/>
          <w:lang w:eastAsia="zh-CN"/>
        </w:rPr>
        <w:t>国际旅费、国外城市间交通费、</w:t>
      </w:r>
      <w:r>
        <w:rPr>
          <w:rFonts w:hint="eastAsia" w:ascii="仿宋_GB2312" w:eastAsia="仿宋_GB2312"/>
          <w:sz w:val="32"/>
          <w:szCs w:val="32"/>
          <w:highlight w:val="none"/>
        </w:rPr>
        <w:t>住宿费、伙食费、培训费、</w:t>
      </w:r>
      <w:r>
        <w:rPr>
          <w:rFonts w:hint="eastAsia" w:ascii="仿宋_GB2312" w:eastAsia="仿宋_GB2312"/>
          <w:sz w:val="32"/>
          <w:szCs w:val="32"/>
          <w:highlight w:val="none"/>
          <w:lang w:eastAsia="zh-CN"/>
        </w:rPr>
        <w:t>公</w:t>
      </w:r>
      <w:r>
        <w:rPr>
          <w:rFonts w:hint="eastAsia" w:ascii="仿宋_GB2312" w:eastAsia="仿宋_GB2312"/>
          <w:sz w:val="32"/>
          <w:szCs w:val="32"/>
          <w:highlight w:val="none"/>
        </w:rPr>
        <w:t>杂费等支出；公务用车购置</w:t>
      </w:r>
      <w:r>
        <w:rPr>
          <w:rFonts w:hint="eastAsia" w:ascii="仿宋_GB2312" w:eastAsia="仿宋_GB2312"/>
          <w:sz w:val="32"/>
          <w:szCs w:val="32"/>
          <w:highlight w:val="none"/>
          <w:lang w:eastAsia="zh-CN"/>
        </w:rPr>
        <w:t>反映公务用车购置支出（含车辆购置税、牌照费）；</w:t>
      </w:r>
      <w:r>
        <w:rPr>
          <w:rFonts w:hint="eastAsia" w:ascii="仿宋_GB2312" w:eastAsia="仿宋_GB2312"/>
          <w:sz w:val="32"/>
          <w:szCs w:val="32"/>
          <w:highlight w:val="none"/>
        </w:rPr>
        <w:t>公务用车运行</w:t>
      </w:r>
      <w:r>
        <w:rPr>
          <w:rFonts w:hint="eastAsia" w:ascii="仿宋_GB2312" w:eastAsia="仿宋_GB2312"/>
          <w:sz w:val="32"/>
          <w:szCs w:val="32"/>
          <w:highlight w:val="none"/>
          <w:lang w:eastAsia="zh-CN"/>
        </w:rPr>
        <w:t>维护</w:t>
      </w:r>
      <w:r>
        <w:rPr>
          <w:rFonts w:hint="eastAsia" w:ascii="仿宋_GB2312" w:eastAsia="仿宋_GB2312"/>
          <w:sz w:val="32"/>
          <w:szCs w:val="32"/>
          <w:highlight w:val="none"/>
        </w:rPr>
        <w:t>费反映</w:t>
      </w:r>
      <w:r>
        <w:rPr>
          <w:rFonts w:hint="eastAsia" w:ascii="仿宋_GB2312" w:eastAsia="仿宋_GB2312"/>
          <w:sz w:val="32"/>
          <w:szCs w:val="32"/>
          <w:highlight w:val="none"/>
          <w:lang w:eastAsia="zh-CN"/>
        </w:rPr>
        <w:t>单位按规定保留的公务用车燃料费、维修费、</w:t>
      </w:r>
      <w:r>
        <w:rPr>
          <w:rFonts w:hint="eastAsia" w:ascii="仿宋_GB2312" w:eastAsia="仿宋_GB2312"/>
          <w:sz w:val="32"/>
          <w:szCs w:val="32"/>
          <w:highlight w:val="none"/>
        </w:rPr>
        <w:t>过路过桥费、保险费、安全奖励费用等支出</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公务接待费反映单位按规定开支的各类公务接待（含外宾接待）</w:t>
      </w:r>
      <w:r>
        <w:rPr>
          <w:rFonts w:hint="eastAsia" w:ascii="仿宋_GB2312" w:eastAsia="仿宋_GB2312"/>
          <w:sz w:val="32"/>
          <w:szCs w:val="32"/>
          <w:highlight w:val="none"/>
          <w:lang w:eastAsia="zh-CN"/>
        </w:rPr>
        <w:t>费用</w:t>
      </w:r>
      <w:r>
        <w:rPr>
          <w:rFonts w:hint="eastAsia" w:ascii="仿宋_GB2312" w:eastAsia="仿宋_GB2312"/>
          <w:sz w:val="32"/>
          <w:szCs w:val="32"/>
          <w:highlight w:val="none"/>
        </w:rPr>
        <w:t>。</w:t>
      </w:r>
    </w:p>
    <w:p>
      <w:pPr>
        <w:keepNext w:val="0"/>
        <w:keepLines w:val="0"/>
        <w:pageBreakBefore w:val="0"/>
        <w:widowControl w:val="0"/>
        <w:kinsoku/>
        <w:wordWrap/>
        <w:overflowPunct/>
        <w:topLinePunct w:val="0"/>
        <w:bidi w:val="0"/>
        <w:adjustRightInd/>
        <w:snapToGrid/>
        <w:spacing w:line="560" w:lineRule="exact"/>
        <w:ind w:firstLine="643" w:firstLineChars="200"/>
        <w:textAlignment w:val="auto"/>
        <w:rPr>
          <w:rFonts w:hint="eastAsia" w:ascii="仿宋_GB2312" w:eastAsia="仿宋_GB2312"/>
          <w:sz w:val="32"/>
          <w:szCs w:val="32"/>
          <w:highlight w:val="none"/>
        </w:rPr>
      </w:pPr>
      <w:r>
        <w:rPr>
          <w:rFonts w:hint="eastAsia" w:ascii="仿宋_GB2312" w:eastAsia="仿宋_GB2312"/>
          <w:b/>
          <w:bCs/>
          <w:sz w:val="32"/>
          <w:szCs w:val="32"/>
          <w:highlight w:val="none"/>
          <w:lang w:val="en-US" w:eastAsia="zh-CN"/>
        </w:rPr>
        <w:t>十四、</w:t>
      </w:r>
      <w:r>
        <w:rPr>
          <w:rFonts w:hint="eastAsia" w:ascii="仿宋_GB2312" w:eastAsia="仿宋_GB2312"/>
          <w:b/>
          <w:bCs/>
          <w:sz w:val="32"/>
          <w:szCs w:val="32"/>
          <w:highlight w:val="none"/>
        </w:rPr>
        <w:t>机关运行经费：</w:t>
      </w:r>
      <w:r>
        <w:rPr>
          <w:rFonts w:hint="eastAsia" w:ascii="仿宋_GB2312" w:eastAsia="仿宋_GB2312"/>
          <w:sz w:val="32"/>
          <w:szCs w:val="32"/>
          <w:highlight w:val="none"/>
        </w:rPr>
        <w:t>行政单位和参照公务员法管理的事业单位财政拨款基本支出中的公用经费支出。</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center"/>
        <w:textAlignment w:val="auto"/>
        <w:outlineLvl w:val="0"/>
        <w:rPr>
          <w:rFonts w:hint="eastAsia" w:ascii="黑体" w:hAnsi="黑体" w:eastAsia="黑体"/>
          <w:sz w:val="32"/>
          <w:szCs w:val="32"/>
          <w:highlight w:val="none"/>
        </w:rPr>
      </w:pPr>
      <w:r>
        <w:rPr>
          <w:rFonts w:hint="eastAsia" w:ascii="仿宋_GB2312" w:eastAsia="仿宋_GB2312"/>
          <w:sz w:val="32"/>
          <w:szCs w:val="32"/>
          <w:highlight w:val="none"/>
        </w:rPr>
        <w:br w:type="page"/>
      </w:r>
      <w:bookmarkStart w:id="40" w:name="_Toc6831"/>
      <w:r>
        <w:rPr>
          <w:rFonts w:hint="eastAsia" w:ascii="黑体" w:hAnsi="黑体" w:eastAsia="黑体"/>
          <w:sz w:val="32"/>
          <w:szCs w:val="32"/>
          <w:highlight w:val="none"/>
        </w:rPr>
        <w:t>第四部分 部门决算报表（见附表）</w:t>
      </w:r>
      <w:bookmarkEnd w:id="40"/>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1"/>
        <w:rPr>
          <w:rFonts w:hint="eastAsia" w:ascii="仿宋_GB2312" w:hAnsi="仿宋_GB2312" w:eastAsia="仿宋_GB2312" w:cs="仿宋_GB2312"/>
          <w:bCs/>
          <w:kern w:val="0"/>
          <w:sz w:val="32"/>
          <w:szCs w:val="32"/>
          <w:highlight w:val="none"/>
        </w:rPr>
      </w:pPr>
      <w:bookmarkStart w:id="41" w:name="_Toc6062"/>
      <w:bookmarkStart w:id="42" w:name="_Toc3845"/>
      <w:r>
        <w:rPr>
          <w:rFonts w:hint="eastAsia" w:ascii="仿宋_GB2312" w:hAnsi="仿宋_GB2312" w:eastAsia="仿宋_GB2312" w:cs="仿宋_GB2312"/>
          <w:bCs/>
          <w:kern w:val="0"/>
          <w:sz w:val="32"/>
          <w:szCs w:val="32"/>
          <w:highlight w:val="none"/>
        </w:rPr>
        <w:t>一、《收入支出决算总表》</w:t>
      </w:r>
      <w:bookmarkEnd w:id="41"/>
      <w:bookmarkEnd w:id="42"/>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1"/>
        <w:rPr>
          <w:rFonts w:hint="eastAsia" w:ascii="仿宋_GB2312" w:hAnsi="仿宋_GB2312" w:eastAsia="仿宋_GB2312" w:cs="仿宋_GB2312"/>
          <w:bCs/>
          <w:kern w:val="0"/>
          <w:sz w:val="32"/>
          <w:szCs w:val="32"/>
          <w:highlight w:val="none"/>
        </w:rPr>
      </w:pPr>
      <w:bookmarkStart w:id="43" w:name="_Toc30364"/>
      <w:bookmarkStart w:id="44" w:name="_Toc11927"/>
      <w:r>
        <w:rPr>
          <w:rFonts w:hint="eastAsia" w:ascii="仿宋_GB2312" w:hAnsi="仿宋_GB2312" w:eastAsia="仿宋_GB2312" w:cs="仿宋_GB2312"/>
          <w:bCs/>
          <w:kern w:val="0"/>
          <w:sz w:val="32"/>
          <w:szCs w:val="32"/>
          <w:highlight w:val="none"/>
        </w:rPr>
        <w:t>二、《收入决算表》</w:t>
      </w:r>
      <w:bookmarkEnd w:id="43"/>
      <w:bookmarkEnd w:id="44"/>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1"/>
        <w:rPr>
          <w:rFonts w:hint="eastAsia" w:ascii="仿宋_GB2312" w:hAnsi="仿宋_GB2312" w:eastAsia="仿宋_GB2312" w:cs="仿宋_GB2312"/>
          <w:bCs/>
          <w:kern w:val="0"/>
          <w:sz w:val="32"/>
          <w:szCs w:val="32"/>
          <w:highlight w:val="none"/>
        </w:rPr>
      </w:pPr>
      <w:bookmarkStart w:id="45" w:name="_Toc21304"/>
      <w:bookmarkStart w:id="46" w:name="_Toc7443"/>
      <w:r>
        <w:rPr>
          <w:rFonts w:hint="eastAsia" w:ascii="仿宋_GB2312" w:hAnsi="仿宋_GB2312" w:eastAsia="仿宋_GB2312" w:cs="仿宋_GB2312"/>
          <w:bCs/>
          <w:kern w:val="0"/>
          <w:sz w:val="32"/>
          <w:szCs w:val="32"/>
          <w:highlight w:val="none"/>
        </w:rPr>
        <w:t>三、《支出决算表》</w:t>
      </w:r>
      <w:bookmarkEnd w:id="45"/>
      <w:bookmarkEnd w:id="46"/>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1"/>
        <w:rPr>
          <w:rFonts w:hint="eastAsia" w:ascii="仿宋_GB2312" w:hAnsi="仿宋_GB2312" w:eastAsia="仿宋_GB2312" w:cs="仿宋_GB2312"/>
          <w:bCs/>
          <w:kern w:val="0"/>
          <w:sz w:val="32"/>
          <w:szCs w:val="32"/>
          <w:highlight w:val="none"/>
        </w:rPr>
      </w:pPr>
      <w:bookmarkStart w:id="47" w:name="_Toc14238"/>
      <w:bookmarkStart w:id="48" w:name="_Toc24884"/>
      <w:r>
        <w:rPr>
          <w:rFonts w:hint="eastAsia" w:ascii="仿宋_GB2312" w:hAnsi="仿宋_GB2312" w:eastAsia="仿宋_GB2312" w:cs="仿宋_GB2312"/>
          <w:bCs/>
          <w:kern w:val="0"/>
          <w:sz w:val="32"/>
          <w:szCs w:val="32"/>
          <w:highlight w:val="none"/>
        </w:rPr>
        <w:t>四、《财政拨款收入支出决算总表》</w:t>
      </w:r>
      <w:bookmarkEnd w:id="47"/>
      <w:bookmarkEnd w:id="48"/>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1"/>
        <w:rPr>
          <w:rFonts w:hint="eastAsia" w:ascii="仿宋_GB2312" w:hAnsi="仿宋_GB2312" w:eastAsia="仿宋_GB2312" w:cs="仿宋_GB2312"/>
          <w:bCs/>
          <w:kern w:val="0"/>
          <w:sz w:val="32"/>
          <w:szCs w:val="32"/>
          <w:highlight w:val="none"/>
        </w:rPr>
      </w:pPr>
      <w:bookmarkStart w:id="49" w:name="_Toc16518"/>
      <w:bookmarkStart w:id="50" w:name="_Toc10347"/>
      <w:r>
        <w:rPr>
          <w:rFonts w:hint="eastAsia" w:ascii="仿宋_GB2312" w:hAnsi="仿宋_GB2312" w:eastAsia="仿宋_GB2312" w:cs="仿宋_GB2312"/>
          <w:bCs/>
          <w:kern w:val="0"/>
          <w:sz w:val="32"/>
          <w:szCs w:val="32"/>
          <w:highlight w:val="none"/>
        </w:rPr>
        <w:t>五、《一般公共预算财政拨款支出决算表》</w:t>
      </w:r>
      <w:bookmarkEnd w:id="49"/>
      <w:bookmarkEnd w:id="50"/>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1"/>
        <w:rPr>
          <w:rFonts w:hint="eastAsia" w:ascii="仿宋_GB2312" w:hAnsi="仿宋_GB2312" w:eastAsia="仿宋_GB2312" w:cs="仿宋_GB2312"/>
          <w:bCs/>
          <w:kern w:val="0"/>
          <w:sz w:val="32"/>
          <w:szCs w:val="32"/>
          <w:highlight w:val="none"/>
        </w:rPr>
      </w:pPr>
      <w:bookmarkStart w:id="51" w:name="_Toc5626"/>
      <w:bookmarkStart w:id="52" w:name="_Toc20514"/>
      <w:r>
        <w:rPr>
          <w:rFonts w:hint="eastAsia" w:ascii="仿宋_GB2312" w:hAnsi="仿宋_GB2312" w:eastAsia="仿宋_GB2312" w:cs="仿宋_GB2312"/>
          <w:bCs/>
          <w:kern w:val="0"/>
          <w:sz w:val="32"/>
          <w:szCs w:val="32"/>
          <w:highlight w:val="none"/>
        </w:rPr>
        <w:t>六、《一般公共预算财政拨款基本支出决算表》</w:t>
      </w:r>
      <w:bookmarkEnd w:id="51"/>
      <w:bookmarkEnd w:id="52"/>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1"/>
        <w:rPr>
          <w:rFonts w:hint="eastAsia" w:ascii="仿宋_GB2312" w:hAnsi="仿宋_GB2312" w:eastAsia="仿宋_GB2312" w:cs="仿宋_GB2312"/>
          <w:bCs/>
          <w:kern w:val="0"/>
          <w:sz w:val="32"/>
          <w:szCs w:val="32"/>
          <w:highlight w:val="none"/>
        </w:rPr>
      </w:pPr>
      <w:bookmarkStart w:id="53" w:name="_Toc18055"/>
      <w:bookmarkStart w:id="54" w:name="_Toc5453"/>
      <w:r>
        <w:rPr>
          <w:rFonts w:hint="eastAsia" w:ascii="仿宋_GB2312" w:hAnsi="仿宋_GB2312" w:eastAsia="仿宋_GB2312" w:cs="仿宋_GB2312"/>
          <w:bCs/>
          <w:kern w:val="0"/>
          <w:sz w:val="32"/>
          <w:szCs w:val="32"/>
          <w:highlight w:val="none"/>
        </w:rPr>
        <w:t>七、《政府性基金预算财政拨款收入支出决算表》</w:t>
      </w:r>
      <w:bookmarkEnd w:id="53"/>
      <w:bookmarkEnd w:id="54"/>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1"/>
        <w:rPr>
          <w:rFonts w:hint="eastAsia" w:ascii="仿宋_GB2312" w:hAnsi="仿宋_GB2312" w:eastAsia="仿宋_GB2312" w:cs="仿宋_GB2312"/>
          <w:bCs/>
          <w:kern w:val="0"/>
          <w:sz w:val="32"/>
          <w:szCs w:val="32"/>
          <w:highlight w:val="none"/>
        </w:rPr>
      </w:pPr>
      <w:bookmarkStart w:id="55" w:name="_Toc10719"/>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bookmarkEnd w:id="55"/>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1"/>
        <w:rPr>
          <w:rFonts w:hint="eastAsia" w:ascii="仿宋_GB2312" w:hAnsi="仿宋_GB2312" w:eastAsia="仿宋_GB2312" w:cs="仿宋_GB2312"/>
          <w:bCs/>
          <w:kern w:val="0"/>
          <w:sz w:val="32"/>
          <w:szCs w:val="32"/>
          <w:highlight w:val="none"/>
        </w:rPr>
      </w:pPr>
      <w:bookmarkStart w:id="56" w:name="_Toc32663"/>
      <w:bookmarkStart w:id="57" w:name="_Toc29106"/>
      <w:bookmarkStart w:id="58" w:name="_Toc18861"/>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bookmarkEnd w:id="56"/>
      <w:bookmarkEnd w:id="57"/>
      <w:bookmarkEnd w:id="58"/>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1"/>
        <w:rPr>
          <w:rFonts w:hint="eastAsia" w:ascii="仿宋_GB2312" w:hAnsi="仿宋_GB2312" w:eastAsia="仿宋_GB2312" w:cs="仿宋_GB2312"/>
          <w:bCs/>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1"/>
        <w:rPr>
          <w:rFonts w:hint="eastAsia" w:ascii="仿宋_GB2312" w:hAnsi="仿宋_GB2312" w:eastAsia="仿宋_GB2312" w:cs="仿宋_GB2312"/>
          <w:bCs/>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1"/>
        <w:rPr>
          <w:rFonts w:hint="eastAsia" w:ascii="仿宋_GB2312" w:hAnsi="仿宋_GB2312" w:eastAsia="仿宋_GB2312" w:cs="仿宋_GB2312"/>
          <w:bCs/>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1"/>
        <w:rPr>
          <w:rFonts w:hint="eastAsia" w:ascii="仿宋_GB2312" w:hAnsi="仿宋_GB2312" w:eastAsia="仿宋_GB2312" w:cs="仿宋_GB2312"/>
          <w:bCs/>
          <w:kern w:val="0"/>
          <w:sz w:val="32"/>
          <w:szCs w:val="32"/>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1"/>
        <w:rPr>
          <w:rFonts w:hint="eastAsia" w:ascii="仿宋_GB2312" w:hAnsi="仿宋_GB2312" w:eastAsia="仿宋_GB2312" w:cs="仿宋_GB2312"/>
          <w:bCs/>
          <w:kern w:val="0"/>
          <w:sz w:val="32"/>
          <w:szCs w:val="32"/>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1"/>
        <w:rPr>
          <w:rFonts w:hint="eastAsia" w:ascii="仿宋_GB2312" w:hAnsi="仿宋_GB2312" w:eastAsia="仿宋_GB2312" w:cs="仿宋_GB2312"/>
          <w:bCs/>
          <w:kern w:val="0"/>
          <w:sz w:val="32"/>
          <w:szCs w:val="32"/>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1"/>
        <w:rPr>
          <w:rFonts w:hint="eastAsia" w:ascii="仿宋_GB2312" w:hAnsi="仿宋_GB2312" w:eastAsia="仿宋_GB2312" w:cs="仿宋_GB2312"/>
          <w:bCs/>
          <w:kern w:val="0"/>
          <w:sz w:val="32"/>
          <w:szCs w:val="32"/>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1"/>
        <w:rPr>
          <w:rFonts w:hint="eastAsia" w:ascii="仿宋_GB2312" w:hAnsi="仿宋_GB2312" w:eastAsia="仿宋_GB2312" w:cs="仿宋_GB2312"/>
          <w:bCs/>
          <w:kern w:val="0"/>
          <w:sz w:val="32"/>
          <w:szCs w:val="32"/>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1"/>
        <w:rPr>
          <w:rFonts w:hint="eastAsia" w:ascii="仿宋_GB2312" w:hAnsi="仿宋_GB2312" w:eastAsia="仿宋_GB2312" w:cs="仿宋_GB2312"/>
          <w:bCs/>
          <w:kern w:val="0"/>
          <w:sz w:val="32"/>
          <w:szCs w:val="32"/>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1"/>
        <w:rPr>
          <w:rFonts w:hint="eastAsia" w:ascii="仿宋_GB2312" w:hAnsi="仿宋_GB2312" w:eastAsia="仿宋_GB2312" w:cs="仿宋_GB2312"/>
          <w:bCs/>
          <w:kern w:val="0"/>
          <w:sz w:val="32"/>
          <w:szCs w:val="32"/>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1"/>
        <w:rPr>
          <w:rFonts w:hint="eastAsia" w:ascii="仿宋_GB2312" w:hAnsi="仿宋_GB2312" w:eastAsia="仿宋_GB2312" w:cs="仿宋_GB2312"/>
          <w:bCs/>
          <w:kern w:val="0"/>
          <w:sz w:val="32"/>
          <w:szCs w:val="32"/>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1"/>
        <w:rPr>
          <w:rFonts w:hint="eastAsia" w:ascii="仿宋_GB2312" w:hAnsi="仿宋_GB2312" w:eastAsia="仿宋_GB2312" w:cs="仿宋_GB2312"/>
          <w:bCs/>
          <w:kern w:val="0"/>
          <w:sz w:val="32"/>
          <w:szCs w:val="32"/>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1"/>
        <w:rPr>
          <w:rFonts w:hint="eastAsia" w:ascii="仿宋_GB2312" w:hAnsi="仿宋_GB2312" w:eastAsia="仿宋_GB2312" w:cs="仿宋_GB2312"/>
          <w:bCs/>
          <w:kern w:val="0"/>
          <w:sz w:val="32"/>
          <w:szCs w:val="32"/>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1"/>
        <w:rPr>
          <w:rFonts w:hint="eastAsia" w:ascii="仿宋_GB2312" w:hAnsi="仿宋_GB2312" w:eastAsia="仿宋_GB2312" w:cs="仿宋_GB2312"/>
          <w:bCs/>
          <w:kern w:val="0"/>
          <w:sz w:val="32"/>
          <w:szCs w:val="32"/>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1"/>
      </w:pPr>
      <w:r>
        <w:drawing>
          <wp:anchor distT="0" distB="0" distL="114300" distR="114300" simplePos="0" relativeHeight="251659264" behindDoc="0" locked="0" layoutInCell="1" allowOverlap="1">
            <wp:simplePos x="0" y="0"/>
            <wp:positionH relativeFrom="column">
              <wp:posOffset>8255</wp:posOffset>
            </wp:positionH>
            <wp:positionV relativeFrom="paragraph">
              <wp:posOffset>297815</wp:posOffset>
            </wp:positionV>
            <wp:extent cx="5269230" cy="7322185"/>
            <wp:effectExtent l="0" t="0" r="7620" b="12065"/>
            <wp:wrapNone/>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5"/>
                    <a:stretch>
                      <a:fillRect/>
                    </a:stretch>
                  </pic:blipFill>
                  <pic:spPr>
                    <a:xfrm>
                      <a:off x="0" y="0"/>
                      <a:ext cx="5269230" cy="7322185"/>
                    </a:xfrm>
                    <a:prstGeom prst="rect">
                      <a:avLst/>
                    </a:prstGeom>
                    <a:noFill/>
                    <a:ln>
                      <a:noFill/>
                    </a:ln>
                  </pic:spPr>
                </pic:pic>
              </a:graphicData>
            </a:graphic>
          </wp:anchor>
        </w:drawing>
      </w: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1"/>
      </w:pPr>
      <w:r>
        <w:drawing>
          <wp:anchor distT="0" distB="0" distL="114300" distR="114300" simplePos="0" relativeHeight="251660288" behindDoc="0" locked="0" layoutInCell="1" allowOverlap="1">
            <wp:simplePos x="0" y="0"/>
            <wp:positionH relativeFrom="column">
              <wp:posOffset>-31750</wp:posOffset>
            </wp:positionH>
            <wp:positionV relativeFrom="paragraph">
              <wp:posOffset>-87630</wp:posOffset>
            </wp:positionV>
            <wp:extent cx="5273675" cy="8861425"/>
            <wp:effectExtent l="0" t="0" r="3175" b="15875"/>
            <wp:wrapNone/>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pic:cNvPicPr>
                      <a:picLocks noChangeAspect="1"/>
                    </pic:cNvPicPr>
                  </pic:nvPicPr>
                  <pic:blipFill>
                    <a:blip r:embed="rId6">
                      <a:grayscl/>
                    </a:blip>
                    <a:stretch>
                      <a:fillRect/>
                    </a:stretch>
                  </pic:blipFill>
                  <pic:spPr>
                    <a:xfrm>
                      <a:off x="0" y="0"/>
                      <a:ext cx="5273675" cy="8861425"/>
                    </a:xfrm>
                    <a:prstGeom prst="rect">
                      <a:avLst/>
                    </a:prstGeom>
                    <a:noFill/>
                    <a:ln>
                      <a:noFill/>
                    </a:ln>
                  </pic:spPr>
                </pic:pic>
              </a:graphicData>
            </a:graphic>
          </wp:anchor>
        </w:drawing>
      </w: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1"/>
      </w:pPr>
      <w:r>
        <w:drawing>
          <wp:anchor distT="0" distB="0" distL="114300" distR="114300" simplePos="0" relativeHeight="251661312" behindDoc="0" locked="0" layoutInCell="1" allowOverlap="1">
            <wp:simplePos x="0" y="0"/>
            <wp:positionH relativeFrom="column">
              <wp:posOffset>-95250</wp:posOffset>
            </wp:positionH>
            <wp:positionV relativeFrom="paragraph">
              <wp:posOffset>-903605</wp:posOffset>
            </wp:positionV>
            <wp:extent cx="5267960" cy="9684385"/>
            <wp:effectExtent l="0" t="0" r="8890" b="12065"/>
            <wp:wrapNone/>
            <wp:docPr id="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pic:cNvPicPr>
                      <a:picLocks noChangeAspect="1"/>
                    </pic:cNvPicPr>
                  </pic:nvPicPr>
                  <pic:blipFill>
                    <a:blip r:embed="rId7">
                      <a:grayscl/>
                    </a:blip>
                    <a:stretch>
                      <a:fillRect/>
                    </a:stretch>
                  </pic:blipFill>
                  <pic:spPr>
                    <a:xfrm>
                      <a:off x="0" y="0"/>
                      <a:ext cx="5267960" cy="9684385"/>
                    </a:xfrm>
                    <a:prstGeom prst="rect">
                      <a:avLst/>
                    </a:prstGeom>
                    <a:noFill/>
                    <a:ln>
                      <a:noFill/>
                    </a:ln>
                  </pic:spPr>
                </pic:pic>
              </a:graphicData>
            </a:graphic>
          </wp:anchor>
        </w:drawing>
      </w: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1"/>
      </w:pPr>
      <w:r>
        <w:drawing>
          <wp:anchor distT="0" distB="0" distL="114300" distR="114300" simplePos="0" relativeHeight="251662336" behindDoc="0" locked="0" layoutInCell="1" allowOverlap="1">
            <wp:simplePos x="0" y="0"/>
            <wp:positionH relativeFrom="column">
              <wp:posOffset>-48260</wp:posOffset>
            </wp:positionH>
            <wp:positionV relativeFrom="paragraph">
              <wp:posOffset>233680</wp:posOffset>
            </wp:positionV>
            <wp:extent cx="5267325" cy="7818120"/>
            <wp:effectExtent l="0" t="0" r="9525" b="11430"/>
            <wp:wrapNone/>
            <wp:docPr id="5"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pic:cNvPicPr>
                      <a:picLocks noChangeAspect="1"/>
                    </pic:cNvPicPr>
                  </pic:nvPicPr>
                  <pic:blipFill>
                    <a:blip r:embed="rId8"/>
                    <a:stretch>
                      <a:fillRect/>
                    </a:stretch>
                  </pic:blipFill>
                  <pic:spPr>
                    <a:xfrm>
                      <a:off x="0" y="0"/>
                      <a:ext cx="5267325" cy="7818120"/>
                    </a:xfrm>
                    <a:prstGeom prst="rect">
                      <a:avLst/>
                    </a:prstGeom>
                    <a:noFill/>
                    <a:ln>
                      <a:noFill/>
                    </a:ln>
                  </pic:spPr>
                </pic:pic>
              </a:graphicData>
            </a:graphic>
          </wp:anchor>
        </w:drawing>
      </w: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1"/>
      </w:pPr>
      <w:r>
        <w:drawing>
          <wp:anchor distT="0" distB="0" distL="114300" distR="114300" simplePos="0" relativeHeight="251663360" behindDoc="0" locked="0" layoutInCell="1" allowOverlap="1">
            <wp:simplePos x="0" y="0"/>
            <wp:positionH relativeFrom="column">
              <wp:posOffset>23495</wp:posOffset>
            </wp:positionH>
            <wp:positionV relativeFrom="paragraph">
              <wp:posOffset>-490855</wp:posOffset>
            </wp:positionV>
            <wp:extent cx="5271135" cy="9194165"/>
            <wp:effectExtent l="0" t="0" r="5715" b="6985"/>
            <wp:wrapNone/>
            <wp:docPr id="6"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5"/>
                    <pic:cNvPicPr>
                      <a:picLocks noChangeAspect="1"/>
                    </pic:cNvPicPr>
                  </pic:nvPicPr>
                  <pic:blipFill>
                    <a:blip r:embed="rId9">
                      <a:grayscl/>
                    </a:blip>
                    <a:stretch>
                      <a:fillRect/>
                    </a:stretch>
                  </pic:blipFill>
                  <pic:spPr>
                    <a:xfrm>
                      <a:off x="0" y="0"/>
                      <a:ext cx="5271135" cy="9194165"/>
                    </a:xfrm>
                    <a:prstGeom prst="rect">
                      <a:avLst/>
                    </a:prstGeom>
                    <a:noFill/>
                    <a:ln>
                      <a:noFill/>
                    </a:ln>
                  </pic:spPr>
                </pic:pic>
              </a:graphicData>
            </a:graphic>
          </wp:anchor>
        </w:drawing>
      </w: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1"/>
      </w:pPr>
      <w:r>
        <w:drawing>
          <wp:anchor distT="0" distB="0" distL="114300" distR="114300" simplePos="0" relativeHeight="251664384" behindDoc="0" locked="0" layoutInCell="1" allowOverlap="1">
            <wp:simplePos x="0" y="0"/>
            <wp:positionH relativeFrom="column">
              <wp:posOffset>-24130</wp:posOffset>
            </wp:positionH>
            <wp:positionV relativeFrom="paragraph">
              <wp:posOffset>36830</wp:posOffset>
            </wp:positionV>
            <wp:extent cx="5269230" cy="8005445"/>
            <wp:effectExtent l="0" t="0" r="7620" b="14605"/>
            <wp:wrapNone/>
            <wp:docPr id="7"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6"/>
                    <pic:cNvPicPr>
                      <a:picLocks noChangeAspect="1"/>
                    </pic:cNvPicPr>
                  </pic:nvPicPr>
                  <pic:blipFill>
                    <a:blip r:embed="rId10"/>
                    <a:stretch>
                      <a:fillRect/>
                    </a:stretch>
                  </pic:blipFill>
                  <pic:spPr>
                    <a:xfrm>
                      <a:off x="0" y="0"/>
                      <a:ext cx="5269230" cy="8005445"/>
                    </a:xfrm>
                    <a:prstGeom prst="rect">
                      <a:avLst/>
                    </a:prstGeom>
                    <a:noFill/>
                    <a:ln>
                      <a:noFill/>
                    </a:ln>
                  </pic:spPr>
                </pic:pic>
              </a:graphicData>
            </a:graphic>
          </wp:anchor>
        </w:drawing>
      </w: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1"/>
      </w:pPr>
      <w:r>
        <w:drawing>
          <wp:anchor distT="0" distB="0" distL="114300" distR="114300" simplePos="0" relativeHeight="251665408" behindDoc="0" locked="0" layoutInCell="1" allowOverlap="1">
            <wp:simplePos x="0" y="0"/>
            <wp:positionH relativeFrom="column">
              <wp:posOffset>31750</wp:posOffset>
            </wp:positionH>
            <wp:positionV relativeFrom="page">
              <wp:posOffset>923925</wp:posOffset>
            </wp:positionV>
            <wp:extent cx="5116195" cy="2372360"/>
            <wp:effectExtent l="0" t="0" r="8255" b="8890"/>
            <wp:wrapSquare wrapText="bothSides"/>
            <wp:docPr id="8"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7"/>
                    <pic:cNvPicPr>
                      <a:picLocks noChangeAspect="1"/>
                    </pic:cNvPicPr>
                  </pic:nvPicPr>
                  <pic:blipFill>
                    <a:blip r:embed="rId11">
                      <a:grayscl/>
                    </a:blip>
                    <a:stretch>
                      <a:fillRect/>
                    </a:stretch>
                  </pic:blipFill>
                  <pic:spPr>
                    <a:xfrm>
                      <a:off x="0" y="0"/>
                      <a:ext cx="5116195" cy="2372360"/>
                    </a:xfrm>
                    <a:prstGeom prst="rect">
                      <a:avLst/>
                    </a:prstGeom>
                    <a:noFill/>
                    <a:ln>
                      <a:noFill/>
                    </a:ln>
                  </pic:spPr>
                </pic:pic>
              </a:graphicData>
            </a:graphic>
          </wp:anchor>
        </w:drawing>
      </w: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1"/>
      </w:pPr>
      <w:r>
        <w:drawing>
          <wp:anchor distT="0" distB="0" distL="114300" distR="114300" simplePos="0" relativeHeight="251666432" behindDoc="0" locked="0" layoutInCell="1" allowOverlap="1">
            <wp:simplePos x="0" y="0"/>
            <wp:positionH relativeFrom="column">
              <wp:posOffset>23495</wp:posOffset>
            </wp:positionH>
            <wp:positionV relativeFrom="page">
              <wp:posOffset>984250</wp:posOffset>
            </wp:positionV>
            <wp:extent cx="5268595" cy="2377440"/>
            <wp:effectExtent l="0" t="0" r="8255" b="3810"/>
            <wp:wrapNone/>
            <wp:docPr id="9"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8"/>
                    <pic:cNvPicPr>
                      <a:picLocks noChangeAspect="1"/>
                    </pic:cNvPicPr>
                  </pic:nvPicPr>
                  <pic:blipFill>
                    <a:blip r:embed="rId12">
                      <a:grayscl/>
                    </a:blip>
                    <a:stretch>
                      <a:fillRect/>
                    </a:stretch>
                  </pic:blipFill>
                  <pic:spPr>
                    <a:xfrm>
                      <a:off x="0" y="0"/>
                      <a:ext cx="5268595" cy="2377440"/>
                    </a:xfrm>
                    <a:prstGeom prst="rect">
                      <a:avLst/>
                    </a:prstGeom>
                    <a:noFill/>
                    <a:ln>
                      <a:noFill/>
                    </a:ln>
                  </pic:spPr>
                </pic:pic>
              </a:graphicData>
            </a:graphic>
          </wp:anchor>
        </w:drawing>
      </w: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1"/>
      </w:pPr>
      <w:r>
        <w:drawing>
          <wp:anchor distT="0" distB="0" distL="114300" distR="114300" simplePos="0" relativeHeight="251667456" behindDoc="0" locked="0" layoutInCell="1" allowOverlap="1">
            <wp:simplePos x="0" y="0"/>
            <wp:positionH relativeFrom="column">
              <wp:posOffset>-246380</wp:posOffset>
            </wp:positionH>
            <wp:positionV relativeFrom="paragraph">
              <wp:posOffset>38735</wp:posOffset>
            </wp:positionV>
            <wp:extent cx="5796915" cy="2531110"/>
            <wp:effectExtent l="0" t="0" r="13335" b="2540"/>
            <wp:wrapNone/>
            <wp:docPr id="10"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9"/>
                    <pic:cNvPicPr>
                      <a:picLocks noChangeAspect="1"/>
                    </pic:cNvPicPr>
                  </pic:nvPicPr>
                  <pic:blipFill>
                    <a:blip r:embed="rId13"/>
                    <a:stretch>
                      <a:fillRect/>
                    </a:stretch>
                  </pic:blipFill>
                  <pic:spPr>
                    <a:xfrm>
                      <a:off x="0" y="0"/>
                      <a:ext cx="5796915" cy="2531110"/>
                    </a:xfrm>
                    <a:prstGeom prst="rect">
                      <a:avLst/>
                    </a:prstGeom>
                    <a:noFill/>
                    <a:ln>
                      <a:noFill/>
                    </a:ln>
                  </pic:spPr>
                </pic:pic>
              </a:graphicData>
            </a:graphic>
          </wp:anchor>
        </w:drawing>
      </w: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1"/>
        <w:rPr>
          <w:rFonts w:hint="default"/>
          <w:lang w:val="en-US" w:eastAsia="zh-CN"/>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FC3490A2-1730-467D-9138-67DDA87CBBC2}"/>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3000509000000000000"/>
    <w:charset w:val="86"/>
    <w:family w:val="script"/>
    <w:pitch w:val="default"/>
    <w:sig w:usb0="00000001" w:usb1="080E0000" w:usb2="00000000" w:usb3="00000000" w:csb0="00040000" w:csb1="00000000"/>
    <w:embedRegular r:id="rId2" w:fontKey="{6F0C9BAB-5710-4D71-9CDA-F497FF3D2050}"/>
  </w:font>
  <w:font w:name="仿宋_GB2312">
    <w:panose1 w:val="02010609030101010101"/>
    <w:charset w:val="86"/>
    <w:family w:val="modern"/>
    <w:pitch w:val="default"/>
    <w:sig w:usb0="00000001" w:usb1="080E0000" w:usb2="00000000" w:usb3="00000000" w:csb0="00040000" w:csb1="00000000"/>
    <w:embedRegular r:id="rId3" w:fontKey="{72C4150D-C223-43CE-976A-85F76C8939E3}"/>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ILQwIcMBAABwAwAADgAAAGRycy9lMm9Eb2MueG1srVPNjtMwEL4j8Q6W&#10;79RpD6iKmq6A1aKVVoC08ACuYzeW/Kex26Q8ALwBJy7cea4+B2Mn6S7LbcXFGc+MZ77vm8nmarCG&#10;HCVE7V1Dl4uKEumEb7XbN/TL55tXa0pi4q7lxjvZ0JOM9Gr78sWmD7Vc+c6bVgLBIi7WfWhol1Ko&#10;GYuik5bHhQ/SYVB5sDzhFfasBd5jdWvYqqpes95DG8ALGSN6r8cg3Zb6SkmRPioVZSKmoYgtlRPK&#10;ucsn2254vQceOi0mGPwZKCzXDpteSl3zxMkB9D+lrBbgo1dpIbxlXiktZOGAbJbVEzb3HQ+ycEFx&#10;YrjIFP9fWfHh+AmIbnF2lDhucUTnH9/PP3+ff30jyyxPH2KNWfcB89Lw1g85dfJHdGbWgwKbv8iH&#10;YByFPl3ElUMiIj9ar9brCkMCY/MF67CH5wFiei+9JdloKOD0iqj8eBfTmDqn5G7O32hj0M9r4/5y&#10;YM3sYRn7iDFbadgNE/Cdb0/IBxcX+3QevlLS4xI01OGWUmJuHWqc92U2YDZ2s8GdwIcNTZSM5rs0&#10;7tUhgN53ZdMyqBjeHBIiLQQyjLH3hA7HWiSYVjDvzeN7yXr4UbZ/AF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M6pebnPAAAABQEAAA8AAAAAAAAAAQAgAAAAIgAAAGRycy9kb3ducmV2LnhtbFBLAQIU&#10;ABQAAAAIAIdO4kAgtDAhwwEAAHADAAAOAAAAAAAAAAEAIAAAAB4BAABkcnMvZTJvRG9jLnhtbFBL&#10;BQYAAAAABgAGAFkBAABTBQAAAAA=&#10;">
              <v:fill on="f" focussize="0,0"/>
              <v:stroke on="f"/>
              <v:imagedata o:title=""/>
              <o:lock v:ext="edit" aspectratio="f"/>
              <v:textbox inset="0mm,0mm,0mm,0mm" style="mso-fit-shape-to-text:t;">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1"/>
  <w:embedTrueTypeFonts/>
  <w:saveSubsetFonts/>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F73D26"/>
    <w:rsid w:val="034D4FEF"/>
    <w:rsid w:val="03DE0026"/>
    <w:rsid w:val="043E5B56"/>
    <w:rsid w:val="06792773"/>
    <w:rsid w:val="09A729D8"/>
    <w:rsid w:val="0A7B4867"/>
    <w:rsid w:val="0B8C3ECC"/>
    <w:rsid w:val="0C3613A3"/>
    <w:rsid w:val="0C7227A7"/>
    <w:rsid w:val="0DCA6EF7"/>
    <w:rsid w:val="0E4B1576"/>
    <w:rsid w:val="11E15093"/>
    <w:rsid w:val="120E0809"/>
    <w:rsid w:val="12CA74E0"/>
    <w:rsid w:val="146E4563"/>
    <w:rsid w:val="16C92C1E"/>
    <w:rsid w:val="1875698D"/>
    <w:rsid w:val="18A32B5D"/>
    <w:rsid w:val="19071D6C"/>
    <w:rsid w:val="1AC64E1E"/>
    <w:rsid w:val="1C317E4F"/>
    <w:rsid w:val="1C472464"/>
    <w:rsid w:val="1DAF458D"/>
    <w:rsid w:val="1DB80C42"/>
    <w:rsid w:val="1E086ACE"/>
    <w:rsid w:val="1EAA4A5F"/>
    <w:rsid w:val="1F587A0B"/>
    <w:rsid w:val="2064678E"/>
    <w:rsid w:val="20DD6197"/>
    <w:rsid w:val="20E25CE4"/>
    <w:rsid w:val="20E75260"/>
    <w:rsid w:val="21F317F2"/>
    <w:rsid w:val="2241392C"/>
    <w:rsid w:val="22E31D27"/>
    <w:rsid w:val="23BC04D2"/>
    <w:rsid w:val="23CC2917"/>
    <w:rsid w:val="25275618"/>
    <w:rsid w:val="27CF2642"/>
    <w:rsid w:val="282459E2"/>
    <w:rsid w:val="2A053397"/>
    <w:rsid w:val="2A444FB1"/>
    <w:rsid w:val="2A5C2AF6"/>
    <w:rsid w:val="2A6064E2"/>
    <w:rsid w:val="2A723B3B"/>
    <w:rsid w:val="2BA9200B"/>
    <w:rsid w:val="2D1136DF"/>
    <w:rsid w:val="2DAE0E44"/>
    <w:rsid w:val="2FD27414"/>
    <w:rsid w:val="313F1D52"/>
    <w:rsid w:val="318029AB"/>
    <w:rsid w:val="31C63837"/>
    <w:rsid w:val="326F0A17"/>
    <w:rsid w:val="3914510A"/>
    <w:rsid w:val="3A0A01B8"/>
    <w:rsid w:val="3B1220C9"/>
    <w:rsid w:val="3D5275AC"/>
    <w:rsid w:val="3EA7725F"/>
    <w:rsid w:val="3F86059E"/>
    <w:rsid w:val="40834692"/>
    <w:rsid w:val="40FC7F33"/>
    <w:rsid w:val="423A32B2"/>
    <w:rsid w:val="44513EBA"/>
    <w:rsid w:val="464B7E04"/>
    <w:rsid w:val="46901EEE"/>
    <w:rsid w:val="469C74D2"/>
    <w:rsid w:val="47445515"/>
    <w:rsid w:val="4B4C0111"/>
    <w:rsid w:val="4C6426E9"/>
    <w:rsid w:val="4D730311"/>
    <w:rsid w:val="4E596BAB"/>
    <w:rsid w:val="4F443DB8"/>
    <w:rsid w:val="50DB5F45"/>
    <w:rsid w:val="52F92565"/>
    <w:rsid w:val="55DA564E"/>
    <w:rsid w:val="56E07045"/>
    <w:rsid w:val="583059FA"/>
    <w:rsid w:val="587E6212"/>
    <w:rsid w:val="59EC6882"/>
    <w:rsid w:val="5AFC6609"/>
    <w:rsid w:val="5F12538E"/>
    <w:rsid w:val="5FA17648"/>
    <w:rsid w:val="60F30964"/>
    <w:rsid w:val="613409CB"/>
    <w:rsid w:val="61A46A97"/>
    <w:rsid w:val="62DD7D21"/>
    <w:rsid w:val="65D97752"/>
    <w:rsid w:val="664C500C"/>
    <w:rsid w:val="6773145F"/>
    <w:rsid w:val="68DB0208"/>
    <w:rsid w:val="69846A0E"/>
    <w:rsid w:val="69AD798C"/>
    <w:rsid w:val="6A970940"/>
    <w:rsid w:val="6AD27ED2"/>
    <w:rsid w:val="6B68175F"/>
    <w:rsid w:val="6B8B5C99"/>
    <w:rsid w:val="6D356AE0"/>
    <w:rsid w:val="6E0F7A08"/>
    <w:rsid w:val="6E3F1EC4"/>
    <w:rsid w:val="6E801ABC"/>
    <w:rsid w:val="71473612"/>
    <w:rsid w:val="718F7F65"/>
    <w:rsid w:val="73423603"/>
    <w:rsid w:val="73DE4104"/>
    <w:rsid w:val="73FB6630"/>
    <w:rsid w:val="74CE04EC"/>
    <w:rsid w:val="74E76DCD"/>
    <w:rsid w:val="76660D7C"/>
    <w:rsid w:val="77944E5E"/>
    <w:rsid w:val="77ED6F44"/>
    <w:rsid w:val="795A0A34"/>
    <w:rsid w:val="79FB30B5"/>
    <w:rsid w:val="7A0D3BC7"/>
    <w:rsid w:val="7A3A3CDB"/>
    <w:rsid w:val="7A7878FD"/>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9">
    <w:name w:val="Default Paragraph Font"/>
    <w:semiHidden/>
    <w:qFormat/>
    <w:uiPriority w:val="0"/>
  </w:style>
  <w:style w:type="table" w:default="1" w:styleId="8">
    <w:name w:val="Normal Table"/>
    <w:semiHidden/>
    <w:qFormat/>
    <w:uiPriority w:val="0"/>
    <w:tblPr>
      <w:tblLayout w:type="fixed"/>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customStyle="1" w:styleId="10">
    <w:name w:val="WPSOffice手动目录 3"/>
    <w:qFormat/>
    <w:uiPriority w:val="0"/>
    <w:pPr>
      <w:ind w:leftChars="400"/>
    </w:pPr>
    <w:rPr>
      <w:rFonts w:ascii="Times New Roman" w:hAnsi="Times New Roman" w:eastAsia="宋体" w:cs="Times New Roman"/>
      <w:sz w:val="20"/>
      <w:szCs w:val="20"/>
    </w:rPr>
  </w:style>
  <w:style w:type="paragraph" w:customStyle="1" w:styleId="11">
    <w:name w:val="WPSOffice手动目录 2"/>
    <w:qFormat/>
    <w:uiPriority w:val="0"/>
    <w:pPr>
      <w:ind w:leftChars="200"/>
    </w:pPr>
    <w:rPr>
      <w:rFonts w:ascii="Times New Roman" w:hAnsi="Times New Roman" w:eastAsia="宋体" w:cs="Times New Roman"/>
      <w:sz w:val="20"/>
      <w:szCs w:val="20"/>
    </w:rPr>
  </w:style>
  <w:style w:type="paragraph" w:customStyle="1" w:styleId="12">
    <w:name w:val="WPSOffice手动目录 1"/>
    <w:qFormat/>
    <w:uiPriority w:val="0"/>
    <w:pPr>
      <w:ind w:leftChars="0"/>
    </w:pPr>
    <w:rPr>
      <w:rFonts w:ascii="Times New Roman" w:hAnsi="Times New Roman" w:eastAsia="宋体" w:cs="Times New Roman"/>
      <w:sz w:val="20"/>
      <w:szCs w:val="20"/>
    </w:rPr>
  </w:style>
  <w:style w:type="paragraph" w:customStyle="1" w:styleId="13">
    <w:name w:val="List Paragraph"/>
    <w:basedOn w:val="1"/>
    <w:qFormat/>
    <w:uiPriority w:val="0"/>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image" Target="media/image5.png"/><Relationship Id="rId8" Type="http://schemas.openxmlformats.org/officeDocument/2006/relationships/image" Target="media/image4.png"/><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1.xml"/><Relationship Id="rId13" Type="http://schemas.openxmlformats.org/officeDocument/2006/relationships/image" Target="media/image9.png"/><Relationship Id="rId12" Type="http://schemas.openxmlformats.org/officeDocument/2006/relationships/image" Target="media/image8.png"/><Relationship Id="rId11" Type="http://schemas.openxmlformats.org/officeDocument/2006/relationships/image" Target="media/image7.png"/><Relationship Id="rId10" Type="http://schemas.openxmlformats.org/officeDocument/2006/relationships/image" Target="media/image6.png"/><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18</Pages>
  <Words>6514</Words>
  <Characters>6595</Characters>
  <Lines>0</Lines>
  <Paragraphs>0</Paragraphs>
  <TotalTime>14</TotalTime>
  <ScaleCrop>false</ScaleCrop>
  <LinksUpToDate>false</LinksUpToDate>
  <CharactersWithSpaces>6606</CharactersWithSpaces>
  <Application>WPS Office_11.1.0.9021_F1E327BC-269C-435d-A152-05C5408002CA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Administrator</cp:lastModifiedBy>
  <cp:lastPrinted>2024-07-22T11:58:00Z</cp:lastPrinted>
  <dcterms:modified xsi:type="dcterms:W3CDTF">2025-08-20T11:20:46Z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2052-11.1.0.9021</vt:lpwstr>
  </property>
  <property fmtid="{D5CDD505-2E9C-101B-9397-08002B2CF9AE}" pid="3" name="ICV">
    <vt:lpwstr>3B3CB53E43D349399417C043CC8A2498</vt:lpwstr>
  </property>
  <property fmtid="{D5CDD505-2E9C-101B-9397-08002B2CF9AE}" pid="4" name="KSOTemplateDocerSaveRecord">
    <vt:lpwstr>eyJoZGlkIjoiMDAwYmRmZTlkODBlYWI2MWEzOGMyNWRlOTFmY2QzMTQiLCJ1c2VySWQiOiI3MDk1OTYwNjkifQ==</vt:lpwstr>
  </property>
</Properties>
</file>