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r>
        <w:rPr>
          <w:rFonts w:hint="eastAsia" w:eastAsia="方正小标宋_GBK" w:cs="Times New Roman"/>
          <w:kern w:val="0"/>
          <w:sz w:val="48"/>
          <w:szCs w:val="48"/>
          <w:highlight w:val="none"/>
          <w:lang w:eastAsia="zh-CN"/>
        </w:rPr>
        <w:t>巴州农【</w:t>
      </w:r>
      <w:r>
        <w:rPr>
          <w:rFonts w:hint="eastAsia" w:eastAsia="方正小标宋_GBK" w:cs="Times New Roman"/>
          <w:kern w:val="0"/>
          <w:sz w:val="48"/>
          <w:szCs w:val="48"/>
          <w:highlight w:val="none"/>
          <w:lang w:val="en-US" w:eastAsia="zh-CN"/>
        </w:rPr>
        <w:t>2023</w:t>
      </w:r>
      <w:r>
        <w:rPr>
          <w:rFonts w:hint="eastAsia" w:eastAsia="方正小标宋_GBK" w:cs="Times New Roman"/>
          <w:kern w:val="0"/>
          <w:sz w:val="48"/>
          <w:szCs w:val="48"/>
          <w:highlight w:val="none"/>
          <w:lang w:eastAsia="zh-CN"/>
        </w:rPr>
        <w:t>】</w:t>
      </w:r>
      <w:r>
        <w:rPr>
          <w:rFonts w:hint="eastAsia" w:eastAsia="方正小标宋_GBK" w:cs="Times New Roman"/>
          <w:kern w:val="0"/>
          <w:sz w:val="48"/>
          <w:szCs w:val="48"/>
          <w:highlight w:val="none"/>
          <w:lang w:val="en-US" w:eastAsia="zh-CN"/>
        </w:rPr>
        <w:t>33号2023年中央土地指标跨省域调剂收入安排的支出预算【支持农村厕所革命整村推进财政奖补】</w:t>
      </w:r>
      <w:r>
        <w:rPr>
          <w:rFonts w:hint="default" w:ascii="Times New Roman" w:hAnsi="Times New Roman" w:eastAsia="方正小标宋_GBK" w:cs="Times New Roman"/>
          <w:kern w:val="0"/>
          <w:sz w:val="48"/>
          <w:szCs w:val="48"/>
          <w:highlight w:val="none"/>
        </w:rPr>
        <w:t>项目支出绩效评价报告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both"/>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ind w:firstLine="1440" w:firstLineChars="400"/>
        <w:jc w:val="both"/>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w:t>
      </w:r>
      <w:r>
        <w:rPr>
          <w:rFonts w:hint="eastAsia" w:ascii="Times New Roman" w:hAnsi="Times New Roman" w:eastAsia="仿宋_GB2312" w:cs="Times New Roman"/>
          <w:kern w:val="0"/>
          <w:sz w:val="36"/>
          <w:szCs w:val="36"/>
          <w:highlight w:val="none"/>
          <w:lang w:eastAsia="zh-CN"/>
        </w:rPr>
        <w:t>巴州农【</w:t>
      </w:r>
      <w:r>
        <w:rPr>
          <w:rFonts w:hint="eastAsia" w:ascii="Times New Roman" w:hAnsi="Times New Roman" w:eastAsia="仿宋_GB2312" w:cs="Times New Roman"/>
          <w:kern w:val="0"/>
          <w:sz w:val="36"/>
          <w:szCs w:val="36"/>
          <w:highlight w:val="none"/>
          <w:lang w:val="en-US" w:eastAsia="zh-CN"/>
        </w:rPr>
        <w:t>2023</w:t>
      </w:r>
      <w:r>
        <w:rPr>
          <w:rFonts w:hint="eastAsia" w:ascii="Times New Roman" w:hAnsi="Times New Roman" w:eastAsia="仿宋_GB2312" w:cs="Times New Roman"/>
          <w:kern w:val="0"/>
          <w:sz w:val="36"/>
          <w:szCs w:val="36"/>
          <w:highlight w:val="none"/>
          <w:lang w:eastAsia="zh-CN"/>
        </w:rPr>
        <w:t>】</w:t>
      </w:r>
      <w:r>
        <w:rPr>
          <w:rFonts w:hint="eastAsia" w:ascii="Times New Roman" w:hAnsi="Times New Roman" w:eastAsia="仿宋_GB2312" w:cs="Times New Roman"/>
          <w:kern w:val="0"/>
          <w:sz w:val="36"/>
          <w:szCs w:val="36"/>
          <w:highlight w:val="none"/>
          <w:lang w:val="en-US" w:eastAsia="zh-CN"/>
        </w:rPr>
        <w:t>33号2023年中央土地指标跨省域调剂收入安排的支出预算【支持农村厕所革命整村推进财政奖补】</w:t>
      </w:r>
      <w:r>
        <w:rPr>
          <w:rFonts w:hint="eastAsia" w:eastAsia="仿宋_GB2312" w:cs="Times New Roman"/>
          <w:kern w:val="0"/>
          <w:sz w:val="36"/>
          <w:szCs w:val="36"/>
          <w:highlight w:val="none"/>
          <w:lang w:val="en-US" w:eastAsia="zh-CN"/>
        </w:rPr>
        <w:t>项目</w:t>
      </w:r>
    </w:p>
    <w:p>
      <w:pPr>
        <w:spacing w:line="700" w:lineRule="exact"/>
        <w:ind w:firstLine="1440" w:firstLineChars="400"/>
        <w:jc w:val="both"/>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eastAsia="zh-CN"/>
        </w:rPr>
        <w:t>库尔勒市英下乡人民政府</w:t>
      </w:r>
    </w:p>
    <w:p>
      <w:pPr>
        <w:spacing w:line="700" w:lineRule="exact"/>
        <w:ind w:firstLine="1440" w:firstLineChars="400"/>
        <w:jc w:val="both"/>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eastAsia="zh-CN"/>
        </w:rPr>
        <w:t>库尔勒市英下乡人民政府</w:t>
      </w:r>
    </w:p>
    <w:p>
      <w:pPr>
        <w:spacing w:line="700" w:lineRule="exact"/>
        <w:ind w:firstLine="1440" w:firstLineChars="400"/>
        <w:jc w:val="both"/>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蒋宏正</w:t>
      </w:r>
    </w:p>
    <w:p>
      <w:pPr>
        <w:spacing w:line="700" w:lineRule="exact"/>
        <w:ind w:firstLine="1440" w:firstLineChars="400"/>
        <w:jc w:val="both"/>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21</w:t>
      </w:r>
      <w:r>
        <w:rPr>
          <w:rFonts w:hint="default" w:ascii="Times New Roman" w:hAnsi="Times New Roman" w:eastAsia="仿宋_GB2312" w:cs="Times New Roman"/>
          <w:kern w:val="0"/>
          <w:sz w:val="36"/>
          <w:szCs w:val="36"/>
          <w:highlight w:val="none"/>
        </w:rPr>
        <w:t>日</w:t>
      </w:r>
    </w:p>
    <w:p>
      <w:pPr>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lang w:val="en-US"/>
        </w:rPr>
        <w:t>党的十九大报告提出实施乡村振兴战略，是</w:t>
      </w:r>
      <w:r>
        <w:rPr>
          <w:rFonts w:hint="eastAsia" w:ascii="仿宋" w:hAnsi="仿宋" w:eastAsia="仿宋" w:cs="仿宋"/>
          <w:color w:val="auto"/>
          <w:sz w:val="32"/>
          <w:szCs w:val="32"/>
          <w:highlight w:val="none"/>
          <w:lang w:val="en-US" w:eastAsia="zh-CN"/>
        </w:rPr>
        <w:t>以习近平同志为核心的</w:t>
      </w:r>
      <w:r>
        <w:rPr>
          <w:rFonts w:hint="eastAsia" w:ascii="仿宋" w:hAnsi="仿宋" w:eastAsia="仿宋" w:cs="仿宋"/>
          <w:color w:val="auto"/>
          <w:sz w:val="32"/>
          <w:szCs w:val="32"/>
          <w:highlight w:val="none"/>
          <w:lang w:val="en-US"/>
        </w:rPr>
        <w:t>党中央着眼全局，顺应亿万农民对美好生活新期待作出的战略选择，对解决</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val="en-US"/>
        </w:rPr>
        <w:t>三农</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val="en-US"/>
        </w:rPr>
        <w:t>问题具有深远意义。是全区农业农村发展的重大战略机遇，同时随着国家进一步加大对西部地区铁路、公路、能源、通信、生态环境、农田水利、美丽乡村、民生工程等领域投资的倾斜，将为新疆实现乡村振兴发展带来较大机遇。</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实施乡村振兴战略，是以习近平同志为核心的党中央从党和国家事业全局出发、着眼于实现“两个一百年”奋斗目标、顺应亿万农民对美好生活的向往作出的重大战略决策，是决胜全面建成小康社会、全面建设社会主义现代化国家的重大历史任务，是新时代做好“三农”工作的总抓手。新疆近年来深刻贯彻落实乡村振兴战略的实施，在2018年编制了《新疆维吾尔自治区乡村振兴战略规划（2018—2022年）》。规划提出要坚持以习近平新时代中国特色社会主义思想为指导，贯彻落实党的十九大和十九届二中、三中全会精神，贯彻落实中央经济工作会议、中央农村工作会议精神，贯彻落实以习近平同志为核心的党中央治疆方略、特别是社会稳定和长治久安总目标，立足新疆实际，按照产业兴旺、生态宜居、乡风文明、治理有效、生活富裕的总要求， 对全区实施乡村振兴战略作出阶段性谋划。在全面落实规划的各项措施及可行性研究报告，扎实推进农村人居环境整治后，我区的乡村振兴工作取得了一定的成效，但同时也存在一些明显的短板和不足。要全面完成十四五规划</w:t>
      </w:r>
      <w:bookmarkStart w:id="3" w:name="_GoBack"/>
      <w:bookmarkEnd w:id="3"/>
      <w:r>
        <w:rPr>
          <w:rFonts w:hint="eastAsia" w:ascii="仿宋" w:hAnsi="仿宋" w:eastAsia="仿宋" w:cs="仿宋"/>
          <w:sz w:val="32"/>
          <w:szCs w:val="32"/>
          <w:highlight w:val="none"/>
          <w:lang w:val="en-US" w:eastAsia="zh-CN"/>
        </w:rPr>
        <w:t>的战略目标，仍需要在规划和政策的指导下，通过各方面大量的工作，攻难关、补短板、强弱项，聚焦重点，加快推动乡村振兴战略实施。</w:t>
      </w:r>
    </w:p>
    <w:p>
      <w:pPr>
        <w:pStyle w:val="12"/>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pStyle w:val="12"/>
        <w:widowControl w:val="0"/>
        <w:numPr>
          <w:ilvl w:val="0"/>
          <w:numId w:val="2"/>
        </w:numPr>
        <w:spacing w:before="0" w:after="0" w:line="560" w:lineRule="exact"/>
        <w:ind w:firstLine="602"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sz w:val="30"/>
          <w:szCs w:val="30"/>
          <w:highlight w:val="none"/>
          <w:lang w:val="en-US" w:eastAsia="zh-CN"/>
        </w:rPr>
        <w:t>项目主要内容：</w:t>
      </w:r>
      <w:r>
        <w:rPr>
          <w:rFonts w:hint="default" w:ascii="Times New Roman" w:hAnsi="Times New Roman" w:eastAsia="仿宋_GB2312" w:cs="Times New Roman"/>
          <w:b w:val="0"/>
          <w:bCs w:val="0"/>
          <w:highlight w:val="none"/>
          <w:lang w:eastAsia="zh-CN"/>
        </w:rPr>
        <w:t>新建污水管网7100米(高密度聚乙烯(HDPE)双壁波纹排水管，管道大管径为De200)及相关配套检查井等，新建收集池(50立方2个、20立方1个、10立方8个)，提升井1个</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eastAsia="zh-CN"/>
        </w:rPr>
        <w:t>购买吸污车2辆。</w:t>
      </w:r>
      <w:r>
        <w:rPr>
          <w:rFonts w:hint="eastAsia" w:ascii="Times New Roman" w:hAnsi="Times New Roman" w:eastAsia="仿宋_GB2312" w:cs="Times New Roman"/>
          <w:b w:val="0"/>
          <w:bCs w:val="0"/>
          <w:highlight w:val="none"/>
          <w:lang w:eastAsia="zh-CN"/>
        </w:rPr>
        <w:t>改善农村卫生环境，降低了细菌和病毒的传播、改善了农村整体环境卫生。保障农民身体健康，减少了应如厕环境差引发的倡导传染病、提升了农民的健康水平和生活质量。增强农民的幸福感和获得感，解决了农民生活中的实际问题，让农民用上了干净、卫生、方便的厕所，这一实实在在变化让农民感到了生活的改善、增强了他们的幸福感和获得感。</w:t>
      </w:r>
    </w:p>
    <w:p>
      <w:pPr>
        <w:spacing w:line="560" w:lineRule="exact"/>
        <w:ind w:firstLine="640" w:firstLineChars="200"/>
        <w:rPr>
          <w:rFonts w:hint="default" w:ascii="Times New Roman" w:hAnsi="Times New Roman" w:eastAsia="黑体" w:cs="Times New Roman"/>
          <w:highlight w:val="none"/>
          <w:lang w:eastAsia="zh-CN"/>
        </w:rPr>
      </w:pPr>
      <w:r>
        <w:rPr>
          <w:rFonts w:hint="eastAsia" w:eastAsia="仿宋_GB2312" w:cs="Times New Roman"/>
          <w:sz w:val="32"/>
          <w:szCs w:val="32"/>
          <w:highlight w:val="none"/>
          <w:lang w:eastAsia="zh-CN"/>
        </w:rPr>
        <w:t>在该项目实施中收益贫困户</w:t>
      </w:r>
      <w:r>
        <w:rPr>
          <w:rFonts w:hint="eastAsia" w:eastAsia="仿宋_GB2312" w:cs="Times New Roman"/>
          <w:sz w:val="32"/>
          <w:szCs w:val="32"/>
          <w:highlight w:val="none"/>
          <w:lang w:val="en-US" w:eastAsia="zh-CN"/>
        </w:rPr>
        <w:t>23户，收益贫困户满意度达到了100%。</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项目实施情况：</w:t>
      </w:r>
      <w:r>
        <w:rPr>
          <w:rFonts w:hint="eastAsia" w:eastAsia="仿宋_GB2312" w:cs="Times New Roman"/>
          <w:sz w:val="32"/>
          <w:szCs w:val="32"/>
          <w:highlight w:val="none"/>
          <w:lang w:eastAsia="zh-CN"/>
        </w:rPr>
        <w:t>英下乡喀尔巴格村</w:t>
      </w:r>
      <w:r>
        <w:rPr>
          <w:rFonts w:hint="default" w:ascii="Times New Roman" w:hAnsi="Times New Roman" w:eastAsia="仿宋_GB2312" w:cs="Times New Roman"/>
          <w:sz w:val="32"/>
          <w:szCs w:val="32"/>
          <w:highlight w:val="none"/>
        </w:rPr>
        <w:t>新建污水管网7100米(高密度聚乙烯(HDPE)双壁波纹排水管，管道大管径为De200)及相关配套检查井等，新建收集池</w:t>
      </w:r>
      <w:r>
        <w:rPr>
          <w:rFonts w:hint="eastAsia" w:eastAsia="仿宋_GB2312" w:cs="Times New Roman"/>
          <w:sz w:val="32"/>
          <w:szCs w:val="32"/>
          <w:highlight w:val="none"/>
          <w:lang w:val="en-US" w:eastAsia="zh-CN"/>
        </w:rPr>
        <w:t>12座、</w:t>
      </w:r>
      <w:r>
        <w:rPr>
          <w:rFonts w:hint="default" w:ascii="Times New Roman" w:hAnsi="Times New Roman" w:eastAsia="仿宋_GB2312" w:cs="Times New Roman"/>
          <w:sz w:val="32"/>
          <w:szCs w:val="32"/>
          <w:highlight w:val="none"/>
        </w:rPr>
        <w:t>(50立方2个、20立方1个、10立方8个)，提升井1个</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购买吸污车2辆。</w:t>
      </w:r>
    </w:p>
    <w:p>
      <w:pPr>
        <w:spacing w:line="560" w:lineRule="exact"/>
        <w:ind w:firstLine="640" w:firstLineChars="200"/>
        <w:rPr>
          <w:rFonts w:hint="eastAsia" w:ascii="Times New Roman" w:hAnsi="Times New Roman" w:eastAsia="仿宋_GB2312" w:cs="Times New Roman"/>
          <w:highlight w:val="none"/>
          <w:lang w:eastAsia="zh-CN"/>
        </w:rPr>
      </w:pPr>
      <w:r>
        <w:rPr>
          <w:rFonts w:hint="default" w:ascii="Times New Roman" w:hAnsi="Times New Roman" w:eastAsia="仿宋_GB2312" w:cs="Times New Roman"/>
          <w:sz w:val="32"/>
          <w:szCs w:val="32"/>
          <w:highlight w:val="none"/>
        </w:rPr>
        <w:t>该项目于2023年9月16日开工</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2023年11月13日完工验收。项目工程质量已经过建设单位、设计单位、监理单位、施工单位四方验收</w:t>
      </w:r>
      <w:r>
        <w:rPr>
          <w:rFonts w:hint="eastAsia" w:eastAsia="仿宋_GB2312" w:cs="Times New Roman"/>
          <w:sz w:val="32"/>
          <w:szCs w:val="32"/>
          <w:highlight w:val="none"/>
          <w:lang w:eastAsia="zh-CN"/>
        </w:rPr>
        <w:t>。</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131</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131</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131</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131</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131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%，主要用于：新建污水管网7100米(高密度聚乙烯(HDPE)双壁波纹排水管，管道大管径为De200)及相关配套检查井等，新建收集池(50立方2个、20立方1个、10立方8个)，提升井1个，购买吸污车2辆。</w:t>
      </w:r>
      <w:r>
        <w:rPr>
          <w:rFonts w:hint="eastAsia" w:eastAsia="仿宋_GB2312" w:cs="Times New Roman"/>
          <w:sz w:val="32"/>
          <w:szCs w:val="32"/>
          <w:highlight w:val="none"/>
          <w:lang w:val="en-US" w:eastAsia="zh-CN"/>
        </w:rPr>
        <w:t>项目费用详如下：</w:t>
      </w:r>
      <w:r>
        <w:rPr>
          <w:rFonts w:hint="default" w:ascii="Times New Roman" w:hAnsi="Times New Roman" w:eastAsia="仿宋_GB2312" w:cs="Times New Roman"/>
          <w:sz w:val="32"/>
          <w:szCs w:val="32"/>
          <w:highlight w:val="none"/>
          <w:lang w:val="en-US" w:eastAsia="zh-CN"/>
        </w:rPr>
        <w:t>英下乡喀村粪污一体化项目进度款第二次支付</w:t>
      </w:r>
      <w:r>
        <w:rPr>
          <w:rFonts w:hint="eastAsia" w:eastAsia="仿宋_GB2312" w:cs="Times New Roman"/>
          <w:sz w:val="32"/>
          <w:szCs w:val="32"/>
          <w:highlight w:val="none"/>
          <w:lang w:val="en-US" w:eastAsia="zh-CN"/>
        </w:rPr>
        <w:t>35万元、</w:t>
      </w:r>
      <w:r>
        <w:rPr>
          <w:rFonts w:hint="default" w:ascii="Times New Roman" w:hAnsi="Times New Roman" w:eastAsia="仿宋_GB2312" w:cs="Times New Roman"/>
          <w:sz w:val="32"/>
          <w:szCs w:val="32"/>
          <w:highlight w:val="none"/>
          <w:lang w:val="en-US" w:eastAsia="zh-CN"/>
        </w:rPr>
        <w:t>英下乡喀村发粪污一体化治理项目进度余款</w:t>
      </w:r>
      <w:r>
        <w:rPr>
          <w:rFonts w:hint="eastAsia" w:ascii="Times New Roman" w:hAnsi="Times New Roman" w:eastAsia="仿宋_GB2312" w:cs="Times New Roman"/>
          <w:sz w:val="32"/>
          <w:szCs w:val="32"/>
          <w:highlight w:val="none"/>
          <w:lang w:val="en-US" w:eastAsia="zh-CN"/>
        </w:rPr>
        <w:t>5万元、</w:t>
      </w:r>
      <w:r>
        <w:rPr>
          <w:rFonts w:hint="default" w:ascii="Times New Roman" w:hAnsi="Times New Roman" w:eastAsia="仿宋_GB2312" w:cs="Times New Roman"/>
          <w:sz w:val="32"/>
          <w:szCs w:val="32"/>
          <w:highlight w:val="none"/>
          <w:lang w:val="en-US" w:eastAsia="zh-CN"/>
        </w:rPr>
        <w:t>英下乡喀村发粪污一体化治理项目决算款</w:t>
      </w:r>
      <w:r>
        <w:rPr>
          <w:rFonts w:hint="eastAsia" w:ascii="Times New Roman" w:hAnsi="Times New Roman" w:eastAsia="仿宋_GB2312" w:cs="Times New Roman"/>
          <w:sz w:val="32"/>
          <w:szCs w:val="32"/>
          <w:highlight w:val="none"/>
          <w:lang w:val="en-US" w:eastAsia="zh-CN"/>
        </w:rPr>
        <w:t>85万元、</w:t>
      </w:r>
      <w:r>
        <w:rPr>
          <w:rFonts w:hint="default" w:ascii="Times New Roman" w:hAnsi="Times New Roman" w:eastAsia="仿宋_GB2312" w:cs="Times New Roman"/>
          <w:sz w:val="32"/>
          <w:szCs w:val="32"/>
          <w:highlight w:val="none"/>
          <w:lang w:val="en-US" w:eastAsia="zh-CN"/>
        </w:rPr>
        <w:t>英下乡喀村发粪污一体化治理项目设计费</w:t>
      </w:r>
      <w:r>
        <w:rPr>
          <w:rFonts w:hint="eastAsia" w:eastAsia="仿宋_GB2312" w:cs="Times New Roman"/>
          <w:sz w:val="32"/>
          <w:szCs w:val="32"/>
          <w:highlight w:val="none"/>
          <w:lang w:val="en-US" w:eastAsia="zh-CN"/>
        </w:rPr>
        <w:t>6</w:t>
      </w:r>
      <w:r>
        <w:rPr>
          <w:rFonts w:hint="eastAsia" w:ascii="Times New Roman" w:hAnsi="Times New Roman" w:eastAsia="仿宋_GB2312" w:cs="Times New Roman"/>
          <w:sz w:val="32"/>
          <w:szCs w:val="32"/>
          <w:highlight w:val="none"/>
          <w:lang w:val="en-US" w:eastAsia="zh-CN"/>
        </w:rPr>
        <w:t>万元。</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shd w:val="clear"/>
        <w:spacing w:line="600" w:lineRule="exact"/>
        <w:ind w:firstLine="643"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bCs/>
          <w:sz w:val="32"/>
          <w:szCs w:val="32"/>
          <w:highlight w:val="none"/>
          <w:lang w:val="en-US" w:eastAsia="zh-CN"/>
        </w:rPr>
        <w:t>目标1：</w:t>
      </w:r>
      <w:r>
        <w:rPr>
          <w:rFonts w:hint="eastAsia" w:ascii="Times New Roman" w:hAnsi="Times New Roman" w:eastAsia="仿宋_GB2312" w:cs="Times New Roman"/>
          <w:sz w:val="32"/>
          <w:szCs w:val="32"/>
          <w:highlight w:val="none"/>
          <w:lang w:val="en-US" w:eastAsia="zh-CN"/>
        </w:rPr>
        <w:t>采购并安装改造铺设污水管网7100米，新建化粪池数量12座及相关配套管网检查井等设施；</w:t>
      </w:r>
    </w:p>
    <w:p>
      <w:pPr>
        <w:shd w:val="clear"/>
        <w:spacing w:line="600" w:lineRule="exact"/>
        <w:ind w:firstLine="643" w:firstLineChars="200"/>
        <w:outlineLvl w:val="0"/>
        <w:rPr>
          <w:rFonts w:hint="default" w:ascii="Times New Roman" w:hAnsi="Times New Roman" w:eastAsia="黑体" w:cs="Times New Roman"/>
          <w:b w:val="0"/>
          <w:bCs/>
          <w:highlight w:val="none"/>
          <w:lang w:eastAsia="zh-CN"/>
        </w:rPr>
      </w:pPr>
      <w:r>
        <w:rPr>
          <w:rFonts w:hint="eastAsia" w:ascii="Times New Roman" w:hAnsi="Times New Roman" w:eastAsia="仿宋_GB2312" w:cs="Times New Roman"/>
          <w:b/>
          <w:bCs/>
          <w:sz w:val="32"/>
          <w:szCs w:val="32"/>
          <w:highlight w:val="none"/>
          <w:lang w:val="en-US" w:eastAsia="zh-CN"/>
        </w:rPr>
        <w:t>目标2：</w:t>
      </w:r>
      <w:r>
        <w:rPr>
          <w:rFonts w:hint="eastAsia" w:ascii="Times New Roman" w:hAnsi="Times New Roman" w:eastAsia="仿宋_GB2312" w:cs="Times New Roman"/>
          <w:sz w:val="32"/>
          <w:szCs w:val="32"/>
          <w:highlight w:val="none"/>
          <w:lang w:val="en-US" w:eastAsia="zh-CN"/>
        </w:rPr>
        <w:t>通过项目实施，进一步提升群众生产生活积极性，提升农村居住环境。</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资金规范启动：完成项目资金的分配方案制定，明确经费额度，确保资金及时、足额拨付到位，保障</w:t>
      </w:r>
      <w:r>
        <w:rPr>
          <w:rFonts w:hint="eastAsia" w:ascii="Times New Roman" w:hAnsi="Times New Roman" w:eastAsia="仿宋_GB2312" w:cs="Times New Roman"/>
          <w:sz w:val="32"/>
          <w:szCs w:val="32"/>
          <w:highlight w:val="none"/>
          <w:lang w:val="en-US" w:eastAsia="zh-CN"/>
        </w:rPr>
        <w:t>项目进度</w:t>
      </w:r>
      <w:r>
        <w:rPr>
          <w:rFonts w:hint="default" w:ascii="Times New Roman" w:hAnsi="Times New Roman" w:eastAsia="仿宋_GB2312" w:cs="Times New Roman"/>
          <w:sz w:val="32"/>
          <w:szCs w:val="32"/>
          <w:highlight w:val="none"/>
          <w:lang w:val="en-US" w:eastAsia="zh-CN"/>
        </w:rPr>
        <w:t>正常</w:t>
      </w:r>
      <w:r>
        <w:rPr>
          <w:rFonts w:hint="eastAsia" w:ascii="Times New Roman" w:hAnsi="Times New Roman" w:eastAsia="仿宋_GB2312" w:cs="Times New Roman"/>
          <w:sz w:val="32"/>
          <w:szCs w:val="32"/>
          <w:highlight w:val="none"/>
          <w:lang w:val="en-US" w:eastAsia="zh-CN"/>
        </w:rPr>
        <w:t>开展</w:t>
      </w:r>
      <w:r>
        <w:rPr>
          <w:rFonts w:hint="default" w:ascii="Times New Roman" w:hAnsi="Times New Roman" w:eastAsia="仿宋_GB2312" w:cs="Times New Roman"/>
          <w:sz w:val="32"/>
          <w:szCs w:val="32"/>
          <w:highlight w:val="none"/>
          <w:lang w:val="en-US" w:eastAsia="zh-CN"/>
        </w:rPr>
        <w:t>。</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建设程序执行：积极取得上级对本项目的可行性报告批复，委托第三方项目管理公司在采购网发布竞争性磋商公告并开展竞争性磋商会议确定中标候选人，发布中标（成交）结果公告，并向中标单位发放中标通知书。</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工程完工后，由建设单位英下乡人民政府组织设计单位、监理单位、施工单位对项目进行竣工验收，出具竣工验收报告。</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2"/>
        <w:rPr>
          <w:rFonts w:hint="default" w:eastAsia="楷体_GB2312"/>
          <w:lang w:val="en-US" w:eastAsia="zh-CN"/>
        </w:rPr>
      </w:pPr>
      <w:r>
        <w:rPr>
          <w:rFonts w:hint="eastAsia" w:hAnsi="Times New Roman" w:eastAsia="楷体_GB2312" w:cs="Times New Roman"/>
          <w:b/>
          <w:bCs/>
          <w:sz w:val="32"/>
          <w:szCs w:val="32"/>
          <w:highlight w:val="none"/>
          <w:lang w:val="en-US" w:eastAsia="zh-CN"/>
        </w:rPr>
        <w:t xml:space="preserve">     </w:t>
      </w:r>
      <w:r>
        <w:rPr>
          <w:rFonts w:hint="eastAsia" w:ascii="Times New Roman" w:hAnsi="Times New Roman" w:eastAsia="仿宋_GB2312" w:cs="Times New Roman"/>
          <w:color w:val="auto"/>
          <w:kern w:val="2"/>
          <w:sz w:val="32"/>
          <w:szCs w:val="32"/>
          <w:highlight w:val="none"/>
          <w:lang w:val="en-US" w:eastAsia="zh-CN" w:bidi="ar-SA"/>
        </w:rPr>
        <w:t>1.绩效评价完整性</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巴州农【2023】33号2023年中央土地指标跨省域调剂收入安排的支出预算【支持农村厕所革命整村推进财政奖补】项目</w:t>
      </w:r>
      <w:r>
        <w:rPr>
          <w:rFonts w:hint="default" w:ascii="Times New Roman" w:hAnsi="Times New Roman" w:eastAsia="仿宋_GB2312" w:cs="Times New Roman"/>
          <w:sz w:val="32"/>
          <w:szCs w:val="32"/>
          <w:highlight w:val="none"/>
          <w:lang w:val="en-US" w:eastAsia="zh-CN"/>
        </w:rPr>
        <w:t>预算绩效评价报告在编制过程中，严格遵循</w:t>
      </w:r>
      <w:r>
        <w:rPr>
          <w:rFonts w:hint="eastAsia" w:eastAsia="仿宋_GB2312" w:cs="Times New Roman"/>
          <w:sz w:val="32"/>
          <w:szCs w:val="32"/>
          <w:highlight w:val="none"/>
          <w:lang w:val="en-US" w:eastAsia="zh-CN"/>
        </w:rPr>
        <w:t>改造铺设污水管网7100米、</w:t>
      </w:r>
      <w:r>
        <w:rPr>
          <w:rFonts w:hint="eastAsia" w:ascii="Times New Roman" w:hAnsi="Times New Roman" w:eastAsia="仿宋_GB2312" w:cs="Times New Roman"/>
          <w:sz w:val="32"/>
          <w:szCs w:val="32"/>
          <w:highlight w:val="none"/>
          <w:lang w:val="en-US" w:eastAsia="zh-CN"/>
        </w:rPr>
        <w:t>新建化粪池数量12座及相关配套管网检查井等设施</w:t>
      </w:r>
      <w:r>
        <w:rPr>
          <w:rFonts w:hint="default" w:ascii="Times New Roman" w:hAnsi="Times New Roman" w:eastAsia="仿宋_GB2312" w:cs="Times New Roman"/>
          <w:sz w:val="32"/>
          <w:szCs w:val="32"/>
          <w:highlight w:val="none"/>
          <w:lang w:val="en-US" w:eastAsia="zh-CN"/>
        </w:rPr>
        <w:t>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巴州农【2023】33号2023年中央土地指标跨省域调剂收入安排的支出预算【支持农村厕所革命整村推进财政奖补】项目在评价指标体系的构建上，充分考虑了项目的性质、目标以及预期成果，选取了具有代表性和可衡量性的关键指标，如</w:t>
      </w:r>
      <w:r>
        <w:rPr>
          <w:rFonts w:hint="eastAsia" w:eastAsia="仿宋_GB2312" w:cs="Times New Roman"/>
          <w:sz w:val="32"/>
          <w:szCs w:val="32"/>
          <w:highlight w:val="none"/>
          <w:lang w:val="en-US" w:eastAsia="zh-CN"/>
        </w:rPr>
        <w:t>受益脱贫村数量</w:t>
      </w:r>
      <w:r>
        <w:rPr>
          <w:rFonts w:hint="default" w:ascii="Times New Roman" w:hAnsi="Times New Roman" w:eastAsia="仿宋_GB2312" w:cs="Times New Roman"/>
          <w:sz w:val="32"/>
          <w:szCs w:val="32"/>
          <w:highlight w:val="none"/>
          <w:lang w:val="en-US" w:eastAsia="zh-CN"/>
        </w:rPr>
        <w:t>上，涵盖了</w:t>
      </w:r>
      <w:r>
        <w:rPr>
          <w:rFonts w:hint="eastAsia" w:eastAsia="仿宋_GB2312" w:cs="Times New Roman"/>
          <w:sz w:val="32"/>
          <w:szCs w:val="32"/>
          <w:highlight w:val="none"/>
          <w:lang w:val="en-US" w:eastAsia="zh-CN"/>
        </w:rPr>
        <w:t>建档立卡贫困户受益</w:t>
      </w:r>
      <w:r>
        <w:rPr>
          <w:rFonts w:hint="default" w:ascii="Times New Roman" w:hAnsi="Times New Roman" w:eastAsia="仿宋_GB2312" w:cs="Times New Roman"/>
          <w:sz w:val="32"/>
          <w:szCs w:val="32"/>
          <w:highlight w:val="none"/>
          <w:lang w:val="en-US" w:eastAsia="zh-CN"/>
        </w:rPr>
        <w:t>的社会效益维度，力求全方位反映项目的绩效状况。同时，对于每个指标的评价标准和数据来源均进行了明确说明，确保评价结果的客观性和可追溯性。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巴州农【2023】33号2023年中央土地指标跨省域调剂收入安排的支出预算【支持农村厕所革命整村推进财政奖补】项目在数据收集环节，采用了多种科学合理的方法，如问卷调查、座谈会，广泛收集了与支农专项-村级组织工作经费项目相关数据，通过匿名填写调查问卷内容体现真实服务辖区人员效率情况，以确保评价结论的真实性和有效性。</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支巴州农【2023】33号2023年中央土地指标跨省域调剂收入安排的支出预算【支持农村厕所革命整村推进财政奖补】项目在报告的撰写结构上，按照统一的格式和规范进行编排，内容层次分明、条理清晰。对项目的整体背景、评价方法、绩效分析等方面进行分类，形成有效层级为后续的撰写提供框架；然后对各项绩效指标的完成情况进行了逐一分析和评价，指出了项目在实施过程中存在的问题和不足，并提出了相应的改进建议；最后对整个项目的绩效状况进行了结论和建议，按优先级排序，给出了明确的评价结论和后续工作的建议。</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通过巴州农【2023】33号2023年中央土地指标跨省域调剂收入安排的支出预算【支持农村厕所革命整村推进财政奖补】工作经费支持，</w:t>
      </w:r>
      <w:r>
        <w:rPr>
          <w:rFonts w:hint="eastAsia" w:ascii="Times New Roman" w:hAnsi="Times New Roman" w:eastAsia="仿宋_GB2312" w:cs="Times New Roman"/>
          <w:sz w:val="32"/>
          <w:szCs w:val="32"/>
          <w:highlight w:val="none"/>
          <w:lang w:val="en-US" w:eastAsia="zh-CN"/>
        </w:rPr>
        <w:t>采购并安装改造铺设了污水管网7100米，新建了化粪池数量12座及相关配套管网检查井等设施，通过巴州农【2023】33号2023年中央土地指标跨省域调剂收入安排的支出预算【支持农村厕所革命整村推进财政奖补】</w:t>
      </w:r>
      <w:r>
        <w:rPr>
          <w:rFonts w:hint="default" w:ascii="Times New Roman" w:hAnsi="Times New Roman" w:eastAsia="仿宋_GB2312" w:cs="Times New Roman"/>
          <w:sz w:val="32"/>
          <w:szCs w:val="32"/>
          <w:highlight w:val="none"/>
          <w:lang w:val="en-US" w:eastAsia="zh-CN"/>
        </w:rPr>
        <w:t>项目预算执行情况及各项绩效目标达成程度的系统性分析，全面、客观地评估项目在预定周期内的实施效果，包括经济效益、社会效益、</w:t>
      </w:r>
      <w:r>
        <w:rPr>
          <w:rFonts w:hint="eastAsia" w:ascii="Times New Roman" w:hAnsi="Times New Roman"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spacing w:line="560" w:lineRule="exact"/>
        <w:ind w:firstLine="640" w:firstLineChars="200"/>
        <w:rPr>
          <w:rFonts w:hint="default" w:ascii="Times New Roman" w:hAnsi="Times New Roman" w:eastAsia="仿宋_GB2312" w:cs="Times New Roman"/>
          <w:sz w:val="30"/>
          <w:szCs w:val="30"/>
          <w:highlight w:val="none"/>
          <w:lang w:val="en-US" w:eastAsia="zh-CN"/>
        </w:rPr>
      </w:pPr>
      <w:r>
        <w:rPr>
          <w:rFonts w:hint="eastAsia" w:eastAsia="仿宋_GB2312" w:cs="Times New Roman"/>
          <w:sz w:val="32"/>
          <w:szCs w:val="32"/>
          <w:highlight w:val="none"/>
          <w:lang w:val="en-US" w:eastAsia="zh-CN"/>
        </w:rPr>
        <w:t>识别短板、优化资源配置，</w:t>
      </w:r>
      <w:r>
        <w:rPr>
          <w:rFonts w:hint="default" w:ascii="Times New Roman" w:hAnsi="Times New Roman" w:eastAsia="仿宋_GB2312" w:cs="Times New Roman"/>
          <w:sz w:val="32"/>
          <w:szCs w:val="32"/>
          <w:highlight w:val="none"/>
        </w:rPr>
        <w:t>识别资金使用过程中的冗余环节与低效领域，挖掘潜在的资源优化配置空间，推动项目在有限的预算资源下实现更高的绩效产出，提升整体资源利用效率</w:t>
      </w:r>
      <w:r>
        <w:rPr>
          <w:rFonts w:hint="eastAsia" w:eastAsia="仿宋_GB2312" w:cs="Times New Roman"/>
          <w:sz w:val="32"/>
          <w:szCs w:val="32"/>
          <w:highlight w:val="none"/>
          <w:lang w:eastAsia="zh-CN"/>
        </w:rPr>
        <w:t>。</w:t>
      </w:r>
    </w:p>
    <w:p>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w:t>
      </w:r>
      <w:r>
        <w:rPr>
          <w:rFonts w:hint="eastAsia"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lang w:val="en-US" w:eastAsia="zh-CN"/>
        </w:rPr>
        <w:t>）为决策提供支持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为为项目主管部门、财政部门提供详实、准确的绩效评价信息，</w:t>
      </w:r>
      <w:r>
        <w:rPr>
          <w:rFonts w:hint="eastAsia" w:ascii="Times New Roman" w:hAnsi="Times New Roman" w:eastAsia="仿宋_GB2312" w:cs="Times New Roman"/>
          <w:sz w:val="32"/>
          <w:szCs w:val="32"/>
          <w:highlight w:val="none"/>
          <w:lang w:val="en-US" w:eastAsia="zh-CN"/>
        </w:rPr>
        <w:t>在</w:t>
      </w:r>
      <w:r>
        <w:rPr>
          <w:rFonts w:hint="default" w:ascii="Times New Roman" w:hAnsi="Times New Roman" w:eastAsia="仿宋_GB2312" w:cs="Times New Roman"/>
          <w:sz w:val="32"/>
          <w:szCs w:val="32"/>
          <w:highlight w:val="none"/>
          <w:lang w:val="en-US" w:eastAsia="zh-CN"/>
        </w:rPr>
        <w:t>关键决策环节做出科学、合理的判断，促进项目资源的合理分配与有效整合，推动</w:t>
      </w:r>
      <w:r>
        <w:rPr>
          <w:rFonts w:hint="eastAsia" w:ascii="Times New Roman" w:hAnsi="Times New Roman" w:eastAsia="仿宋_GB2312" w:cs="Times New Roman"/>
          <w:sz w:val="32"/>
          <w:szCs w:val="32"/>
          <w:highlight w:val="none"/>
          <w:lang w:val="en-US" w:eastAsia="zh-CN"/>
        </w:rPr>
        <w:t>决策实施的准确性，</w:t>
      </w:r>
      <w:r>
        <w:rPr>
          <w:rFonts w:hint="default" w:ascii="Times New Roman" w:hAnsi="Times New Roman" w:eastAsia="仿宋_GB2312" w:cs="Times New Roman"/>
          <w:sz w:val="32"/>
          <w:szCs w:val="32"/>
          <w:highlight w:val="none"/>
          <w:lang w:val="en-US" w:eastAsia="zh-CN"/>
        </w:rPr>
        <w:t>提升资源</w:t>
      </w:r>
      <w:r>
        <w:rPr>
          <w:rFonts w:hint="eastAsia" w:ascii="Times New Roman" w:hAnsi="Times New Roman" w:eastAsia="仿宋_GB2312" w:cs="Times New Roman"/>
          <w:sz w:val="32"/>
          <w:szCs w:val="32"/>
          <w:highlight w:val="none"/>
          <w:lang w:val="en-US" w:eastAsia="zh-CN"/>
        </w:rPr>
        <w:t>高效</w:t>
      </w:r>
      <w:r>
        <w:rPr>
          <w:rFonts w:hint="default" w:ascii="Times New Roman" w:hAnsi="Times New Roman" w:eastAsia="仿宋_GB2312" w:cs="Times New Roman"/>
          <w:sz w:val="32"/>
          <w:szCs w:val="32"/>
          <w:highlight w:val="none"/>
          <w:lang w:val="en-US" w:eastAsia="zh-CN"/>
        </w:rPr>
        <w:t>配置。</w:t>
      </w:r>
    </w:p>
    <w:p>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w:t>
      </w:r>
      <w:r>
        <w:rPr>
          <w:rFonts w:hint="eastAsia" w:eastAsia="仿宋_GB2312" w:cs="Times New Roman"/>
          <w:sz w:val="30"/>
          <w:szCs w:val="30"/>
          <w:highlight w:val="none"/>
          <w:lang w:val="en-US" w:eastAsia="zh-CN"/>
        </w:rPr>
        <w:t>4</w:t>
      </w:r>
      <w:r>
        <w:rPr>
          <w:rFonts w:hint="default" w:ascii="Times New Roman" w:hAnsi="Times New Roman" w:eastAsia="仿宋_GB2312" w:cs="Times New Roman"/>
          <w:sz w:val="30"/>
          <w:szCs w:val="30"/>
          <w:highlight w:val="none"/>
          <w:lang w:val="en-US" w:eastAsia="zh-CN"/>
        </w:rPr>
        <w:t>）促进项目持续改进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持续动态监测，对于</w:t>
      </w:r>
      <w:r>
        <w:rPr>
          <w:rFonts w:hint="default" w:ascii="Times New Roman" w:hAnsi="Times New Roman" w:eastAsia="仿宋_GB2312" w:cs="Times New Roman"/>
          <w:sz w:val="32"/>
          <w:szCs w:val="32"/>
          <w:highlight w:val="none"/>
        </w:rPr>
        <w:t>绩效评价</w:t>
      </w:r>
      <w:r>
        <w:rPr>
          <w:rFonts w:hint="eastAsia" w:eastAsia="仿宋_GB2312" w:cs="Times New Roman"/>
          <w:sz w:val="32"/>
          <w:szCs w:val="32"/>
          <w:highlight w:val="none"/>
          <w:lang w:val="en-US" w:eastAsia="zh-CN"/>
        </w:rPr>
        <w:t>中</w:t>
      </w:r>
      <w:r>
        <w:rPr>
          <w:rFonts w:hint="default" w:ascii="Times New Roman" w:hAnsi="Times New Roman" w:eastAsia="仿宋_GB2312" w:cs="Times New Roman"/>
          <w:sz w:val="32"/>
          <w:szCs w:val="32"/>
          <w:highlight w:val="none"/>
        </w:rPr>
        <w:t>发现的问题与不足，提出针对性的改进建议与措施，加强过程监控把控，形成项目绩效持续改进的良性循环</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本项目预算绩效评价报告的编制以提升项目绩效为核心，旨在通过科学、严谨的评价工作，为项目管理与决策提供全方位的支持，</w:t>
      </w:r>
      <w:r>
        <w:rPr>
          <w:rFonts w:hint="eastAsia" w:eastAsia="仿宋_GB2312" w:cs="Times New Roman"/>
          <w:sz w:val="32"/>
          <w:szCs w:val="32"/>
          <w:highlight w:val="none"/>
          <w:lang w:val="en-US" w:eastAsia="zh-CN"/>
        </w:rPr>
        <w:t>使</w:t>
      </w:r>
      <w:r>
        <w:rPr>
          <w:rFonts w:hint="default" w:ascii="Times New Roman" w:hAnsi="Times New Roman" w:eastAsia="仿宋_GB2312" w:cs="Times New Roman"/>
          <w:sz w:val="32"/>
          <w:szCs w:val="32"/>
          <w:highlight w:val="none"/>
        </w:rPr>
        <w:t>项目在预算约束下实现高质量、可持续发展，充分发挥财政资金的社会效益。</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本项目预算绩效评价报告的评价对象是巴州农【2023】33号2023年中央土地指标跨省域调剂收入安排的支出预算【支持农村厕所革命整村推进财政奖补】</w:t>
      </w:r>
      <w:r>
        <w:rPr>
          <w:rFonts w:hint="eastAsia" w:ascii="Times New Roman" w:hAnsi="Times New Roman" w:eastAsia="仿宋_GB2312" w:cs="Times New Roman"/>
          <w:b w:val="0"/>
          <w:bCs w:val="0"/>
          <w:highlight w:val="none"/>
          <w:lang w:eastAsia="zh-CN"/>
        </w:rPr>
        <w:t>项目</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eastAsia="zh-CN"/>
        </w:rPr>
        <w:t>库尔勒市英下乡人民政府</w:t>
      </w:r>
      <w:r>
        <w:rPr>
          <w:rFonts w:hint="default" w:ascii="Times New Roman" w:hAnsi="Times New Roman" w:eastAsia="仿宋_GB2312" w:cs="Times New Roman"/>
          <w:b w:val="0"/>
          <w:bCs w:val="0"/>
          <w:highlight w:val="none"/>
        </w:rPr>
        <w:t>负责实施，旨在采购并安装改造铺设了污水管网7100米，新建了化粪池数量12座及相关配套管网检查井等设施</w:t>
      </w:r>
      <w:r>
        <w:rPr>
          <w:rFonts w:hint="eastAsia" w:ascii="Times New Roman" w:hAnsi="Times New Roman" w:eastAsia="仿宋_GB2312" w:cs="Times New Roman"/>
          <w:b w:val="0"/>
          <w:bCs w:val="0"/>
          <w:highlight w:val="none"/>
          <w:lang w:eastAsia="zh-CN"/>
        </w:rPr>
        <w:t>，进一步提升群众生产生活积极性，提升农村居住环境</w:t>
      </w:r>
      <w:r>
        <w:rPr>
          <w:rFonts w:hint="default" w:ascii="Times New Roman" w:hAnsi="Times New Roman" w:eastAsia="仿宋_GB2312" w:cs="Times New Roman"/>
          <w:b w:val="0"/>
          <w:bCs w:val="0"/>
          <w:highlight w:val="none"/>
        </w:rPr>
        <w:t>。项目预算涵盖从</w:t>
      </w:r>
      <w:r>
        <w:rPr>
          <w:rFonts w:hint="default" w:ascii="Times New Roman" w:hAnsi="Times New Roman" w:eastAsia="仿宋_GB2312" w:cs="Times New Roman"/>
          <w:b w:val="0"/>
          <w:bCs w:val="0"/>
          <w:sz w:val="32"/>
          <w:szCs w:val="32"/>
          <w:highlight w:val="none"/>
        </w:rPr>
        <w:t>202</w:t>
      </w:r>
      <w:r>
        <w:rPr>
          <w:rFonts w:hint="eastAsia" w:ascii="Times New Roman" w:hAnsi="Times New Roman" w:eastAsia="仿宋_GB2312" w:cs="Times New Roman"/>
          <w:b w:val="0"/>
          <w:bCs w:val="0"/>
          <w:sz w:val="32"/>
          <w:szCs w:val="32"/>
          <w:highlight w:val="none"/>
          <w:lang w:val="en-US" w:eastAsia="zh-CN"/>
        </w:rPr>
        <w:t>4</w:t>
      </w:r>
      <w:r>
        <w:rPr>
          <w:rFonts w:hint="default" w:ascii="Times New Roman" w:hAnsi="Times New Roman" w:eastAsia="仿宋_GB2312" w:cs="Times New Roman"/>
          <w:b w:val="0"/>
          <w:bCs w:val="0"/>
          <w:sz w:val="32"/>
          <w:szCs w:val="32"/>
          <w:highlight w:val="none"/>
        </w:rPr>
        <w:t>年9月16日</w:t>
      </w:r>
      <w:r>
        <w:rPr>
          <w:rFonts w:hint="eastAsia" w:ascii="Times New Roman" w:hAnsi="Times New Roman" w:eastAsia="仿宋_GB2312" w:cs="Times New Roman"/>
          <w:b w:val="0"/>
          <w:bCs w:val="0"/>
          <w:sz w:val="32"/>
          <w:szCs w:val="32"/>
          <w:highlight w:val="none"/>
          <w:lang w:eastAsia="zh-CN"/>
        </w:rPr>
        <w:t>至</w:t>
      </w:r>
      <w:r>
        <w:rPr>
          <w:rFonts w:hint="default" w:ascii="Times New Roman" w:hAnsi="Times New Roman" w:eastAsia="仿宋_GB2312" w:cs="Times New Roman"/>
          <w:b w:val="0"/>
          <w:bCs w:val="0"/>
          <w:sz w:val="32"/>
          <w:szCs w:val="32"/>
          <w:highlight w:val="none"/>
        </w:rPr>
        <w:t>202</w:t>
      </w:r>
      <w:r>
        <w:rPr>
          <w:rFonts w:hint="eastAsia" w:ascii="Times New Roman" w:hAnsi="Times New Roman" w:eastAsia="仿宋_GB2312" w:cs="Times New Roman"/>
          <w:b w:val="0"/>
          <w:bCs w:val="0"/>
          <w:sz w:val="32"/>
          <w:szCs w:val="32"/>
          <w:highlight w:val="none"/>
          <w:lang w:val="en-US" w:eastAsia="zh-CN"/>
        </w:rPr>
        <w:t>4</w:t>
      </w:r>
      <w:r>
        <w:rPr>
          <w:rFonts w:hint="default" w:ascii="Times New Roman" w:hAnsi="Times New Roman" w:eastAsia="仿宋_GB2312" w:cs="Times New Roman"/>
          <w:b w:val="0"/>
          <w:bCs w:val="0"/>
          <w:sz w:val="32"/>
          <w:szCs w:val="32"/>
          <w:highlight w:val="none"/>
        </w:rPr>
        <w:t>年11月13日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131</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w:t>
      </w:r>
      <w:r>
        <w:rPr>
          <w:rFonts w:hint="eastAsia" w:ascii="Times New Roman" w:hAnsi="Times New Roman" w:eastAsia="仿宋_GB2312" w:cs="Times New Roman"/>
          <w:b w:val="0"/>
          <w:bCs w:val="0"/>
          <w:highlight w:val="none"/>
          <w:lang w:val="en-US" w:eastAsia="zh-CN"/>
        </w:rPr>
        <w:t>财政资金使用效率，</w:t>
      </w:r>
      <w:r>
        <w:rPr>
          <w:rFonts w:hint="default" w:ascii="Times New Roman" w:hAnsi="Times New Roman" w:eastAsia="仿宋_GB2312" w:cs="Times New Roman"/>
          <w:b w:val="0"/>
          <w:bCs w:val="0"/>
          <w:highlight w:val="none"/>
        </w:rPr>
        <w:t>分析项目资金的分配、使用和监管情况，确保资金使用的合规性、透明度。</w:t>
      </w:r>
    </w:p>
    <w:p>
      <w:pPr>
        <w:pStyle w:val="1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w:t>
      </w:r>
      <w:r>
        <w:rPr>
          <w:rFonts w:hint="eastAsia" w:ascii="Times New Roman" w:hAnsi="Times New Roman" w:eastAsia="仿宋_GB2312" w:cs="Times New Roman"/>
          <w:b w:val="0"/>
          <w:bCs w:val="0"/>
          <w:highlight w:val="none"/>
          <w:lang w:val="en-US" w:eastAsia="zh-CN"/>
        </w:rPr>
        <w:t>按照上半年与下半年的实施进度对比，</w:t>
      </w:r>
      <w:r>
        <w:rPr>
          <w:rFonts w:hint="default" w:ascii="Times New Roman" w:hAnsi="Times New Roman" w:eastAsia="仿宋_GB2312" w:cs="Times New Roman"/>
          <w:b w:val="0"/>
          <w:bCs w:val="0"/>
          <w:highlight w:val="none"/>
        </w:rPr>
        <w:t>评估项目是否按照既定计划顺利推进，各项任务是否按时完成</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确保项目实施的过程完整性。</w:t>
      </w:r>
    </w:p>
    <w:p>
      <w:pPr>
        <w:pStyle w:val="1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lang w:eastAsia="zh-CN"/>
        </w:rPr>
        <w:t>社会影响：改善农村卫生环境，降低了细菌和病毒的传播、改善了农村整体环境卫生。保障农民身体健康，减少了应如厕环境差引发的倡导传染病、提升了农民的健康水平和生活质量。增强农民的幸福感和获得感，解决了农民生活中的实际问题，让农民用上了干净、卫生、方便的厕所，这一实实在在变化让农民感到了生活的改善、增强了他们的幸福感和获得感。</w:t>
      </w:r>
    </w:p>
    <w:p>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谁支出、谁自评</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。部门评价和财政评价应在单位自评的基础上开展。</w:t>
      </w:r>
    </w:p>
    <w:p>
      <w:pPr>
        <w:pStyle w:val="1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Style w:val="12"/>
        <w:widowControl w:val="0"/>
        <w:spacing w:before="0" w:after="0" w:line="560" w:lineRule="exact"/>
        <w:ind w:firstLine="640" w:firstLineChars="200"/>
        <w:jc w:val="both"/>
        <w:outlineLvl w:val="9"/>
        <w:rPr>
          <w:rFonts w:hint="eastAsia"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rPr>
        <w:t>本次项目支出绩效自评采用</w:t>
      </w:r>
      <w:r>
        <w:rPr>
          <w:rFonts w:hint="eastAsia" w:ascii="Times New Roman" w:hAnsi="Times New Roman" w:eastAsia="仿宋_GB2312" w:cs="Times New Roman"/>
          <w:b w:val="0"/>
          <w:bCs w:val="0"/>
          <w:color w:val="auto"/>
          <w:highlight w:val="none"/>
        </w:rPr>
        <w:t>公众评判法</w:t>
      </w: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原因是</w:t>
      </w:r>
      <w:r>
        <w:rPr>
          <w:rFonts w:hint="eastAsia" w:ascii="Times New Roman" w:hAnsi="Times New Roman" w:eastAsia="仿宋_GB2312" w:cs="Times New Roman"/>
          <w:b w:val="0"/>
          <w:bCs w:val="0"/>
          <w:color w:val="auto"/>
          <w:highlight w:val="none"/>
          <w:lang w:eastAsia="zh-CN"/>
        </w:rPr>
        <w:t>通过</w:t>
      </w:r>
      <w:r>
        <w:rPr>
          <w:rFonts w:hint="eastAsia" w:ascii="Times New Roman" w:hAnsi="Times New Roman" w:eastAsia="仿宋_GB2312" w:cs="Times New Roman"/>
          <w:b w:val="0"/>
          <w:bCs w:val="0"/>
          <w:highlight w:val="none"/>
          <w:lang w:eastAsia="zh-CN"/>
        </w:rPr>
        <w:t>公众调查问卷形式更加能准确得知此项目实施的反馈情况，</w:t>
      </w:r>
      <w:r>
        <w:rPr>
          <w:rFonts w:hint="eastAsia" w:ascii="Times New Roman" w:hAnsi="Times New Roman" w:eastAsia="仿宋_GB2312" w:cs="Times New Roman"/>
          <w:b w:val="0"/>
          <w:bCs w:val="0"/>
          <w:highlight w:val="none"/>
          <w:lang w:val="en-US" w:eastAsia="zh-CN"/>
        </w:rPr>
        <w:t>将公众的满意度、体验感作为核心的评价依据，</w:t>
      </w:r>
      <w:r>
        <w:rPr>
          <w:rFonts w:hint="eastAsia" w:ascii="Times New Roman" w:hAnsi="Times New Roman" w:eastAsia="仿宋_GB2312" w:cs="Times New Roman"/>
          <w:b w:val="0"/>
          <w:bCs w:val="0"/>
          <w:highlight w:val="none"/>
          <w:lang w:eastAsia="zh-CN"/>
        </w:rPr>
        <w:t>促使资金使用准确有效。</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r>
        <w:rPr>
          <w:rFonts w:hint="default" w:ascii="Times New Roman" w:hAnsi="Times New Roman" w:eastAsia="仿宋_GB2312" w:cs="Times New Roman"/>
          <w:b w:val="0"/>
          <w:bCs w:val="0"/>
          <w:highlight w:val="none"/>
        </w:rPr>
        <w:t>。</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原因是通过实际绩效与计划标准进行对比分析，能够发现计划制定和执行过程中的优点和不足。</w:t>
      </w:r>
    </w:p>
    <w:p>
      <w:pPr>
        <w:pStyle w:val="12"/>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w:t>
      </w:r>
      <w:r>
        <w:rPr>
          <w:rFonts w:hint="eastAsia" w:eastAsia="仿宋_GB2312" w:cs="Times New Roman"/>
          <w:sz w:val="32"/>
          <w:szCs w:val="32"/>
          <w:highlight w:val="none"/>
          <w:lang w:val="en-US" w:eastAsia="zh-CN"/>
        </w:rPr>
        <w:t>包括：财务分管领导蒋宏正和财务室工作人员阿依夏木古丽·卡斯木、阿里同古丽·阿不力及各科室干部组成，</w:t>
      </w:r>
      <w:r>
        <w:rPr>
          <w:rFonts w:hint="default" w:ascii="Times New Roman" w:hAnsi="Times New Roman" w:eastAsia="仿宋_GB2312" w:cs="Times New Roman"/>
          <w:sz w:val="32"/>
          <w:szCs w:val="32"/>
          <w:highlight w:val="none"/>
        </w:rPr>
        <w:t>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清晰阐述</w:t>
      </w:r>
      <w:r>
        <w:rPr>
          <w:rFonts w:hint="default" w:ascii="Times New Roman" w:hAnsi="Times New Roman" w:eastAsia="仿宋_GB2312" w:cs="Times New Roman"/>
          <w:sz w:val="32"/>
          <w:szCs w:val="32"/>
          <w:highlight w:val="none"/>
          <w:lang w:eastAsia="zh-CN"/>
        </w:rPr>
        <w:t>项目的</w:t>
      </w:r>
      <w:r>
        <w:rPr>
          <w:rFonts w:hint="eastAsia" w:eastAsia="仿宋_GB2312" w:cs="Times New Roman"/>
          <w:sz w:val="32"/>
          <w:szCs w:val="32"/>
          <w:highlight w:val="none"/>
          <w:lang w:val="en-US" w:eastAsia="zh-CN"/>
        </w:rPr>
        <w:t>目的</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为后续指标设计提供方向指引。</w:t>
      </w:r>
      <w:r>
        <w:rPr>
          <w:rFonts w:hint="default" w:ascii="Times New Roman" w:hAnsi="Times New Roman" w:eastAsia="仿宋_GB2312" w:cs="Times New Roman"/>
          <w:sz w:val="32"/>
          <w:szCs w:val="32"/>
          <w:highlight w:val="none"/>
          <w:lang w:eastAsia="zh-CN"/>
        </w:rPr>
        <w:t>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w:t>
      </w:r>
      <w:r>
        <w:rPr>
          <w:rFonts w:hint="eastAsia" w:eastAsia="仿宋_GB2312" w:cs="Times New Roman"/>
          <w:sz w:val="32"/>
          <w:szCs w:val="32"/>
          <w:highlight w:val="none"/>
          <w:lang w:val="en-US" w:eastAsia="zh-CN"/>
        </w:rPr>
        <w:t>合理搭配确保全面评估</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有效</w:t>
      </w:r>
      <w:r>
        <w:rPr>
          <w:rFonts w:hint="default" w:ascii="Times New Roman" w:hAnsi="Times New Roman" w:eastAsia="仿宋_GB2312" w:cs="Times New Roman"/>
          <w:sz w:val="32"/>
          <w:szCs w:val="32"/>
          <w:highlight w:val="none"/>
          <w:lang w:eastAsia="zh-CN"/>
        </w:rPr>
        <w:t>收集与项目相关数据，包括财务报表、</w:t>
      </w:r>
      <w:r>
        <w:rPr>
          <w:rFonts w:hint="eastAsia" w:eastAsia="仿宋_GB2312" w:cs="Times New Roman"/>
          <w:sz w:val="32"/>
          <w:szCs w:val="32"/>
          <w:highlight w:val="none"/>
          <w:lang w:val="en-US" w:eastAsia="zh-CN"/>
        </w:rPr>
        <w:t>问卷调查等</w:t>
      </w:r>
      <w:r>
        <w:rPr>
          <w:rFonts w:hint="default" w:ascii="Times New Roman" w:hAnsi="Times New Roman" w:eastAsia="仿宋_GB2312" w:cs="Times New Roman"/>
          <w:sz w:val="32"/>
          <w:szCs w:val="32"/>
          <w:highlight w:val="none"/>
          <w:lang w:eastAsia="zh-CN"/>
        </w:rPr>
        <w:t>。在数据收集过程中，注重数据的</w:t>
      </w:r>
      <w:r>
        <w:rPr>
          <w:rFonts w:hint="eastAsia" w:eastAsia="仿宋_GB2312" w:cs="Times New Roman"/>
          <w:sz w:val="32"/>
          <w:szCs w:val="32"/>
          <w:highlight w:val="none"/>
          <w:lang w:val="en-US" w:eastAsia="zh-CN"/>
        </w:rPr>
        <w:t>真实性</w:t>
      </w:r>
      <w:r>
        <w:rPr>
          <w:rFonts w:hint="default" w:ascii="Times New Roman" w:hAnsi="Times New Roman" w:eastAsia="仿宋_GB2312" w:cs="Times New Roman"/>
          <w:sz w:val="32"/>
          <w:szCs w:val="32"/>
          <w:highlight w:val="none"/>
          <w:lang w:eastAsia="zh-CN"/>
        </w:rPr>
        <w:t>与完整性，对收集到的数据进行了系统的整理与分类，为后续的数据分析提供了有力支持。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对收集到的数据进行了深入分析。通过对各项绩效指标的实际完成情况与预期目标进行对比，</w:t>
      </w:r>
      <w:r>
        <w:rPr>
          <w:rFonts w:hint="eastAsia" w:eastAsia="仿宋_GB2312" w:cs="Times New Roman"/>
          <w:sz w:val="32"/>
          <w:szCs w:val="32"/>
          <w:highlight w:val="none"/>
          <w:lang w:val="en-US" w:eastAsia="zh-CN"/>
        </w:rPr>
        <w:t>通过数据分析揭示项目绩效状况和存在的问题</w:t>
      </w:r>
      <w:r>
        <w:rPr>
          <w:rFonts w:hint="default" w:ascii="Times New Roman" w:hAnsi="Times New Roman" w:eastAsia="仿宋_GB2312" w:cs="Times New Roman"/>
          <w:sz w:val="32"/>
          <w:szCs w:val="32"/>
          <w:highlight w:val="none"/>
          <w:lang w:eastAsia="zh-CN"/>
        </w:rPr>
        <w:t>，注重数据之间的关联性，深入剖析项目绩效背后的原因，为提出有针对性的改进建议提供了依据。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eastAsia="仿宋_GB2312" w:cs="Times New Roman"/>
          <w:sz w:val="32"/>
          <w:szCs w:val="32"/>
          <w:highlight w:val="none"/>
          <w:lang w:val="en-US" w:eastAsia="zh-CN"/>
        </w:rPr>
        <w:t>通过规范的报告撰写与高效的反馈机制，既能系统的展示项目价值，又能推动经验沉淀与能力迭代，实现项目全周期管理的良性循环。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在评价报告提交后，我们将持续跟踪项目的改进措施落实情况，定期对项目绩效进行复查与评估，优化</w:t>
      </w:r>
      <w:r>
        <w:rPr>
          <w:rFonts w:hint="eastAsia" w:eastAsia="仿宋_GB2312" w:cs="Times New Roman"/>
          <w:sz w:val="32"/>
          <w:szCs w:val="32"/>
          <w:highlight w:val="none"/>
          <w:lang w:val="en-US" w:eastAsia="zh-CN"/>
        </w:rPr>
        <w:t>反馈机制本身的效率与覆盖面</w:t>
      </w:r>
      <w:r>
        <w:rPr>
          <w:rFonts w:hint="default" w:ascii="Times New Roman" w:hAnsi="Times New Roman" w:eastAsia="仿宋_GB2312" w:cs="Times New Roman"/>
          <w:sz w:val="32"/>
          <w:szCs w:val="32"/>
          <w:highlight w:val="none"/>
          <w:lang w:eastAsia="zh-CN"/>
        </w:rPr>
        <w:t>，实现绩效的持续提升。</w:t>
      </w:r>
    </w:p>
    <w:p>
      <w:pPr>
        <w:numPr>
          <w:ilvl w:val="0"/>
          <w:numId w:val="4"/>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本项目的综合评价基于对项目各方面绩效的深入分析与评估。从项目目标的达成情况来看，巴州农【2023】33号2023年中央土地指标跨省域调剂收入安排的支出预算【支持农村厕所革命整村推进财政奖补】</w:t>
      </w:r>
      <w:r>
        <w:rPr>
          <w:rFonts w:hint="eastAsia" w:eastAsia="仿宋_GB2312" w:cs="Times New Roman"/>
          <w:sz w:val="32"/>
          <w:szCs w:val="32"/>
          <w:highlight w:val="none"/>
          <w:lang w:eastAsia="zh-CN"/>
        </w:rPr>
        <w:t>项目</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lang w:val="en-US" w:eastAsia="zh-CN"/>
        </w:rPr>
        <w:t>采购并安装改造铺设污水管网7100米，新建化粪池数量12座及相关配套管网检查井等设施；通过项目实施，进一步提升群众生产生活积极性，提升农村居住环境</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农村厕所革命整村推进方面</w:t>
      </w:r>
      <w:r>
        <w:rPr>
          <w:rFonts w:hint="default" w:ascii="Times New Roman" w:hAnsi="Times New Roman" w:eastAsia="仿宋_GB2312" w:cs="Times New Roman"/>
          <w:sz w:val="32"/>
          <w:szCs w:val="32"/>
          <w:highlight w:val="none"/>
        </w:rPr>
        <w:t>取得了显著的成效，如采购并安装改造铺设了污水管网7100米，新建了化粪池数量12座及相关配套管网检查井等设施，进一步提升群众生产生活积极性，提升农村居住环境等。</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英下乡人民政府</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从项目效益的角度来看，本项目实现了预期的社会效益方面产生了积极的影响。具体而言，</w:t>
      </w:r>
      <w:r>
        <w:rPr>
          <w:rFonts w:hint="eastAsia" w:ascii="Times New Roman" w:hAnsi="Times New Roman" w:eastAsia="仿宋_GB2312" w:cs="Times New Roman"/>
          <w:sz w:val="32"/>
          <w:szCs w:val="32"/>
          <w:highlight w:val="none"/>
          <w:lang w:eastAsia="zh-CN"/>
        </w:rPr>
        <w:t>受益脱贫村达到了</w:t>
      </w:r>
      <w:r>
        <w:rPr>
          <w:rFonts w:hint="eastAsia"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个、受益建档立卡贫困户达到了23户</w:t>
      </w:r>
      <w:r>
        <w:rPr>
          <w:rFonts w:hint="default" w:ascii="Times New Roman" w:hAnsi="Times New Roman" w:eastAsia="仿宋_GB2312" w:cs="Times New Roman"/>
          <w:sz w:val="32"/>
          <w:szCs w:val="32"/>
          <w:highlight w:val="none"/>
        </w:rPr>
        <w:t>等方面的提升，为项目的利益相关者带来了实实在在的利益。</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综上所述，巴州农【2023】33号2023年中央土地指标跨省域调剂收入安排的支出预算【支持农村厕所革命整村推进财政奖补】</w:t>
      </w:r>
      <w:r>
        <w:rPr>
          <w:rFonts w:hint="eastAsia" w:eastAsia="仿宋_GB2312" w:cs="Times New Roman"/>
          <w:sz w:val="32"/>
          <w:szCs w:val="32"/>
          <w:highlight w:val="none"/>
          <w:lang w:eastAsia="zh-CN"/>
        </w:rPr>
        <w:t>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w:t>
      </w:r>
      <w:r>
        <w:rPr>
          <w:rFonts w:hint="default" w:ascii="Times New Roman" w:hAnsi="Times New Roman" w:eastAsia="仿宋_GB2312" w:cs="Times New Roman"/>
          <w:b w:val="0"/>
          <w:bCs w:val="0"/>
          <w:color w:val="auto"/>
          <w:highlight w:val="none"/>
          <w:lang w:val="en-US" w:eastAsia="zh-CN"/>
        </w:rPr>
        <w:t xml:space="preserve">最终评分结果：总得分为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lang w:val="en-US" w:eastAsia="zh-CN"/>
        </w:rPr>
        <w:t xml:space="preserve">分，属于“优（良/中/差）”。其中，项目决策类指标权重为20分，得分为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lang w:val="en-US" w:eastAsia="zh-CN"/>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lang w:val="en-US" w:eastAsia="zh-CN"/>
        </w:rPr>
        <w:t>%。项目过程类指标权重为20</w:t>
      </w:r>
      <w:r>
        <w:rPr>
          <w:rFonts w:hint="default" w:ascii="Times New Roman" w:hAnsi="Times New Roman" w:eastAsia="仿宋_GB2312" w:cs="Times New Roman"/>
          <w:b w:val="0"/>
          <w:bCs w:val="0"/>
          <w:color w:val="auto"/>
          <w:highlight w:val="none"/>
        </w:rPr>
        <w:t>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w:t>
      </w:r>
      <w:r>
        <w:rPr>
          <w:rFonts w:hint="default" w:ascii="Times New Roman" w:hAnsi="Times New Roman" w:eastAsia="仿宋_GB2312" w:cs="Times New Roman"/>
          <w:b w:val="0"/>
          <w:bCs w:val="0"/>
          <w:highlight w:val="none"/>
        </w:rPr>
        <w:t>表</w:t>
      </w:r>
      <w:r>
        <w:rPr>
          <w:rFonts w:hint="default" w:ascii="Times New Roman" w:hAnsi="Times New Roman" w:eastAsia="仿宋_GB2312" w:cs="Times New Roman"/>
          <w:b w:val="0"/>
          <w:bCs w:val="0"/>
          <w:highlight w:val="none"/>
          <w:lang w:eastAsia="zh-CN"/>
        </w:rPr>
        <w:t>。</w:t>
      </w:r>
    </w:p>
    <w:p>
      <w:pPr>
        <w:pStyle w:val="1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p>
    <w:p>
      <w:pPr>
        <w:pStyle w:val="1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2"/>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w:t>
      </w:r>
      <w:r>
        <w:rPr>
          <w:rFonts w:hint="eastAsia" w:eastAsia="仿宋_GB2312" w:cs="Times New Roman"/>
          <w:sz w:val="32"/>
          <w:szCs w:val="32"/>
          <w:highlight w:val="none"/>
          <w:lang w:val="en-US" w:eastAsia="zh-CN"/>
        </w:rPr>
        <w:t>《中央预算内直接投资项目概算管理暂行办法》，符合</w:t>
      </w:r>
      <w:r>
        <w:rPr>
          <w:rFonts w:hint="default" w:ascii="Times New Roman" w:hAnsi="Times New Roman" w:eastAsia="仿宋_GB2312" w:cs="Times New Roman"/>
          <w:sz w:val="32"/>
          <w:szCs w:val="32"/>
          <w:highlight w:val="none"/>
          <w:lang w:val="en-US" w:eastAsia="zh-CN"/>
        </w:rPr>
        <w:t>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巴州农【2023】33号2023年中央土地指标跨省域调剂收入安排的支出预算【支持农村厕所革命整村推进财政奖补】</w:t>
      </w:r>
      <w:r>
        <w:rPr>
          <w:rFonts w:hint="eastAsia" w:eastAsia="仿宋_GB2312" w:cs="Times New Roman"/>
          <w:sz w:val="32"/>
          <w:szCs w:val="32"/>
          <w:highlight w:val="none"/>
          <w:lang w:eastAsia="zh-CN"/>
        </w:rPr>
        <w:t>项目</w:t>
      </w:r>
      <w:r>
        <w:rPr>
          <w:rFonts w:hint="default" w:ascii="Times New Roman" w:hAnsi="Times New Roman" w:eastAsia="仿宋_GB2312" w:cs="Times New Roman"/>
          <w:sz w:val="32"/>
          <w:szCs w:val="32"/>
          <w:highlight w:val="none"/>
          <w:lang w:eastAsia="zh-CN"/>
        </w:rPr>
        <w:t>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w:t>
      </w:r>
      <w:r>
        <w:rPr>
          <w:rFonts w:hint="eastAsia" w:eastAsia="仿宋_GB2312" w:cs="Times New Roman"/>
          <w:sz w:val="32"/>
          <w:szCs w:val="32"/>
          <w:highlight w:val="none"/>
          <w:lang w:eastAsia="zh-CN"/>
        </w:rPr>
        <w:t>对喀尔巴格村</w:t>
      </w:r>
      <w:r>
        <w:rPr>
          <w:rFonts w:hint="default" w:ascii="Times New Roman" w:hAnsi="Times New Roman" w:eastAsia="仿宋_GB2312" w:cs="Times New Roman"/>
          <w:sz w:val="32"/>
          <w:szCs w:val="32"/>
          <w:highlight w:val="none"/>
          <w:lang w:eastAsia="zh-CN"/>
        </w:rPr>
        <w:t>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巴州农【2023】33号2023年中央土地指标跨省域调剂收入安排的支出预算【支持农村厕所革命整村推进财政奖补】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资金分配的过程应当公开透明，确保资金的使用合理性。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巴州农【2023】33号2023年中央土地指标跨省域调剂收入安排的支出预算【支持农村厕所革命整村推进财政奖补】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2"/>
        <w:numPr>
          <w:ilvl w:val="0"/>
          <w:numId w:val="5"/>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w:t>
      </w:r>
      <w:r>
        <w:rPr>
          <w:rFonts w:hint="default" w:ascii="Times New Roman" w:hAnsi="Times New Roman" w:eastAsia="仿宋_GB2312" w:cs="Times New Roman"/>
          <w:color w:val="auto"/>
          <w:sz w:val="32"/>
          <w:szCs w:val="32"/>
          <w:highlight w:val="none"/>
          <w:lang w:val="en-US" w:eastAsia="zh-CN"/>
        </w:rPr>
        <w:t>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w:t>
      </w:r>
      <w:r>
        <w:rPr>
          <w:rFonts w:hint="default" w:ascii="Times New Roman" w:hAnsi="Times New Roman" w:eastAsia="仿宋_GB2312" w:cs="Times New Roman"/>
          <w:sz w:val="32"/>
          <w:szCs w:val="32"/>
          <w:highlight w:val="none"/>
          <w:lang w:val="en-US" w:eastAsia="zh-CN"/>
        </w:rPr>
        <w:t>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131</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131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巴州农【2023】33号2023年中央土地指标跨省域调剂收入安排的支出预算【支持农村厕所革命整村推进财政奖补】项目的资金使用严格遵循了</w:t>
      </w:r>
      <w:r>
        <w:rPr>
          <w:rFonts w:hint="default" w:ascii="Times New Roman" w:hAnsi="Times New Roman" w:eastAsia="仿宋_GB2312" w:cs="Times New Roman"/>
          <w:sz w:val="32"/>
          <w:szCs w:val="32"/>
          <w:highlight w:val="none"/>
          <w:lang w:val="en-US" w:eastAsia="zh-CN"/>
        </w:rPr>
        <w:t>该项目立项符合</w:t>
      </w:r>
      <w:r>
        <w:rPr>
          <w:rFonts w:hint="eastAsia" w:eastAsia="仿宋_GB2312" w:cs="Times New Roman"/>
          <w:sz w:val="32"/>
          <w:szCs w:val="32"/>
          <w:highlight w:val="none"/>
          <w:lang w:val="en-US" w:eastAsia="zh-CN"/>
        </w:rPr>
        <w:t>《中央预算内直接投资项目概算管理暂行办法》和</w:t>
      </w:r>
      <w:r>
        <w:rPr>
          <w:rFonts w:hint="default" w:ascii="Times New Roman" w:hAnsi="Times New Roman" w:eastAsia="仿宋_GB2312" w:cs="Times New Roman"/>
          <w:sz w:val="32"/>
          <w:szCs w:val="32"/>
          <w:highlight w:val="none"/>
          <w:lang w:eastAsia="zh-CN"/>
        </w:rPr>
        <w:t>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sz w:val="32"/>
          <w:szCs w:val="32"/>
          <w:highlight w:val="none"/>
          <w:lang w:eastAsia="zh-CN"/>
        </w:rPr>
        <w:t>具体而言，</w:t>
      </w:r>
      <w:r>
        <w:rPr>
          <w:rFonts w:hint="default" w:ascii="Times New Roman" w:hAnsi="Times New Roman" w:eastAsia="仿宋_GB2312" w:cs="Times New Roman"/>
          <w:color w:val="auto"/>
          <w:sz w:val="32"/>
          <w:szCs w:val="32"/>
          <w:highlight w:val="none"/>
          <w:lang w:eastAsia="zh-CN"/>
        </w:rPr>
        <w:t>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巴州农【2023】33号2023年中央土地指标跨省域调剂收入安排的支出预算【支持农村厕所革命整村推进财政奖补】项目的资金使用是合规的、安全的，既符合国家法律法规的要求，又满足了项目实施的实际需要。资金使用的合规性为项目的成功实施提供了有力的保障</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sz w:val="32"/>
          <w:szCs w:val="32"/>
          <w:highlight w:val="none"/>
          <w:lang w:eastAsia="zh-CN"/>
        </w:rPr>
        <w:t>巴州农【2023】33号2023年中央土地指标跨省域调剂收入安排的支出预算【支持农村厕所革命整村推进财政奖补】项目</w:t>
      </w:r>
      <w:r>
        <w:rPr>
          <w:rFonts w:hint="eastAsia" w:eastAsia="仿宋_GB2312" w:cs="Times New Roman"/>
          <w:color w:val="auto"/>
          <w:sz w:val="32"/>
          <w:szCs w:val="32"/>
          <w:highlight w:val="none"/>
          <w:lang w:val="en-US" w:eastAsia="zh-CN"/>
        </w:rPr>
        <w:t>制定了《英下乡人民政府</w:t>
      </w:r>
      <w:r>
        <w:rPr>
          <w:rFonts w:hint="default" w:ascii="Times New Roman" w:hAnsi="Times New Roman" w:eastAsia="仿宋_GB2312" w:cs="Times New Roman"/>
          <w:color w:val="auto"/>
          <w:sz w:val="32"/>
          <w:szCs w:val="32"/>
          <w:highlight w:val="none"/>
          <w:lang w:eastAsia="zh-CN"/>
        </w:rPr>
        <w:t>财务管理制度</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sz w:val="32"/>
          <w:szCs w:val="32"/>
          <w:highlight w:val="none"/>
          <w:lang w:eastAsia="zh-CN"/>
        </w:rPr>
        <w:t>体系，</w:t>
      </w:r>
      <w:r>
        <w:rPr>
          <w:rFonts w:hint="default" w:ascii="Times New Roman" w:hAnsi="Times New Roman" w:eastAsia="仿宋_GB2312" w:cs="Times New Roman"/>
          <w:color w:val="auto"/>
          <w:sz w:val="32"/>
          <w:szCs w:val="32"/>
          <w:highlight w:val="none"/>
          <w:lang w:eastAsia="zh-CN"/>
        </w:rPr>
        <w:t>为项目的成功实施提供了坚实的制度保障</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突出管理制度对项目的有序推进的支撑作用</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完整性、执行有效性</w:t>
      </w:r>
      <w:r>
        <w:rPr>
          <w:rFonts w:hint="default" w:ascii="Times New Roman" w:hAnsi="Times New Roman" w:eastAsia="仿宋_GB2312" w:cs="Times New Roman"/>
          <w:color w:val="auto"/>
          <w:sz w:val="32"/>
          <w:szCs w:val="32"/>
          <w:highlight w:val="none"/>
          <w:lang w:eastAsia="zh-CN"/>
        </w:rPr>
        <w:t>，确保制度能够切实指导项目的执行与管理。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default" w:ascii="Times New Roman" w:hAnsi="Times New Roman" w:eastAsia="仿宋_GB2312" w:cs="Times New Roman"/>
          <w:sz w:val="32"/>
          <w:szCs w:val="32"/>
          <w:highlight w:val="none"/>
          <w:lang w:eastAsia="zh-CN"/>
        </w:rPr>
        <w:t>巴州农【2023】33号2023年中央土地指标跨省域调剂收入安排的支出预算【支持农村厕所革命整村推进财政奖补】项目</w:t>
      </w:r>
      <w:r>
        <w:rPr>
          <w:rFonts w:hint="default" w:ascii="Times New Roman" w:hAnsi="Times New Roman" w:eastAsia="仿宋_GB2312" w:cs="Times New Roman"/>
          <w:color w:val="auto"/>
          <w:sz w:val="32"/>
          <w:szCs w:val="32"/>
          <w:highlight w:val="none"/>
          <w:lang w:eastAsia="zh-CN"/>
        </w:rPr>
        <w:t>的管理制度是健全</w:t>
      </w:r>
      <w:r>
        <w:rPr>
          <w:rFonts w:hint="eastAsia" w:eastAsia="仿宋_GB2312" w:cs="Times New Roman"/>
          <w:color w:val="auto"/>
          <w:sz w:val="32"/>
          <w:szCs w:val="32"/>
          <w:highlight w:val="none"/>
          <w:lang w:val="en-US" w:eastAsia="zh-CN"/>
        </w:rPr>
        <w:t>性，体现管理制度在保障项目规范运行、防范风险、提升效能方面的重要作用，</w:t>
      </w:r>
      <w:r>
        <w:rPr>
          <w:rFonts w:hint="default" w:ascii="Times New Roman" w:hAnsi="Times New Roman" w:eastAsia="仿宋_GB2312" w:cs="Times New Roman"/>
          <w:color w:val="auto"/>
          <w:sz w:val="32"/>
          <w:szCs w:val="32"/>
          <w:highlight w:val="none"/>
          <w:lang w:eastAsia="zh-CN"/>
        </w:rPr>
        <w:t>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sz w:val="32"/>
          <w:szCs w:val="32"/>
          <w:highlight w:val="none"/>
          <w:lang w:eastAsia="zh-CN"/>
        </w:rPr>
        <w:t>巴州农【2023】33号2023年中央土地指标跨省域调剂收入安排的支出预算【支持农村厕所革命整村推进财政奖补】项目在执行过程中，</w:t>
      </w:r>
      <w:r>
        <w:rPr>
          <w:rFonts w:hint="default" w:ascii="Times New Roman" w:hAnsi="Times New Roman" w:eastAsia="仿宋_GB2312" w:cs="Times New Roman"/>
          <w:color w:val="auto"/>
          <w:sz w:val="32"/>
          <w:szCs w:val="32"/>
          <w:highlight w:val="none"/>
          <w:lang w:eastAsia="zh-CN"/>
        </w:rPr>
        <w:t>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在具体执行过程中，</w:t>
      </w:r>
      <w:r>
        <w:rPr>
          <w:rFonts w:hint="eastAsia" w:eastAsia="仿宋_GB2312" w:cs="Times New Roman"/>
          <w:color w:val="auto"/>
          <w:sz w:val="32"/>
          <w:szCs w:val="32"/>
          <w:highlight w:val="none"/>
          <w:lang w:val="en-US" w:eastAsia="zh-CN"/>
        </w:rPr>
        <w:t>选取能体现制度执行效果的量化指标，用数据直接反映执行率与质量。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Style w:val="14"/>
        <w:numPr>
          <w:ilvl w:val="0"/>
          <w:numId w:val="5"/>
        </w:numPr>
        <w:spacing w:line="560" w:lineRule="exact"/>
        <w:ind w:firstLine="643"/>
        <w:rPr>
          <w:rFonts w:hint="default" w:ascii="Times New Roman" w:hAnsi="Times New Roman" w:eastAsia="楷体_GB2312" w:cs="Times New Roman"/>
          <w:b/>
          <w:bCs/>
          <w:sz w:val="32"/>
          <w:szCs w:val="32"/>
          <w:highlight w:val="none"/>
        </w:rPr>
      </w:pPr>
      <w:commentRangeStart w:id="0"/>
      <w:r>
        <w:rPr>
          <w:rFonts w:hint="default" w:ascii="Times New Roman" w:hAnsi="Times New Roman" w:eastAsia="楷体_GB2312" w:cs="Times New Roman"/>
          <w:b/>
          <w:bCs/>
          <w:sz w:val="32"/>
          <w:szCs w:val="32"/>
          <w:highlight w:val="none"/>
        </w:rPr>
        <w:t>项目产出</w:t>
      </w:r>
      <w:commentRangeEnd w:id="0"/>
      <w:r>
        <w:rPr>
          <w:rFonts w:hint="default" w:ascii="Times New Roman" w:hAnsi="Times New Roman" w:cs="Times New Roman"/>
          <w:highlight w:val="none"/>
        </w:rPr>
        <w:commentReference w:id="0"/>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eastAsia="zh-CN"/>
        </w:rPr>
        <w:t>受益脱贫村</w:t>
      </w:r>
      <w:r>
        <w:rPr>
          <w:rFonts w:hint="default" w:ascii="Times New Roman" w:hAnsi="Times New Roman" w:eastAsia="仿宋_GB2312" w:cs="Times New Roman"/>
          <w:sz w:val="32"/>
          <w:szCs w:val="32"/>
          <w:highlight w:val="none"/>
        </w:rPr>
        <w:t>数量</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指标值：&gt;=</w:t>
      </w: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个</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个</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改造铺设污水管网，</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7100米</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7100米</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新建化粪池</w:t>
      </w:r>
      <w:r>
        <w:rPr>
          <w:rFonts w:hint="default" w:ascii="Times New Roman" w:hAnsi="Times New Roman" w:eastAsia="仿宋_GB2312" w:cs="Times New Roman"/>
          <w:sz w:val="32"/>
          <w:szCs w:val="32"/>
          <w:highlight w:val="none"/>
        </w:rPr>
        <w:t>数量</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12</w:t>
      </w:r>
      <w:r>
        <w:rPr>
          <w:rFonts w:hint="eastAsia" w:ascii="Times New Roman" w:hAnsi="Times New Roman" w:eastAsia="仿宋_GB2312" w:cs="Times New Roman"/>
          <w:sz w:val="32"/>
          <w:szCs w:val="32"/>
          <w:highlight w:val="none"/>
          <w:lang w:eastAsia="zh-CN"/>
        </w:rPr>
        <w:t>座</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12</w:t>
      </w:r>
      <w:r>
        <w:rPr>
          <w:rFonts w:hint="eastAsia" w:ascii="Times New Roman" w:hAnsi="Times New Roman" w:eastAsia="仿宋_GB2312" w:cs="Times New Roman"/>
          <w:sz w:val="32"/>
          <w:szCs w:val="32"/>
          <w:highlight w:val="none"/>
          <w:lang w:eastAsia="zh-CN"/>
        </w:rPr>
        <w:t>座，</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：资金使用合规率</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：资金支付及时率</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工程建设费用，</w:t>
      </w:r>
      <w:r>
        <w:rPr>
          <w:rFonts w:hint="default" w:ascii="Times New Roman" w:hAnsi="Times New Roman" w:eastAsia="仿宋_GB2312" w:cs="Times New Roman"/>
          <w:sz w:val="32"/>
          <w:szCs w:val="32"/>
          <w:highlight w:val="none"/>
        </w:rPr>
        <w:t>指标值：&lt;=</w:t>
      </w:r>
      <w:r>
        <w:rPr>
          <w:rFonts w:hint="eastAsia" w:ascii="Times New Roman" w:hAnsi="Times New Roman"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万元，实际完成值：</w:t>
      </w:r>
      <w:r>
        <w:rPr>
          <w:rFonts w:hint="eastAsia" w:ascii="Times New Roman" w:hAnsi="Times New Roman"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工程建设其他费用</w:t>
      </w:r>
      <w:r>
        <w:rPr>
          <w:rFonts w:hint="default" w:ascii="Times New Roman" w:hAnsi="Times New Roman" w:eastAsia="仿宋_GB2312" w:cs="Times New Roman"/>
          <w:sz w:val="32"/>
          <w:szCs w:val="32"/>
          <w:highlight w:val="none"/>
        </w:rPr>
        <w:t>，指标值：&lt;=</w:t>
      </w:r>
      <w:r>
        <w:rPr>
          <w:rFonts w:hint="eastAsia" w:eastAsia="仿宋_GB2312" w:cs="Times New Roman"/>
          <w:sz w:val="32"/>
          <w:szCs w:val="32"/>
          <w:highlight w:val="none"/>
          <w:lang w:val="en-US" w:eastAsia="zh-CN"/>
        </w:rPr>
        <w:t>21</w:t>
      </w:r>
      <w:r>
        <w:rPr>
          <w:rFonts w:hint="default" w:ascii="Times New Roman" w:hAnsi="Times New Roman" w:eastAsia="仿宋_GB2312" w:cs="Times New Roman"/>
          <w:sz w:val="32"/>
          <w:szCs w:val="32"/>
          <w:highlight w:val="none"/>
        </w:rPr>
        <w:t>万元，实际完成值：</w:t>
      </w:r>
      <w:r>
        <w:rPr>
          <w:rFonts w:hint="eastAsia" w:eastAsia="仿宋_GB2312" w:cs="Times New Roman"/>
          <w:sz w:val="32"/>
          <w:szCs w:val="32"/>
          <w:highlight w:val="none"/>
          <w:lang w:val="en-US" w:eastAsia="zh-CN"/>
        </w:rPr>
        <w:t>21</w:t>
      </w:r>
      <w:r>
        <w:rPr>
          <w:rFonts w:hint="default"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工程建设预备费用</w:t>
      </w:r>
      <w:r>
        <w:rPr>
          <w:rFonts w:hint="default" w:ascii="Times New Roman" w:hAnsi="Times New Roman" w:eastAsia="仿宋_GB2312" w:cs="Times New Roman"/>
          <w:sz w:val="32"/>
          <w:szCs w:val="32"/>
          <w:highlight w:val="none"/>
        </w:rPr>
        <w:t>，指标值：&lt;=</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万元，实际完成值：</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此项权重分值为40分，得分为40分。</w:t>
      </w:r>
    </w:p>
    <w:p>
      <w:pPr>
        <w:pStyle w:val="14"/>
        <w:numPr>
          <w:ilvl w:val="0"/>
          <w:numId w:val="5"/>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6"/>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指标1：受益</w:t>
      </w:r>
      <w:r>
        <w:rPr>
          <w:rFonts w:hint="eastAsia" w:ascii="Times New Roman" w:hAnsi="Times New Roman" w:eastAsia="仿宋_GB2312" w:cs="Times New Roman"/>
          <w:sz w:val="32"/>
          <w:szCs w:val="32"/>
          <w:highlight w:val="none"/>
          <w:lang w:eastAsia="zh-CN"/>
        </w:rPr>
        <w:t>建档立卡贫困户，</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&gt;=23户</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23户</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numPr>
          <w:ilvl w:val="0"/>
          <w:numId w:val="6"/>
        </w:numPr>
        <w:shd w:val="clear"/>
        <w:spacing w:line="600" w:lineRule="exact"/>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w:t>
      </w:r>
    </w:p>
    <w:p>
      <w:pPr>
        <w:shd w:val="clear"/>
        <w:spacing w:line="600" w:lineRule="exact"/>
        <w:ind w:firstLine="640" w:firstLineChars="200"/>
        <w:outlineLvl w:val="0"/>
        <w:rPr>
          <w:rFonts w:hint="default"/>
          <w:highlight w:val="none"/>
          <w:lang w:val="en-US" w:eastAsia="zh-CN"/>
        </w:rPr>
      </w:pP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eastAsia="zh-CN"/>
        </w:rPr>
        <w:t>受益脱贫人口</w:t>
      </w:r>
      <w:r>
        <w:rPr>
          <w:rFonts w:hint="default" w:ascii="Times New Roman" w:hAnsi="Times New Roman" w:eastAsia="仿宋_GB2312" w:cs="Times New Roman"/>
          <w:sz w:val="32"/>
          <w:szCs w:val="32"/>
          <w:highlight w:val="none"/>
        </w:rPr>
        <w:t>满意度，指标值：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21"/>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巴州农【2023】33号2023年中央土地指标跨省域调剂收入安排的支出预算【支持农村厕所革命整村推进财政奖补】项目年初预算</w:t>
      </w:r>
      <w:r>
        <w:rPr>
          <w:rFonts w:hint="eastAsia" w:eastAsia="方正仿宋_GBK" w:cs="Times New Roman"/>
          <w:sz w:val="32"/>
          <w:szCs w:val="32"/>
          <w:highlight w:val="none"/>
          <w:lang w:val="en-US" w:eastAsia="zh-CN"/>
        </w:rPr>
        <w:t>131</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131</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131</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commentRangeStart w:id="1"/>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commentRangeEnd w:id="1"/>
      <w:r>
        <w:rPr>
          <w:rFonts w:hint="default" w:ascii="Times New Roman" w:hAnsi="Times New Roman" w:cs="Times New Roman"/>
          <w:highlight w:val="none"/>
        </w:rPr>
        <w:commentReference w:id="1"/>
      </w:r>
      <w:r>
        <w:rPr>
          <w:rFonts w:hint="default" w:ascii="Times New Roman" w:hAnsi="Times New Roman" w:eastAsia="方正仿宋_GBK" w:cs="Times New Roman"/>
          <w:sz w:val="32"/>
          <w:szCs w:val="32"/>
          <w:highlight w:val="none"/>
        </w:rPr>
        <w:t>。</w:t>
      </w:r>
    </w:p>
    <w:p>
      <w:pPr>
        <w:spacing w:line="560" w:lineRule="exact"/>
        <w:ind w:firstLine="640" w:firstLineChars="200"/>
        <w:rPr>
          <w:rStyle w:val="20"/>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在项目资金使用过程中，严格落实把关，再三审核。</w:t>
      </w:r>
      <w:r>
        <w:rPr>
          <w:rFonts w:hint="eastAsia" w:eastAsia="仿宋_GB2312" w:cs="Times New Roman"/>
          <w:sz w:val="32"/>
          <w:szCs w:val="32"/>
          <w:highlight w:val="none"/>
          <w:lang w:val="en-US" w:eastAsia="zh-CN"/>
        </w:rPr>
        <w:t>同时</w:t>
      </w:r>
      <w:r>
        <w:rPr>
          <w:rFonts w:hint="default" w:ascii="Times New Roman" w:hAnsi="Times New Roman" w:eastAsia="仿宋_GB2312" w:cs="Times New Roman"/>
          <w:sz w:val="32"/>
          <w:szCs w:val="32"/>
          <w:highlight w:val="none"/>
        </w:rPr>
        <w:t>做好监督检查</w:t>
      </w:r>
      <w:r>
        <w:rPr>
          <w:rFonts w:hint="eastAsia" w:eastAsia="仿宋_GB2312" w:cs="Times New Roman"/>
          <w:sz w:val="32"/>
          <w:szCs w:val="32"/>
          <w:highlight w:val="none"/>
          <w:lang w:val="en-US" w:eastAsia="zh-CN"/>
        </w:rPr>
        <w:t>工作</w:t>
      </w:r>
      <w:r>
        <w:rPr>
          <w:rFonts w:hint="default" w:ascii="Times New Roman" w:hAnsi="Times New Roman" w:eastAsia="仿宋_GB2312" w:cs="Times New Roman"/>
          <w:sz w:val="32"/>
          <w:szCs w:val="32"/>
          <w:highlight w:val="none"/>
        </w:rPr>
        <w:t>，严格按照项目管理规范进行，按照项目资金使用范围做好审核工作，让项目资金落于实处。</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在项目完成后，</w:t>
      </w:r>
      <w:r>
        <w:rPr>
          <w:rFonts w:hint="eastAsia" w:eastAsia="仿宋_GB2312" w:cs="Times New Roman"/>
          <w:sz w:val="32"/>
          <w:szCs w:val="32"/>
          <w:highlight w:val="none"/>
          <w:lang w:val="en-US" w:eastAsia="zh-CN"/>
        </w:rPr>
        <w:t>通过利益相关深度，公众参与评价，通过问卷满意度调查，盛情邀请退休人员进行评价填写，将群众的意见纳入评价结果，</w:t>
      </w:r>
      <w:r>
        <w:rPr>
          <w:rFonts w:hint="default" w:ascii="Times New Roman" w:hAnsi="Times New Roman" w:eastAsia="仿宋_GB2312" w:cs="Times New Roman"/>
          <w:sz w:val="32"/>
          <w:szCs w:val="32"/>
          <w:highlight w:val="none"/>
        </w:rPr>
        <w:t>做好调查工作。</w:t>
      </w:r>
    </w:p>
    <w:p>
      <w:pPr>
        <w:keepNext/>
        <w:keepLines/>
        <w:numPr>
          <w:ilvl w:val="0"/>
          <w:numId w:val="7"/>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5"/>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pPr>
        <w:pStyle w:val="15"/>
        <w:spacing w:after="0" w:line="560" w:lineRule="exact"/>
        <w:ind w:left="0" w:leftChars="0" w:firstLine="640"/>
        <w:rPr>
          <w:rFonts w:hint="default" w:ascii="Times New Roman" w:hAnsi="Times New Roman" w:eastAsia="仿宋_GB2312" w:cs="Times New Roman"/>
          <w:sz w:val="32"/>
          <w:szCs w:val="32"/>
          <w:highlight w:val="none"/>
          <w:lang w:eastAsia="zh-Hans"/>
        </w:rPr>
      </w:pPr>
    </w:p>
    <w:p>
      <w:pPr>
        <w:pStyle w:val="15"/>
        <w:spacing w:after="0" w:line="560" w:lineRule="exact"/>
        <w:ind w:left="0" w:leftChars="0" w:firstLine="640"/>
        <w:rPr>
          <w:rFonts w:hint="default" w:ascii="Times New Roman" w:hAnsi="Times New Roman" w:eastAsia="仿宋_GB2312" w:cs="Times New Roman"/>
          <w:sz w:val="32"/>
          <w:szCs w:val="32"/>
          <w:highlight w:val="none"/>
          <w:lang w:eastAsia="zh-Hans"/>
        </w:rPr>
      </w:pPr>
    </w:p>
    <w:p>
      <w:pPr>
        <w:pStyle w:val="15"/>
        <w:spacing w:after="0" w:line="560" w:lineRule="exact"/>
        <w:ind w:left="0" w:leftChars="0" w:firstLine="640"/>
        <w:rPr>
          <w:rFonts w:hint="default" w:ascii="Times New Roman" w:hAnsi="Times New Roman" w:eastAsia="仿宋_GB2312" w:cs="Times New Roman"/>
          <w:sz w:val="32"/>
          <w:szCs w:val="32"/>
          <w:highlight w:val="none"/>
        </w:rPr>
      </w:pPr>
    </w:p>
    <w:p>
      <w:pPr>
        <w:pStyle w:val="15"/>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sectPr>
          <w:footerReference r:id="rId5"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pStyle w:val="21"/>
        <w:ind w:firstLine="562"/>
        <w:jc w:val="center"/>
        <w:rPr>
          <w:rFonts w:hint="eastAsia" w:ascii="仿宋_GB2312" w:hAnsi="仿宋_GB2312" w:eastAsia="仿宋_GB2312" w:cs="仿宋_GB2312"/>
          <w:sz w:val="28"/>
          <w:szCs w:val="40"/>
          <w:highlight w:val="none"/>
        </w:rPr>
      </w:pPr>
      <w:bookmarkStart w:id="1" w:name="_Toc30064_WPSOffice_Level1"/>
      <w:bookmarkStart w:id="2" w:name="_Toc26499_WPSOffice_Level2"/>
      <w:r>
        <w:rPr>
          <w:rFonts w:hint="eastAsia" w:ascii="仿宋_GB2312" w:hAnsi="仿宋_GB2312" w:eastAsia="仿宋_GB2312" w:cs="仿宋_GB2312"/>
          <w:b/>
          <w:bCs/>
          <w:sz w:val="28"/>
          <w:szCs w:val="40"/>
          <w:highlight w:val="none"/>
        </w:rPr>
        <w:t>巴州农【2023】33号2023年中央土地指标跨省域调剂收入安排的支出预算【支持农村厕所革命整村推进财政奖补】项目绩效评价指标体系及综合评分表</w:t>
      </w:r>
      <w:bookmarkEnd w:id="1"/>
      <w:bookmarkEnd w:id="2"/>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2"/>
        <w:gridCol w:w="997"/>
        <w:gridCol w:w="1071"/>
        <w:gridCol w:w="1726"/>
        <w:gridCol w:w="5222"/>
        <w:gridCol w:w="1299"/>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393"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205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5"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8"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8"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8"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5"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8"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8"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8"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5"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8"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5"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default" w:ascii="Times New Roman" w:hAnsi="Times New Roman" w:cs="Times New Roman"/>
          <w:highlight w:val="none"/>
        </w:rPr>
      </w:pPr>
      <w:r>
        <w:rPr>
          <w:highlight w:val="none"/>
        </w:rPr>
        <w:drawing>
          <wp:anchor distT="0" distB="0" distL="114300" distR="114300" simplePos="0" relativeHeight="251659264" behindDoc="0" locked="0" layoutInCell="1" allowOverlap="1">
            <wp:simplePos x="0" y="0"/>
            <wp:positionH relativeFrom="column">
              <wp:posOffset>83185</wp:posOffset>
            </wp:positionH>
            <wp:positionV relativeFrom="paragraph">
              <wp:posOffset>381635</wp:posOffset>
            </wp:positionV>
            <wp:extent cx="8981440" cy="506476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rcRect l="-968" t="-1244" r="-760" b="-1765"/>
                    <a:stretch>
                      <a:fillRect/>
                    </a:stretch>
                  </pic:blipFill>
                  <pic:spPr>
                    <a:xfrm>
                      <a:off x="0" y="0"/>
                      <a:ext cx="8981440" cy="5064760"/>
                    </a:xfrm>
                    <a:prstGeom prst="rect">
                      <a:avLst/>
                    </a:prstGeom>
                    <a:noFill/>
                    <a:ln>
                      <a:noFill/>
                    </a:ln>
                  </pic:spPr>
                </pic:pic>
              </a:graphicData>
            </a:graphic>
          </wp:anchor>
        </w:drawing>
      </w: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sectPr>
      <w:pgSz w:w="16838" w:h="11906" w:orient="landscape"/>
      <w:pgMar w:top="1800" w:right="1440" w:bottom="1558"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审核人" w:date="2023-03-08T11:48:00Z" w:initials="">
    <w:p w14:paraId="6C183C07">
      <w:pPr>
        <w:pStyle w:val="5"/>
        <w:rPr>
          <w:b/>
          <w:bCs/>
          <w:color w:val="FF0000"/>
          <w:lang w:eastAsia="zh-Hans"/>
        </w:rPr>
      </w:pPr>
      <w:r>
        <w:rPr>
          <w:rFonts w:hint="eastAsia"/>
          <w:b/>
          <w:bCs/>
          <w:color w:val="FF0000"/>
          <w:lang w:eastAsia="zh-Hans"/>
        </w:rPr>
        <w:t>注意要点：</w:t>
      </w:r>
    </w:p>
    <w:p w14:paraId="65333989">
      <w:pPr>
        <w:pStyle w:val="5"/>
        <w:numPr>
          <w:ilvl w:val="0"/>
          <w:numId w:val="1"/>
        </w:numPr>
        <w:rPr>
          <w:b/>
          <w:bCs/>
          <w:color w:val="FF0000"/>
          <w:lang w:eastAsia="zh-Hans"/>
        </w:rPr>
      </w:pPr>
      <w:r>
        <w:rPr>
          <w:rFonts w:hint="eastAsia"/>
          <w:b/>
          <w:bCs/>
          <w:color w:val="FF0000"/>
          <w:lang w:eastAsia="zh-Hans"/>
        </w:rPr>
        <w:t>此部分结合此项目自评表中的各项指标进行文字化描述。</w:t>
      </w:r>
    </w:p>
    <w:p w14:paraId="0D7B5F70">
      <w:pPr>
        <w:pStyle w:val="5"/>
        <w:numPr>
          <w:ilvl w:val="0"/>
          <w:numId w:val="1"/>
        </w:numPr>
        <w:rPr>
          <w:b/>
          <w:bCs/>
          <w:color w:val="FF0000"/>
          <w:lang w:eastAsia="zh-Hans"/>
        </w:rPr>
      </w:pPr>
      <w:r>
        <w:rPr>
          <w:rFonts w:hint="eastAsia"/>
          <w:b/>
          <w:bCs/>
          <w:color w:val="FF0000"/>
          <w:lang w:eastAsia="zh-Hans"/>
        </w:rPr>
        <w:t>指标未完成或者超额完成20%,（含</w:t>
      </w:r>
      <w:r>
        <w:rPr>
          <w:b/>
          <w:bCs/>
          <w:color w:val="FF0000"/>
          <w:lang w:eastAsia="zh-Hans"/>
        </w:rPr>
        <w:t>20%</w:t>
      </w:r>
      <w:r>
        <w:rPr>
          <w:rFonts w:hint="eastAsia"/>
          <w:b/>
          <w:bCs/>
          <w:color w:val="FF0000"/>
          <w:lang w:eastAsia="zh-Hans"/>
        </w:rPr>
        <w:t>）需要在相应指标后写偏差原因。</w:t>
      </w:r>
    </w:p>
  </w:comment>
  <w:comment w:id="1" w:author="审核人" w:date="2023-03-08T12:09:00Z" w:initials="">
    <w:p w14:paraId="7B8D2FC6">
      <w:pPr>
        <w:pStyle w:val="5"/>
      </w:pP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（自评表中：指标的完成率之和</w:t>
      </w:r>
      <w:r>
        <w:rPr>
          <w:rFonts w:hint="eastAsia"/>
          <w:b/>
          <w:bCs/>
          <w:color w:val="FF0000"/>
          <w:lang w:val="en-US" w:eastAsia="zh-CN"/>
        </w:rPr>
        <w:t xml:space="preserve"> </w:t>
      </w:r>
      <w:r>
        <w:rPr>
          <w:b/>
          <w:bCs/>
          <w:color w:val="FF0000"/>
          <w:lang w:eastAsia="zh-Hans"/>
        </w:rPr>
        <w:t>/</w:t>
      </w:r>
      <w:r>
        <w:rPr>
          <w:rFonts w:hint="eastAsia"/>
          <w:b/>
          <w:bCs/>
          <w:color w:val="FF0000"/>
          <w:lang w:val="en-US" w:eastAsia="zh-CN"/>
        </w:rPr>
        <w:t xml:space="preserve"> </w:t>
      </w:r>
      <w:r>
        <w:rPr>
          <w:rFonts w:hint="eastAsia"/>
          <w:b/>
          <w:bCs/>
          <w:color w:val="FF0000"/>
          <w:lang w:eastAsia="zh-Hans"/>
        </w:rPr>
        <w:t>指标数量）</w:t>
      </w:r>
      <w:r>
        <w:rPr>
          <w:b/>
          <w:bCs/>
          <w:color w:val="FF0000"/>
          <w:lang w:eastAsia="zh-Hans"/>
        </w:rPr>
        <w:t>*100%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D7B5F70" w15:done="0"/>
  <w15:commentEx w15:paraId="7B8D2FC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A60CD5"/>
    <w:multiLevelType w:val="singleLevel"/>
    <w:tmpl w:val="93A60CD5"/>
    <w:lvl w:ilvl="0" w:tentative="0">
      <w:start w:val="1"/>
      <w:numFmt w:val="decimal"/>
      <w:suff w:val="nothing"/>
      <w:lvlText w:val="（%1）"/>
      <w:lvlJc w:val="left"/>
    </w:lvl>
  </w:abstractNum>
  <w:abstractNum w:abstractNumId="1">
    <w:nsid w:val="97D7F9AE"/>
    <w:multiLevelType w:val="singleLevel"/>
    <w:tmpl w:val="97D7F9AE"/>
    <w:lvl w:ilvl="0" w:tentative="0">
      <w:start w:val="1"/>
      <w:numFmt w:val="decimal"/>
      <w:lvlText w:val="%1."/>
      <w:lvlJc w:val="left"/>
      <w:pPr>
        <w:tabs>
          <w:tab w:val="left" w:pos="312"/>
        </w:tabs>
      </w:pPr>
    </w:lvl>
  </w:abstractNum>
  <w:abstractNum w:abstractNumId="2">
    <w:nsid w:val="FDFF5F47"/>
    <w:multiLevelType w:val="singleLevel"/>
    <w:tmpl w:val="FDFF5F47"/>
    <w:lvl w:ilvl="0" w:tentative="0">
      <w:start w:val="1"/>
      <w:numFmt w:val="decimal"/>
      <w:lvlText w:val="%1."/>
      <w:lvlJc w:val="left"/>
      <w:pPr>
        <w:tabs>
          <w:tab w:val="left" w:pos="312"/>
        </w:tabs>
      </w:pPr>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0"/>
  </w:num>
  <w:num w:numId="3">
    <w:abstractNumId w:val="5"/>
  </w:num>
  <w:num w:numId="4">
    <w:abstractNumId w:val="4"/>
  </w:num>
  <w:num w:numId="5">
    <w:abstractNumId w:val="6"/>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审核人">
    <w15:presenceInfo w15:providerId="None" w15:userId="审核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2F1CD0"/>
    <w:rsid w:val="006F7242"/>
    <w:rsid w:val="007B168A"/>
    <w:rsid w:val="008B2CFE"/>
    <w:rsid w:val="00E81FED"/>
    <w:rsid w:val="00F26FF6"/>
    <w:rsid w:val="01610122"/>
    <w:rsid w:val="020E20C0"/>
    <w:rsid w:val="02510197"/>
    <w:rsid w:val="03212322"/>
    <w:rsid w:val="03B36CD3"/>
    <w:rsid w:val="03EC461B"/>
    <w:rsid w:val="0461077D"/>
    <w:rsid w:val="07397B77"/>
    <w:rsid w:val="0A221B2B"/>
    <w:rsid w:val="0AA912ED"/>
    <w:rsid w:val="0AD007F3"/>
    <w:rsid w:val="0B38026F"/>
    <w:rsid w:val="0CAD04B3"/>
    <w:rsid w:val="0D01364A"/>
    <w:rsid w:val="0D7D4536"/>
    <w:rsid w:val="0E3C619F"/>
    <w:rsid w:val="100F38EC"/>
    <w:rsid w:val="10D46191"/>
    <w:rsid w:val="10E9178F"/>
    <w:rsid w:val="11170296"/>
    <w:rsid w:val="12B91C11"/>
    <w:rsid w:val="12C66037"/>
    <w:rsid w:val="12CD1ABC"/>
    <w:rsid w:val="13471461"/>
    <w:rsid w:val="13B7718A"/>
    <w:rsid w:val="13B90F01"/>
    <w:rsid w:val="14293060"/>
    <w:rsid w:val="155E4C4D"/>
    <w:rsid w:val="16E12907"/>
    <w:rsid w:val="17DD76D7"/>
    <w:rsid w:val="181066D2"/>
    <w:rsid w:val="1A1B135F"/>
    <w:rsid w:val="1C671E73"/>
    <w:rsid w:val="1CF847B4"/>
    <w:rsid w:val="1D322C47"/>
    <w:rsid w:val="20C85213"/>
    <w:rsid w:val="21E10214"/>
    <w:rsid w:val="21E3412E"/>
    <w:rsid w:val="23616034"/>
    <w:rsid w:val="23696C97"/>
    <w:rsid w:val="23B85F43"/>
    <w:rsid w:val="24480FA2"/>
    <w:rsid w:val="25227A45"/>
    <w:rsid w:val="259C1492"/>
    <w:rsid w:val="259C5102"/>
    <w:rsid w:val="26AC3A6A"/>
    <w:rsid w:val="2B9D7E25"/>
    <w:rsid w:val="2C1B161F"/>
    <w:rsid w:val="2C7C7A3B"/>
    <w:rsid w:val="2CC60FAE"/>
    <w:rsid w:val="2E5F5866"/>
    <w:rsid w:val="2F364819"/>
    <w:rsid w:val="2FD63906"/>
    <w:rsid w:val="30826031"/>
    <w:rsid w:val="3152479C"/>
    <w:rsid w:val="316D6667"/>
    <w:rsid w:val="357B3131"/>
    <w:rsid w:val="37215DAE"/>
    <w:rsid w:val="37492C52"/>
    <w:rsid w:val="38CA40DD"/>
    <w:rsid w:val="38D05B83"/>
    <w:rsid w:val="395F2B56"/>
    <w:rsid w:val="3A076D18"/>
    <w:rsid w:val="3AB728E2"/>
    <w:rsid w:val="3BBA0580"/>
    <w:rsid w:val="3BECE841"/>
    <w:rsid w:val="3C5C0D04"/>
    <w:rsid w:val="3CDE204C"/>
    <w:rsid w:val="3D363C36"/>
    <w:rsid w:val="3D5A36F2"/>
    <w:rsid w:val="3E9C3F6D"/>
    <w:rsid w:val="3FF7797D"/>
    <w:rsid w:val="4091488B"/>
    <w:rsid w:val="459660E4"/>
    <w:rsid w:val="45B9377E"/>
    <w:rsid w:val="463C4513"/>
    <w:rsid w:val="46690BD8"/>
    <w:rsid w:val="46C354FB"/>
    <w:rsid w:val="487D213B"/>
    <w:rsid w:val="48E1539E"/>
    <w:rsid w:val="494D4814"/>
    <w:rsid w:val="49AA700D"/>
    <w:rsid w:val="49F70BF1"/>
    <w:rsid w:val="4A11409F"/>
    <w:rsid w:val="4B4340EE"/>
    <w:rsid w:val="4B7833A2"/>
    <w:rsid w:val="503D507A"/>
    <w:rsid w:val="51FA74D0"/>
    <w:rsid w:val="52AA4A52"/>
    <w:rsid w:val="532340E0"/>
    <w:rsid w:val="536C79B8"/>
    <w:rsid w:val="57993F65"/>
    <w:rsid w:val="58217EE0"/>
    <w:rsid w:val="59943D66"/>
    <w:rsid w:val="59A4132B"/>
    <w:rsid w:val="59E051FD"/>
    <w:rsid w:val="59E6355E"/>
    <w:rsid w:val="5B821531"/>
    <w:rsid w:val="5BFF6039"/>
    <w:rsid w:val="5BFF72CB"/>
    <w:rsid w:val="5D76A616"/>
    <w:rsid w:val="5D7F20B9"/>
    <w:rsid w:val="5DAC7D0E"/>
    <w:rsid w:val="5F98B5AF"/>
    <w:rsid w:val="5FFE8511"/>
    <w:rsid w:val="5FFEACE2"/>
    <w:rsid w:val="609464EC"/>
    <w:rsid w:val="609D5BF6"/>
    <w:rsid w:val="61073070"/>
    <w:rsid w:val="61B9080E"/>
    <w:rsid w:val="61DF21E9"/>
    <w:rsid w:val="61DF3FED"/>
    <w:rsid w:val="61E657BE"/>
    <w:rsid w:val="642B176B"/>
    <w:rsid w:val="643C569D"/>
    <w:rsid w:val="643EE26D"/>
    <w:rsid w:val="656019A0"/>
    <w:rsid w:val="65B0017A"/>
    <w:rsid w:val="65F242EE"/>
    <w:rsid w:val="666D7E19"/>
    <w:rsid w:val="674E7C4A"/>
    <w:rsid w:val="675F4AE0"/>
    <w:rsid w:val="67D22629"/>
    <w:rsid w:val="68376930"/>
    <w:rsid w:val="68F91E38"/>
    <w:rsid w:val="69EE0278"/>
    <w:rsid w:val="6B3158B9"/>
    <w:rsid w:val="6B470548"/>
    <w:rsid w:val="6BA02A3F"/>
    <w:rsid w:val="6C1E5A53"/>
    <w:rsid w:val="6DB13341"/>
    <w:rsid w:val="6F101C89"/>
    <w:rsid w:val="6F5C41AC"/>
    <w:rsid w:val="6FAF6C78"/>
    <w:rsid w:val="701A6F7B"/>
    <w:rsid w:val="70C43BF5"/>
    <w:rsid w:val="70F20CE9"/>
    <w:rsid w:val="715A208B"/>
    <w:rsid w:val="716167CC"/>
    <w:rsid w:val="718A7AD1"/>
    <w:rsid w:val="72A44BC2"/>
    <w:rsid w:val="7317C656"/>
    <w:rsid w:val="734ED73F"/>
    <w:rsid w:val="73C82B32"/>
    <w:rsid w:val="73F94DAE"/>
    <w:rsid w:val="74220495"/>
    <w:rsid w:val="747D1B6F"/>
    <w:rsid w:val="749E5641"/>
    <w:rsid w:val="75A03EB8"/>
    <w:rsid w:val="76271066"/>
    <w:rsid w:val="77FD8BE9"/>
    <w:rsid w:val="78000AED"/>
    <w:rsid w:val="787844CB"/>
    <w:rsid w:val="78A22AC3"/>
    <w:rsid w:val="79950BFF"/>
    <w:rsid w:val="79A9BD3F"/>
    <w:rsid w:val="79E461EC"/>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样式1"/>
    <w:basedOn w:val="3"/>
    <w:qFormat/>
    <w:uiPriority w:val="0"/>
  </w:style>
  <w:style w:type="paragraph" w:styleId="3">
    <w:name w:val="Plain Text"/>
    <w:basedOn w:val="1"/>
    <w:next w:val="1"/>
    <w:qFormat/>
    <w:uiPriority w:val="0"/>
    <w:rPr>
      <w:rFonts w:hAnsi="Courier New" w:cs="Courier New"/>
      <w:szCs w:val="21"/>
    </w:rPr>
  </w:style>
  <w:style w:type="paragraph" w:styleId="5">
    <w:name w:val="annotation text"/>
    <w:basedOn w:val="1"/>
    <w:link w:val="24"/>
    <w:qFormat/>
    <w:uiPriority w:val="0"/>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Balloon Text"/>
    <w:basedOn w:val="1"/>
    <w:link w:val="22"/>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3">
    <w:name w:val="annotation subject"/>
    <w:basedOn w:val="5"/>
    <w:next w:val="5"/>
    <w:link w:val="25"/>
    <w:qFormat/>
    <w:uiPriority w:val="0"/>
    <w:rPr>
      <w:b/>
      <w:bCs/>
    </w:rPr>
  </w:style>
  <w:style w:type="paragraph" w:styleId="14">
    <w:name w:val="Body Text First Indent"/>
    <w:basedOn w:val="6"/>
    <w:qFormat/>
    <w:uiPriority w:val="0"/>
    <w:pPr>
      <w:spacing w:after="0"/>
      <w:ind w:firstLine="200" w:firstLineChars="200"/>
    </w:pPr>
  </w:style>
  <w:style w:type="paragraph" w:styleId="15">
    <w:name w:val="Body Text First Indent 2"/>
    <w:basedOn w:val="7"/>
    <w:qFormat/>
    <w:uiPriority w:val="0"/>
    <w:pPr>
      <w:ind w:firstLine="420" w:firstLineChars="200"/>
    </w:pPr>
  </w:style>
  <w:style w:type="character" w:styleId="18">
    <w:name w:val="Strong"/>
    <w:basedOn w:val="17"/>
    <w:qFormat/>
    <w:uiPriority w:val="0"/>
    <w:rPr>
      <w:b/>
      <w:bCs/>
    </w:rPr>
  </w:style>
  <w:style w:type="character" w:styleId="19">
    <w:name w:val="annotation reference"/>
    <w:basedOn w:val="17"/>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7"/>
    <w:link w:val="8"/>
    <w:qFormat/>
    <w:uiPriority w:val="0"/>
    <w:rPr>
      <w:rFonts w:ascii="Times New Roman" w:hAnsi="Times New Roman" w:eastAsia="宋体" w:cs="Times New Roman"/>
      <w:kern w:val="2"/>
      <w:sz w:val="18"/>
      <w:szCs w:val="18"/>
    </w:rPr>
  </w:style>
  <w:style w:type="character" w:customStyle="1" w:styleId="23">
    <w:name w:val="页眉 字符"/>
    <w:basedOn w:val="17"/>
    <w:link w:val="10"/>
    <w:qFormat/>
    <w:uiPriority w:val="0"/>
    <w:rPr>
      <w:rFonts w:ascii="Times New Roman" w:hAnsi="Times New Roman" w:eastAsia="宋体" w:cs="Times New Roman"/>
      <w:kern w:val="2"/>
      <w:sz w:val="18"/>
      <w:szCs w:val="18"/>
    </w:rPr>
  </w:style>
  <w:style w:type="character" w:customStyle="1" w:styleId="24">
    <w:name w:val="批注文字 字符"/>
    <w:basedOn w:val="17"/>
    <w:link w:val="5"/>
    <w:qFormat/>
    <w:uiPriority w:val="0"/>
    <w:rPr>
      <w:rFonts w:ascii="Times New Roman" w:hAnsi="Times New Roman" w:eastAsia="宋体" w:cs="Times New Roman"/>
      <w:kern w:val="2"/>
      <w:sz w:val="21"/>
      <w:szCs w:val="24"/>
    </w:rPr>
  </w:style>
  <w:style w:type="character" w:customStyle="1" w:styleId="25">
    <w:name w:val="批注主题 字符"/>
    <w:basedOn w:val="24"/>
    <w:link w:val="13"/>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77</Words>
  <Characters>89</Characters>
  <Lines>58</Lines>
  <Paragraphs>16</Paragraphs>
  <TotalTime>3</TotalTime>
  <ScaleCrop>false</ScaleCrop>
  <LinksUpToDate>false</LinksUpToDate>
  <CharactersWithSpaces>89</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cp:lastPrinted>2025-05-21T11:38:00Z</cp:lastPrinted>
  <dcterms:modified xsi:type="dcterms:W3CDTF">2025-09-02T08:08:26Z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1108FADAECE1489FB370ECD560F34D07_13</vt:lpwstr>
  </property>
  <property fmtid="{D5CDD505-2E9C-101B-9397-08002B2CF9AE}" pid="4" name="KSOTemplateDocerSaveRecord">
    <vt:lpwstr>eyJoZGlkIjoiMDFhODE3ZDMyN2RhMmRkNDIzYjRlMGZmNmE4YmExY2EiLCJ1c2VySWQiOiIzODc4MTU3ODQifQ==</vt:lpwstr>
  </property>
</Properties>
</file>