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库尔勒市英下乡人民政府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rPr>
          <w:rFonts w:hAnsi="宋体" w:eastAsia="仿宋_GB2312" w:cs="宋体"/>
          <w:kern w:val="0"/>
          <w:sz w:val="36"/>
          <w:szCs w:val="36"/>
        </w:rPr>
      </w:pPr>
      <w:r>
        <w:rPr>
          <w:rFonts w:hAnsi="宋体" w:eastAsia="仿宋_GB2312" w:cs="宋体"/>
          <w:kern w:val="0"/>
          <w:sz w:val="36"/>
          <w:szCs w:val="36"/>
        </w:rPr>
        <w:br w:type="page"/>
      </w:r>
    </w:p>
    <w:p>
      <w:pPr>
        <w:keepNext w:val="0"/>
        <w:keepLines w:val="0"/>
        <w:pageBreakBefore w:val="0"/>
        <w:widowControl w:val="0"/>
        <w:numPr>
          <w:numId w:val="0"/>
        </w:numPr>
        <w:tabs>
          <w:tab w:val="left" w:pos="0"/>
          <w:tab w:val="left" w:pos="1554"/>
        </w:tabs>
        <w:kinsoku/>
        <w:wordWrap/>
        <w:overflowPunct/>
        <w:topLinePunct w:val="0"/>
        <w:autoSpaceDE/>
        <w:autoSpaceDN/>
        <w:bidi w:val="0"/>
        <w:adjustRightInd/>
        <w:snapToGrid w:val="0"/>
        <w:spacing w:line="540" w:lineRule="exact"/>
        <w:ind w:leftChars="0"/>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一、</w:t>
      </w:r>
      <w:r>
        <w:rPr>
          <w:rFonts w:hint="eastAsia" w:ascii="黑体" w:hAnsi="黑体" w:eastAsia="黑体" w:cs="宋体"/>
          <w:b/>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宋体" w:eastAsia="仿宋_GB2312"/>
          <w:bCs/>
          <w:sz w:val="32"/>
          <w:szCs w:val="32"/>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第一条  为了规范库尔勒市英下乡（以下简称英下乡）职能配置、机构设置和人员编制，推进机构、职能、权限、程序、责任法定化，根据《自治州党委办公室、自治州人民政府办公室关于印发〈库尔勒市机构改革方案〉的通知》（巴党办字〔2024〕13号）、《市委办公室、市政府办公室关于印发〈库尔勒市乡镇（街道）机构改革方案〉的通知》和《中国共产党机构编制工作条例》有关要求，结合英下乡实际，制定本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第二条  英下乡党委是党在英下乡的基层组织，是各项工作的领导核心，要紧紧围绕新时代党的治疆方略、特别是社会稳定和长治久安总目标，不断加强基层基础建设，充分发挥统揽全局的核心领导作用，夯实党在农村的执政基础。英下乡人民政府是英下乡的基层行政机关，要紧紧围绕促进经济发展、增加农民收入，强化公共服务、着力改善民生，加强社会管理、维护农村稳定，推进基层民主、促进农村和谐四个方面全面履行职责，提高农村公共服务水平，努力做好“三农”服务工作。英下乡机关机构规格为正科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第三条  本规定确定的主要职责、机构设置、人员编制等，是库尔勒市英下乡机构职责权限、人员配备和工作运行的基本依据。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第四条  英下乡党委、人民政府宣传贯彻党和国家各项方针、政策和法律法规，执行党中央、上级党组织、人民政府及本级党代会、人民代表大会的决议、决定；接受相关部门的业务指导；在履行职责过程中坚持和加强党对全乡各项工作的集中统一领导。主要职责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一）加强党的建设。落实基层党建工作责任制，统筹抓好基层党建工作；推进全面从严治党，强化“两个责任”；全面加强基层宣传思想文化和统一战线工作，以铸牢中华民族共同体意识为主线，积极引导宗教与社会主义社会相适应；负责党的社会工作，健全完善党建引领基层体系，强化基层治理，进一步增强党在基层的政治领导力、思想引领力、群众组织力、社会号召力；加强党对群团组织、非公有制经济组织、社会组织、人民武装和其他各类组织的指导和规范，支持和保证其依照国家法律法规以及各自章程履行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二）推动经济发展。制定本行政区域经济社会发展规划和年度计划并组织实施；因地制宜发展区域特色经济，指导农村经济结构调整和推进经济增长方式转变，营造发展环境，组织农村基础设施建设，落实强农惠农措施，为经济主体提供示范引导和政策服务，引导和促进新型农村专业合作经济组织发展；加强镇财政、农村合作经济组织以及集体资产的管理；加强对村集体财产的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三）做好民生服务。组织实施与群众生活密切相关的各项行政审批和公共服务，加强公共设施建设，开展就业和社会保障等服务，发展科教文卫事业，落实涉及民生领域的各方面相关政策，着力解决群众生产生活中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四）加强法治建设。坚持依法行政，推进民主政治，加强基层政权建设；负责辖区平安建设和社会治安综合治理等工作，领导基层治理工作，健全完善自治、法治、德治相结合的基层治理体系；对辖区内各类行政执法工作进行统筹协调，组织开展群众监督和社会监督；依法依规承担下放的经济社会管理权限和行政执法事项；健全社会矛盾纠纷排查调处机制，及时化解辖区社会矛盾，确保社会稳定；负责辖区公共安全及安全生产监管，构建公共安全防控体系，建立应对突发紧急事件的处理预案，做好安全生产、防疫、防汛、防火、减灾救灾、地质气象灾害预防、食品药品安全等应急管理工作；负责民兵组织建设、征兵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（五）完成市委、市人民政府交办的其他事项。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第五条  理顺市乡权责关系：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一）理顺行政执法职责边界。市直部门赋权下放的行政处罚事项，英下乡为执法主体和责任主体；委托下放的行政处罚事项，由市直部门与英下乡签订行政执法委托书，明确委托范围、委托权限、委托依据、委托责任及委托期限等；法律法规未赋权也不宜委托下放，但需英下乡配合的行政执法事项，由英下乡综合行政执法机构协助市直部门开展监督检查、立案调查工作，市直部门为责任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二）强化统一指挥和统筹协调职责。市直部门派驻执法队伍以及其他行政部门下派或指定的包点联系执法人员，由英下乡综合执法办公室统一指挥、统一调度、统一管理。加强英下乡对市直部门派驻机构及人员的管理职责，市直部门派驻的公安派出所、市场监督管理所、司法所等派驻机构纳入英下乡统一指挥协调，依托英下乡开展工作考核，负责人任免应当事先征求英下乡党委意见。</w:t>
      </w:r>
      <w:bookmarkStart w:id="1" w:name="_GoBack"/>
      <w:bookmarkEnd w:id="1"/>
      <w:r>
        <w:rPr>
          <w:rFonts w:hint="eastAsia" w:ascii="仿宋_GB2312" w:hAnsi="宋体" w:eastAsia="仿宋_GB2312"/>
          <w:bCs/>
          <w:sz w:val="32"/>
          <w:szCs w:val="32"/>
        </w:rPr>
        <w:br w:type="textWrapping"/>
      </w:r>
      <w:r>
        <w:rPr>
          <w:rFonts w:hint="eastAsia" w:ascii="仿宋_GB2312" w:hAnsi="宋体" w:eastAsia="仿宋_GB2312"/>
          <w:bCs/>
          <w:sz w:val="32"/>
          <w:szCs w:val="32"/>
        </w:rPr>
        <w:t>乡镇公安派出所、司法所、中小学、幼儿园、卫生院、人口和计划生育生殖健康服务站保持现行管理体制不变。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三）建立乡镇职责准入制度。《库尔勒市市乡“属地管理”事项责任清单》为市人民政府部门向英下乡交派工作依据。市直部门行政事务需要委托或交由基层承担的，须充分听取英下乡党委、人民政府意见，经过市委、市人民政府审核批准，并明确工作目标、内容、权限、分工、期限等具体要求，落实人员、经费以及业务培训等保障措施。需由英下乡配合、协助完成的工作任务，主要责任由市直部门承担。除党中央、国务院和自治区党委、自治区人民政府有明确规定外，不得以设置“一票否决”和签订责任状事项等方式，将工作责任转嫁给英下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第六条  英下乡不设议事协调机构，除中央有明确要求的外，不再加挂各类牌子。根据本规定第四条主要职责，英下乡设置下列5个内设机构，机构规格均为股级。具体如下：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（一）党政综合办公室。负责文秘、档案、保密、综合协调、后勤保障等工作；负责制定机关各项工作制度并监督落实；负责机关效能建设及绩效考核；负责机关、派驻机构、事业机构的协调和综合服务工作。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二）党建工作办公室。负责宣传党的各项方针、政策及精神文明建设各项工作；负责党的基层组织建设和党员队伍建设工作；负责党风廉政建设工作；牵头负责党建引领基层治理和基层政权建设、“两企三新”党建、社会工作人才队伍建设等；负责党务、组织、宣传、意识形态、机构编制、人事、老干部等工作的规划、管理、协调和监督工作；负责人大、工会、团委、妇联等日常工作；负责政协委员的联络工作；负责驻村工作、农牧民夜校、村（社区）考核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三）经济发展和财政办公室。负责贯彻落实统筹城乡发展、加快推进城乡一体化总体部署和目标任务；负责拟订经济发展、产业结构调整规划、计划并组织实施；负责农业、畜牧兽医、林业、草原、水利、财政、土地、交通、科技、乡村振兴、统计、新型城镇化、村镇建设，一、二、三产业的规划、管理、协调和监督工作；负责农村经济管理、财务管理及审计监督、农村土地承包管理、宅基地管理、减轻农民负担监督管理等工作，指导农村合作经济组织；负责乡镇政府财政预算决算的编制、办理各项收支结算和对账、报账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四）社会事务办公室（退役军人服务站）。负责政法、社会治安综合治理、统战、民族宗教、计划生育、信访、教育、科技、文化、卫生健康、体育、广播电视、旅游、安全生产、应急管理、民政、劳动就业、社会保障、医疗保障、社会救助、退役军人、残疾人事业的规划、管理、协调和监督工作；负责拟订社会发展规划、计划并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五）综合执法办公室。负责综合行政执法工作的规划、管理、协调和监督工作；负责拟订综合行政执法队伍统一的运行管理制度，包括日常工作制度、包片负责制度、巡查上报制度、执法处置制度、执法协调制度等；代表英下乡人民政府履行赋予行政处罚权。负责联系协调市人民政府相关行政部门派驻乡镇执法人员在辖区内开展综合行政执法工作。接受有关上级主管部门的业务指导和监督，负责辖区内日常有关执法活动和有关重大案件线索巡查、综合检查、接收投诉举报、协助调查取证等工作；协助上级有关部门开展有关重大案件查处和跨区域执法活动；在权限范围内负责物业管理相关工作；负责权责清单相关事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第七条  英下乡综合设置5个股级事业单位，均为公益一类，经费形式实行全额预算管理。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（一）农业发展服务中心。负责农业、畜牧兽医、林业、草原、水利、乡村振兴、农经等方面的服务和保障工作。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（二）公共文化服务中心。负责宣传、文化、体育、广播电视、旅游等方面的服务和保障工作。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三）村镇建设发展中心。负责国土资源、规划建设、园林绿化、生态环境保护、交通等方面的服务和保障工作；协助英下乡人民政府制定国土资源、规划建设、园林绿化、生态环境保护、交通工作的规划和年度计划并组织实施；协助英下乡人民政府贯彻落实统筹城乡发展、加快推进城乡一体化工作总体部署和目标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四）综治和网格化服务中心。负责制定社会治安综合治理、网格化管理等工作的规划和年度计划并组织实施；负责社会治安、平安建设、法治建设、应急管理、矛盾化解、信访维稳、预防未成年违法犯罪、灾害防治救助等工作；承担网格化治理体系的建设和服务工作，负责网格员的教育培训工作；负责辖区内社会治理和网格事项信息的收集汇总、综合研判、指挥协调工作；负责流动人口管理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（五）便民服务中心。负责民政、教育、劳动就业、社会保障、社会救助、医疗保险、医疗救助、退役军人、残疾人事业等方面的服务和保障工作；负责各类公共服务和民生服务事项的落实办理。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第八条  英下乡综合行政执法队与综合执法办公室合署办公，负责本辖区内综合行政执法工作；依托《库尔勒市英下乡行政处罚赋权事项清单》，以英下乡名义开展执法工作，依法依规相对集中行使行政执法权。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第九条  英下乡人大、纪律检查委员会、人民武装和工青妇等群团组织按相关法律、章程设置，在英下乡党委统一领导下开展工作。市监察委员会向英下乡派出监察办公室，与英下乡纪委合署办公；派出监察办公室对市监察委员会负责，并接受其领导和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第十条  英下乡核定行政编制22名（含单列监察员编制4名），其中：科级领导职数具体配备按照换届相关规定执行。机关工勤事业编制2名。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核定全额预算管理事业编制43名，其中：综合行政执法队锁定全额事业编制4名。围绕强化基层治理能力，允许英下乡统筹使用各类编制资源，统筹使用行政编制和事业编制人员，结合实际设置工作岗位，综合配置工作力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英下乡各综合办公室不作为英下乡一级的中间层级，负责人由英下乡分管领导担任。英下乡各事业单位主要负责人可由英下乡党政副职兼任。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第十一条  本规定具体解释工作由中共库尔勒市委员会机构编制委员会办公室承担，其调整由中共库尔勒市委员会机构编制委员会办公室按规定程序办理。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 xml:space="preserve">第十二条  本规定自印发之日起施行。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 xml:space="preserve">库尔勒市英下乡人民政府无下属预算单位，下设了5办5中心，分别是：党政综合办公室、党建工作办公室、经济发展和财政办公室、社会事务办公室（退伍军人服务站）、综合执法办公室农业发展服务中心、公共文化服务中心、村镇建设发展中心、综合和网格化服务中心、便民服务中心。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 xml:space="preserve">库尔勒市英下乡人民政府编制数62人，实有人数81人，其中在职人数62人，减少人数0人，退休人数19人，增加人数0人：离休人数0人，增加人数0人。 </w:t>
      </w:r>
      <w:bookmarkStart w:id="0" w:name="_Hlk43849111"/>
      <w:bookmarkEnd w:id="0"/>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1.年度总体目标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目标1：覆盖基层组织个数7个，有效解决乡镇公共服务运行经费保障，服务乡村数量不少于7个，要提升村、组党组织服务群众能力，减轻农民负担；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目标2：通过村社区、组党组织惠民政策的实施，村社区、组党建服务品牌建设，村社区组公共事业的补助和实施等为民办实事的开展，确保为民实施件数达到10件，为民办实事工作覆盖率达到100%以上。提升村社区、组党组织服务群众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目标3：在乡镇开展各项教育培训活动，提高干部及群众综合素质，有效提升服务群众水平，提高职业介绍和就业指导次数不少于10次，提高就业问题；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目标4：明显改善农村村容村貌，清洁卫生，促进农村建设，改善老百胜生产生活环境，提高人民生说水平，农牧民使用技能培训场次不少于10次；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目标5：抓好财政收支管理及村集体经济审计工作，审计单位6个，做好编制、公开、达到预算绩效全覆盖，将绩效管理纳入编辑，执行、监督全过程，强化绩效目标管理。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2.重点工作计划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英下乡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我单位深入学习贯彻党的二十大精神，坚持以习近平新时代中国特色社会主义思想为指引，着力解决突出问题，深入推进干部能力建设，把坚定理想信念作为根本目标、把培育先进典型作为重要举措、把党群共建作为重要内容、把创建活动作为重要载体，开展好每月主题党日和每周政治学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聚焦“两个维护”，把政治建设摆在首位、落到实处。推动各级党组织和广大党员坚决落实“两个维护”；深入学习贯彻习近平新时代中国特色社会主义思想和党的二十大精神。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聚焦高素质专业化，打造忠诚干净担当的干部队伍。严格标准，坚持正确用人导向；严格教育，推进干部能力建设；严格考察，着力考准考实干部；严格考核，提升工作动能；严管与厚爱并重，激励干部新担当新作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聚焦组织力提升，推进基层党组织全面进步、全面过硬。层层压实责任；全力推进抓党建促脱贫；推进“九项重点任务”落实；统筹推进城市等其他领域党建工作；全面从严加强党员教育管理。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库尔勒市英下乡人民政府2024年通过本部门预算支出，确保了62名在职人员的工资、津贴、补贴、社保、绩效、公积金等以及19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英下乡年初预算安排2760.07万元，其中财政拨款2760.07万元，其他资金0.00万元，主要用于基本工资、津贴补贴、奖金、机关事业单位基本养老保险缴费、职业年金缴费、职工基本医疗保险缴费、办公费、差旅费、维修（护）费、福利费、退休费，生活补助，其他个人补助支出，2021年第三批新疆专项中央基建投资预算干部周转房，库尔勒市英下乡幸福社区综合服务设施建设项目，2021年第三批新疆专项中央基建投资英下村活动场所，2022年新疆专项[第一批]中央基建投资预算拨款（五小工程），2021年自治区财政厅衔接推进乡村振兴（劳动技能培训）资金（英下乡阿克东村老旧温室大棚提升改造项目），香梨研究中心大棚维修改造项目，英下乡沙依东众惠服装厂项目，英下乡现代化设施农业产业园建设一期项目，2023年中央土地指标跨省域调剂收入安排的支出预算[支持农村厕所革命整村推进财政奖补]，2024年中央财政衔接推进乡村振兴补助资金(现代设施农业产业园项目一期)，2024年中央财政衔接推进乡村振兴补助资金(现代设施农业产业园项目二期)，2024年自治区财政衔接推进乡村振兴补助资金（阿克东村2024年老旧温室大棚提升项目），2023年市本级配套财政衔接推进乡村振兴补助资金（库尔勒市英下乡喀尔巴格村化粪池及配套设施工程），国企退休人员社会化管理补助，2024年自治州财政衔接推进乡村振兴补助资金[第二批]的通知（沙依东香梨冷链物流建设项目），2023年新疆专项[第一批]中央基建投资预算（金梨社区综合服务设施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年终调整6748.25万元，调整后全年预算9508.32万元，预算调整率244.49%，调整预算的主要原因为： 2023年中央土地指标跨省域调剂收入安排的支出预算[支持农村厕所革命整村推进财政奖补]、 2024年中央财政衔接推进乡村振兴补助资金(现代设施农业产业园项目一期)、 2024年中央财政衔接推进乡村振兴补助资金(现代设施农业产业园项目二期)、2024年自治区财政衔接推进乡村振兴补助资金（阿克东村2024年老旧温室大棚提升项目）、2023年市本级配套财政衔接推进乡村振兴补助资金（库尔勒市英下乡喀尔巴格村化粪池及配套设施工程）、2023年市本级配套财政衔接推进乡村振兴补助资金（库尔勒市英下乡喀尔巴格村化粪池及配套设施工程）等项目增加。</w:t>
      </w:r>
    </w:p>
    <w:p>
      <w:pPr>
        <w:numPr>
          <w:numId w:val="0"/>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二、</w:t>
      </w: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（一）部门单位整体支出管理情况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1.预算编制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2.预算执行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库尔勒市财政批复预算后，我单位按要求及时制定并报批部门预算支出计划，严格落实预算执行定期分析机制，靠前抓好支出执行，坚持严肃财经纪律，硬化预算约束，持续树牢厉行节约理念，严控一般性支出，努力降低行政、事业运行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3.绩效管理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lang w:eastAsia="zh-CN"/>
        </w:rPr>
      </w:pP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4.信息公开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我单位已按要求在我单位库尔勒市人民政府门户网站公开部门预算信息，同步公开绩效目标表；在我单位库尔勒市人民政府门户网站公开部门决算信息，同步公开自评表及自评报告。</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lang w:val="en-US" w:eastAsia="zh-CN"/>
        </w:rPr>
      </w:pP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二</w:t>
      </w:r>
      <w:r>
        <w:rPr>
          <w:rFonts w:hint="eastAsia" w:ascii="仿宋_GB2312" w:hAnsi="宋体" w:eastAsia="仿宋_GB2312"/>
          <w:bCs/>
          <w:sz w:val="32"/>
          <w:szCs w:val="32"/>
          <w:lang w:eastAsia="zh-CN"/>
        </w:rPr>
        <w:t>）</w:t>
      </w:r>
      <w:r>
        <w:rPr>
          <w:rFonts w:hint="eastAsia" w:ascii="仿宋_GB2312" w:hAnsi="宋体" w:eastAsia="仿宋_GB2312"/>
          <w:bCs/>
          <w:sz w:val="32"/>
          <w:szCs w:val="32"/>
        </w:rPr>
        <w:t>部门单位整体支出使用情况</w:t>
      </w:r>
      <w:r>
        <w:rPr>
          <w:rFonts w:hint="eastAsia" w:ascii="仿宋_GB2312" w:hAnsi="宋体" w:eastAsia="仿宋_GB2312"/>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1.基本支出情况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基本支出2069.53万元，包括工资福利支出1418.85万元，商品和服务支出532.56万元，对个人和家庭的补助116.32万元、资本项支出1.8万元。其中：“三公”经费支出10.26万元，比上年无变动；会议费支出0万元，比上年无变动；培训费支出6.92万元，比上年增加0.1万元，主要原因是2024年在职干部安排考察培训次数比去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2.专项资金支出情况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专项项目支出7438.79万元，占总支出的78.23％，主要用于2021年第三批新疆专项中央基建投资预算干部周转房，库尔勒市英下乡幸福社区综合服务设施建设项目，2021年第三批新疆专项中央基建投资英下村活动场所，2022年新疆专项[第一批]中央基建投资预算拨款（五小工程），2021年自治区财政厅衔接推进乡村振兴（劳动技能培训）资金（英下乡阿克东村老旧温室大棚提升改造项目），香梨研究中心大棚维修改造项目，英下乡沙依东众惠服装厂项目，英下乡现代化设施农业产业园建设一期项目，2023年中央土地指标跨省域调剂收入安排的支出预算[支持农村厕所革命整村推进财政奖补]，  2024年中央财政衔接推进乡村振兴补助资金(现代设施农业产业园项目一期)，2024年中央财政衔接推进乡村振兴补助资金(现代设施农业产业园项目二期)，2024年自治区财政衔接推进乡村振兴补助资金（阿克东村2024年老旧温室大棚提升项目），2023年市本级配套财政衔接推进乡村振兴补助资金（库尔勒市英下乡喀尔巴格村化粪池及配套设施工程），国企退休人员社会化管理补助，2024年自治州财政衔接推进乡村振兴补助资金[第二批]的通知（沙依东香梨冷链物流建设项目），2023年新疆专项[第一批]中央基建投资预算（金梨社区综合服务设施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3.部门单位专项组织实施情况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年初我单位下发的22专项、22专项按照年初工作计划，对项目的工作分工、任务分配、资金落实、完成时限等提出了明确、具体的要求，以确保项目保质、保量、按时完成。截至2024年12月31日，完成专项5个，未完成专项17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为规范专项资金使用，提高专项资金使用效益，我单位主要采取以下措施：</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一</w:t>
      </w:r>
      <w:r>
        <w:rPr>
          <w:rFonts w:hint="eastAsia" w:ascii="仿宋_GB2312" w:hAnsi="宋体" w:eastAsia="仿宋_GB2312"/>
          <w:bCs/>
          <w:sz w:val="32"/>
          <w:szCs w:val="32"/>
          <w:lang w:eastAsia="zh-CN"/>
        </w:rPr>
        <w:t>）</w:t>
      </w:r>
      <w:r>
        <w:rPr>
          <w:rFonts w:hint="eastAsia" w:ascii="仿宋_GB2312" w:hAnsi="宋体" w:eastAsia="仿宋_GB2312"/>
          <w:bCs/>
          <w:sz w:val="32"/>
          <w:szCs w:val="32"/>
        </w:rPr>
        <w:t>健全制度体系，规范管理流程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 xml:space="preserve">1.制定并完善对专项资金的预算编制、审批拨付、使用监督、绩效评价等环节进行全面、细致的规定，明确各部门、各岗位在资金管理过程中的职责与权限，确保资金使用审批流程严格按规定办理。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针对涉及“三重一大”内容（项目资金分配、重大项目确定、大额资金支付等），严格按照规定提请局党组会审议决定。会前需做好充分的调研论证与材料准备，会上组织深入讨论，广泛听取意见，会后形成会议纪要，确保决策过程科学、民主、规范，为专项资金使用提供坚实的制度保障与决策依据。</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（二）建立专项资金专账，实现精准管理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1.为每一项专项资金建立独立专账，安排专人负责专账管理工作，确保账目清晰、准确。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严格按照财务管理制度和专项资金管理办法，对资金的收入、支出、结余等情况进行详细记录，做到每一笔资金的流向都有据可依、有据可查。定期对专账进行核对与清理，及时发现并纠正可能存在的问题，防止资金混同、挪用等情况发生，实现专项资金的精准管理与有效监控。</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（三）科学制定项目实施方案，保障项目有序推进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1.组织专业人员结合项目实际需求、预期目标、实施条件等因素，科学制定详细的项目实施方案。方案内容应涵盖项目目标、实施内容、实施步骤、时间节点、人员分工、资金预算、保障措施等关键要素。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方案制定过程中，充分征求相关部门、专家及利益相关方的意见和建议，对方案进行反复论证与优化，确保方案具有科学性、可行性和可操作性。在项目实施过程中，严格按照实施方案推进工作，加强过程管理与监督，及时解决出现的问题，确保项目按计划有序推进，达成预期目标。</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（四）严格组织项目验收，确保项目质量与资金效益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1.成立由专业技术人员、财务人员、行业专家等组成的项目验收小组，制定详细的项目验收标准与流程。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2.在项目完成后，及时组织开展项目验收工作。验收过程中，对项目的实施情况、完成质量、资金使用情况等进行全面、细致的检查与评估。通过实地考察、资料审查、数据核对、效果评估等多种方式，确保项目达到预期目标与质量要求，资金使用合理合规。对验收不合格的项目，责令项目实施单位限期整改，整改完成后重新组织验收，切实保障项目质量与专项资金使用效益。</w:t>
      </w:r>
    </w:p>
    <w:p>
      <w:pPr>
        <w:numPr>
          <w:numId w:val="0"/>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三、</w:t>
      </w: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一</w:t>
      </w:r>
      <w:r>
        <w:rPr>
          <w:rFonts w:hint="eastAsia" w:ascii="仿宋_GB2312" w:hAnsi="宋体" w:eastAsia="仿宋_GB2312"/>
          <w:bCs/>
          <w:sz w:val="32"/>
          <w:szCs w:val="32"/>
          <w:lang w:eastAsia="zh-CN"/>
        </w:rPr>
        <w:t>）</w:t>
      </w:r>
      <w:r>
        <w:rPr>
          <w:rFonts w:hint="eastAsia" w:ascii="仿宋_GB2312" w:hAnsi="宋体" w:eastAsia="仿宋_GB2312"/>
          <w:bCs/>
          <w:sz w:val="32"/>
          <w:szCs w:val="32"/>
        </w:rPr>
        <w:t>预算执行情况分析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英下乡总支出9508.32万元，预算执行率100%，其中一般公共服务支出1705.7万元，教育支出6.93万元，科学技术支出4.2万元，文化旅游体育与传媒支出12.49万元，社会保障和就业支出149.73万元，卫生健康支出52.03万元，城乡社区支出274万元，农林水支出6355.44万元，住房保障支出81.04万元，国有资本经营预算支出0.1万元，其他支出866.66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1.基本支出使用情况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英下乡基本支出2069.53万元，占总支出的21.76％，其中：一般公共服务支出1705.71万元，教育支出6.93万元，科学支出4.2万元，文化旅游体育与传媒支出12.49万元，社会保障和就业支出149.73万元，卫生健康支出52.03万元，农林水支出55.6万元，住房保障支出81.04万元，其他支出1.8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2.项目支出使用情况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2024年，库尔勒市英下乡项目支出7438.79万元，占总支出的78.23％。其中：城乡社区支出274万元，农林水支出6299.83万元，国有资本经营预算支出0.1万元，其他支出864.86万元。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二</w:t>
      </w:r>
      <w:r>
        <w:rPr>
          <w:rFonts w:hint="eastAsia" w:ascii="仿宋_GB2312" w:hAnsi="宋体" w:eastAsia="仿宋_GB2312"/>
          <w:bCs/>
          <w:sz w:val="32"/>
          <w:szCs w:val="32"/>
          <w:lang w:eastAsia="zh-CN"/>
        </w:rPr>
        <w:t>）</w:t>
      </w:r>
      <w:r>
        <w:rPr>
          <w:rFonts w:hint="eastAsia" w:ascii="仿宋_GB2312" w:hAnsi="宋体" w:eastAsia="仿宋_GB2312"/>
          <w:bCs/>
          <w:sz w:val="32"/>
          <w:szCs w:val="32"/>
        </w:rPr>
        <w:t>部门单位整体支出绩效指标完成情况分析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年初我单位设置部门整体绩效目标中包括一级指标1个（履职效能）二级指标1个，三级指标4个，指标完成情况分析如下：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1.运行成本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2.管理效率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3.履职效能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（1）数量指标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指标1：覆盖基层组织个数，指标值：&gt;=7个，年中监控完成值：=7个，自评完成值：7个，指标完成率=100%，偏差0%。指标成效分析：覆盖基层组织正常运转，提高了工作效率或改善了工作质量及服务水平。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指标2：工作队在职人数，指标值：&gt;=14人，年中监控完成值：=14人，自评完成值：14人，指标完成率100%，偏差0%。指标成效分析：通过在职工作队队员的各项工作有效完成，提高了工作质量及服务水平。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指标3：农牧民实用技能培训场次数，指标值：&gt;=10次，年中监控完成值：=10次，自评完成值：10次，指标完成率100%，偏差0%。指标成效分析：通过常态化开展农牧民使用技能培训，提高了农牧民的各种种植知识和增值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指标4：为民办实事件数量，指标值：&gt;=10件，年中监控完成值：=10件，自评完成值：10件，指标完成率100%，偏差0%。指标成效分析：通过开展为民办实事工作，提高了给农牧民服务服务意识和便于农牧民办事和及时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4.社会效益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5.可持续发展能力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6.服务对象满意度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
          <w:sz w:val="32"/>
          <w:szCs w:val="32"/>
        </w:rPr>
      </w:pPr>
      <w:r>
        <w:rPr>
          <w:rFonts w:hint="eastAsia" w:ascii="仿宋_GB2312" w:hAnsi="宋体" w:eastAsia="仿宋_GB2312"/>
          <w:bCs/>
          <w:sz w:val="32"/>
          <w:szCs w:val="32"/>
        </w:rPr>
        <w:t>无此项指标。</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四、</w:t>
      </w:r>
      <w:r>
        <w:rPr>
          <w:rFonts w:hint="eastAsia" w:ascii="黑体" w:hAnsi="黑体" w:eastAsia="黑体" w:cs="宋体"/>
          <w:b/>
          <w:color w:val="000000" w:themeColor="text1"/>
          <w:sz w:val="32"/>
          <w:szCs w:val="32"/>
          <w:lang w:bidi="ar"/>
          <w14:textFill>
            <w14:solidFill>
              <w14:schemeClr w14:val="tx1"/>
            </w14:solidFill>
          </w14:textFill>
        </w:rPr>
        <w:t>评价结论：</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2024年度部门整体支出绩效自评综合得分100分，评价结果为“优”。</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五、</w:t>
      </w: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1.预算绩效观念不深入。</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2.预算绩效规范管理有盲点。</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keepNext w:val="0"/>
        <w:keepLines w:val="0"/>
        <w:pageBreakBefore w:val="0"/>
        <w:widowControl w:val="0"/>
        <w:kinsoku/>
        <w:wordWrap/>
        <w:overflowPunct/>
        <w:topLinePunct w:val="0"/>
        <w:autoSpaceDE/>
        <w:autoSpaceDN/>
        <w:bidi w:val="0"/>
        <w:adjustRightInd/>
        <w:spacing w:line="560" w:lineRule="exact"/>
        <w:jc w:val="lef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六、</w:t>
      </w:r>
      <w:r>
        <w:rPr>
          <w:rFonts w:hint="eastAsia" w:ascii="黑体" w:hAnsi="黑体" w:eastAsia="黑体" w:cs="宋体"/>
          <w:b/>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Cs/>
          <w:sz w:val="32"/>
          <w:szCs w:val="32"/>
          <w:lang w:eastAsia="zh-CN"/>
        </w:rPr>
      </w:pPr>
      <w:r>
        <w:rPr>
          <w:rFonts w:hint="eastAsia" w:ascii="仿宋_GB2312" w:hAnsi="宋体" w:eastAsia="仿宋_GB2312"/>
          <w:bCs/>
          <w:sz w:val="32"/>
          <w:szCs w:val="32"/>
        </w:rPr>
        <w:t>1.加强学习。进一步明确如何参照考核体系，科学合理设定绩效目标，充分发挥预算绩效管理工作效用</w:t>
      </w:r>
      <w:r>
        <w:rPr>
          <w:rFonts w:hint="eastAsia" w:ascii="仿宋_GB2312" w:hAnsi="宋体" w:eastAsia="仿宋_GB2312"/>
          <w:bCs/>
          <w:sz w:val="32"/>
          <w:szCs w:val="32"/>
          <w:lang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2.财务上，会计核算要更加详细，为本单位各项工作的开展、总结、评估提供有效数据资料支撑,为各项业务工作更好的开展提供帮助。</w:t>
      </w:r>
      <w:r>
        <w:rPr>
          <w:rFonts w:hint="eastAsia" w:ascii="仿宋_GB2312" w:hAnsi="宋体" w:eastAsia="仿宋_GB2312"/>
          <w:bCs/>
          <w:sz w:val="32"/>
          <w:szCs w:val="32"/>
        </w:rPr>
        <w:br w:type="textWrapping"/>
      </w:r>
      <w:r>
        <w:rPr>
          <w:rFonts w:hint="eastAsia" w:ascii="仿宋_GB2312" w:hAnsi="宋体" w:eastAsia="仿宋_GB2312"/>
          <w:bCs/>
          <w:sz w:val="32"/>
          <w:szCs w:val="32"/>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keepNext w:val="0"/>
        <w:keepLines w:val="0"/>
        <w:pageBreakBefore w:val="0"/>
        <w:widowControl w:val="0"/>
        <w:kinsoku/>
        <w:wordWrap/>
        <w:overflowPunct/>
        <w:topLinePunct w:val="0"/>
        <w:autoSpaceDE/>
        <w:autoSpaceDN/>
        <w:bidi w:val="0"/>
        <w:adjustRightInd/>
        <w:spacing w:line="560" w:lineRule="exact"/>
        <w:ind w:firstLine="420" w:firstLineChars="200"/>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0EE617AD"/>
    <w:rsid w:val="10DF6E84"/>
    <w:rsid w:val="114B411A"/>
    <w:rsid w:val="1438599A"/>
    <w:rsid w:val="200F4073"/>
    <w:rsid w:val="24B86128"/>
    <w:rsid w:val="51C70EA9"/>
    <w:rsid w:val="54F842B6"/>
    <w:rsid w:val="64F5745B"/>
    <w:rsid w:val="656071F2"/>
    <w:rsid w:val="6BD368CC"/>
    <w:rsid w:val="6BF1756B"/>
    <w:rsid w:val="6F5E1AA3"/>
    <w:rsid w:val="74306E6F"/>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24</TotalTime>
  <ScaleCrop>false</ScaleCrop>
  <LinksUpToDate>false</LinksUpToDate>
  <CharactersWithSpaces>384</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2025-08-19T02:07:53Z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4E2A216151A24EE5A190066F518526B7</vt:lpwstr>
  </property>
</Properties>
</file>