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line="560" w:lineRule="exact"/>
        <w:textAlignment w:val="auto"/>
        <w:rPr>
          <w:rFonts w:ascii="宋体" w:eastAsia="宋体"/>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ascii="宋体" w:eastAsia="宋体"/>
          <w:sz w:val="44"/>
          <w:szCs w:val="44"/>
        </w:rPr>
      </w:pPr>
    </w:p>
    <w:p>
      <w:pPr>
        <w:keepNext w:val="0"/>
        <w:keepLines w:val="0"/>
        <w:pageBreakBefore w:val="0"/>
        <w:kinsoku/>
        <w:wordWrap/>
        <w:overflowPunct/>
        <w:topLinePunct w:val="0"/>
        <w:autoSpaceDE/>
        <w:autoSpaceDN/>
        <w:bidi w:val="0"/>
        <w:adjustRightInd/>
        <w:spacing w:line="560" w:lineRule="exact"/>
        <w:textAlignment w:val="auto"/>
        <w:rPr>
          <w:rFonts w:ascii="宋体" w:eastAsia="宋体"/>
          <w:sz w:val="44"/>
          <w:szCs w:val="44"/>
        </w:rPr>
      </w:pPr>
    </w:p>
    <w:p>
      <w:pPr>
        <w:keepNext w:val="0"/>
        <w:keepLines w:val="0"/>
        <w:pageBreakBefore w:val="0"/>
        <w:kinsoku/>
        <w:wordWrap/>
        <w:overflowPunct/>
        <w:topLinePunct w:val="0"/>
        <w:autoSpaceDE/>
        <w:autoSpaceDN/>
        <w:bidi w:val="0"/>
        <w:adjustRightInd/>
        <w:spacing w:line="560" w:lineRule="exact"/>
        <w:textAlignment w:val="auto"/>
        <w:rPr>
          <w:rFonts w:ascii="宋体" w:eastAsia="宋体"/>
          <w:sz w:val="44"/>
          <w:szCs w:val="44"/>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库尔勒市自然资源局</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keepNext w:val="0"/>
        <w:keepLines w:val="0"/>
        <w:pageBreakBefore w:val="0"/>
        <w:kinsoku/>
        <w:wordWrap/>
        <w:overflowPunct/>
        <w:topLinePunct w:val="0"/>
        <w:autoSpaceDE/>
        <w:autoSpaceDN/>
        <w:bidi w:val="0"/>
        <w:adjustRightInd/>
        <w:spacing w:line="560" w:lineRule="exact"/>
        <w:textAlignment w:val="auto"/>
        <w:rPr>
          <w:lang w:eastAsia="zh-CN"/>
        </w:rPr>
      </w:pPr>
      <w:r>
        <w:rPr>
          <w:sz w:val="0"/>
          <w:szCs w:val="0"/>
          <w:lang w:eastAsia="zh-CN"/>
        </w:rPr>
        <w:br w:type="page"/>
      </w:r>
    </w:p>
    <w:p>
      <w:pPr>
        <w:keepNext w:val="0"/>
        <w:keepLines w:val="0"/>
        <w:pageBreakBefore w:val="0"/>
        <w:widowControl w:val="0"/>
        <w:kinsoku/>
        <w:wordWrap/>
        <w:overflowPunct/>
        <w:topLinePunct w:val="0"/>
        <w:autoSpaceDE/>
        <w:autoSpaceDN/>
        <w:bidi w:val="0"/>
        <w:adjustRightInd/>
        <w:snapToGrid/>
        <w:spacing w:after="0" w:line="560" w:lineRule="exact"/>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keepNext w:val="0"/>
        <w:keepLines w:val="0"/>
        <w:pageBreakBefore w:val="0"/>
        <w:widowControl w:val="0"/>
        <w:tabs>
          <w:tab w:val="right" w:leader="dot" w:pos="8306"/>
        </w:tabs>
        <w:kinsoku/>
        <w:wordWrap/>
        <w:overflowPunct/>
        <w:topLinePunct w:val="0"/>
        <w:autoSpaceDE/>
        <w:autoSpaceDN/>
        <w:bidi w:val="0"/>
        <w:adjustRightInd/>
        <w:snapToGrid/>
        <w:spacing w:line="560" w:lineRule="exact"/>
        <w:ind w:left="0" w:lef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keepNext w:val="0"/>
        <w:keepLines w:val="0"/>
        <w:pageBreakBefore w:val="0"/>
        <w:kinsoku/>
        <w:wordWrap/>
        <w:overflowPunct/>
        <w:topLinePunct w:val="0"/>
        <w:autoSpaceDE/>
        <w:autoSpaceDN/>
        <w:bidi w:val="0"/>
        <w:adjustRightInd/>
        <w:spacing w:line="560" w:lineRule="exact"/>
        <w:textAlignment w:val="auto"/>
        <w:rPr>
          <w:lang w:eastAsia="zh-CN"/>
        </w:rPr>
      </w:pPr>
      <w:r>
        <w:rPr>
          <w:rFonts w:hint="eastAsia" w:ascii="仿宋_GB2312" w:hAnsi="仿宋_GB2312" w:eastAsia="仿宋_GB2312" w:cs="仿宋_GB2312"/>
          <w:sz w:val="32"/>
          <w:szCs w:val="32"/>
          <w:highlight w:val="none"/>
        </w:rPr>
        <w:fldChar w:fldCharType="end"/>
      </w:r>
      <w:r>
        <w:rPr>
          <w:rFonts w:hint="eastAsia" w:ascii="仿宋_GB2312" w:hAnsi="Times New Roman" w:eastAsia="仿宋_GB2312" w:cs="Times New Roman"/>
          <w:sz w:val="32"/>
          <w:szCs w:val="32"/>
          <w:highlight w:val="none"/>
        </w:rPr>
        <w:br w:type="page"/>
      </w:r>
    </w:p>
    <w:p>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ascii="黑体" w:eastAsia="黑体"/>
          <w:sz w:val="32"/>
          <w:szCs w:val="32"/>
          <w:lang w:eastAsia="zh-CN"/>
        </w:rPr>
      </w:pPr>
      <w:r>
        <w:rPr>
          <w:rFonts w:ascii="黑体" w:eastAsia="黑体"/>
          <w:sz w:val="32"/>
          <w:szCs w:val="32"/>
          <w:lang w:eastAsia="zh-CN"/>
        </w:rPr>
        <w:t>第一部分单位概况</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一、主要职能</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（一）履行全民所有土地、矿产、森林、草原、水等自然资源资产所有者职责和所有国土空间用途管制职责。贯彻执行国家自然资源和国土空间规划及测绘等法律、法规。</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（二）负责自然资源调查监测评价。</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（三）负责自然资源统一确权登记工作。</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（四）负责自然资源资产有偿使用工作。</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（五）负责自然资源的合理开发利用。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（六）负责建立空间规划体系并监督实施。</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（七）负责落实国土空间生态修复工作。</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（八）负责组织实施最严格的耕地保护制度和土地用途管制工作。（九）负责落实综合防灾减灾规划相关要求。</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（十）负责矿产资源管理工作。</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（十一）负责测绘地理信息管理工作。</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（十二）负责自然资源和城乡规划日常监督检查和指导工作。（十三）推动自然资源领域科技发展。</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eastAsia="仿宋_GB2312"/>
          <w:bCs/>
          <w:sz w:val="32"/>
          <w:szCs w:val="32"/>
          <w:lang w:eastAsia="zh-CN"/>
        </w:rPr>
      </w:pPr>
      <w:r>
        <w:rPr>
          <w:rFonts w:hint="eastAsia" w:ascii="仿宋_GB2312" w:hAnsi="Times New Roman" w:eastAsia="仿宋_GB2312" w:cs="Times New Roman"/>
          <w:sz w:val="32"/>
          <w:szCs w:val="32"/>
          <w:highlight w:val="none"/>
          <w:lang w:val="en-US" w:eastAsia="zh-CN"/>
        </w:rPr>
        <w:t>（十四）完成市委、市人民政府交办的其他任务。</w:t>
      </w:r>
      <w:r>
        <w:rPr>
          <w:rFonts w:eastAsia="仿宋_GB2312"/>
          <w:bCs/>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二、机构设置及人员情况</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库尔勒市自然资源局2024年度，实有人数313人，其中：在职人员196人，减少7人；离休人员0人，较上年无变化；退休人员117人，增加13人。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库尔勒市自然资源局无下属预算单位，下设六个股室，分别是：综合办公室（党建办公室）、自然资源调查确权登记股、国土空间规划股、自然资源利用股、规划与用地股、耕地保护和生态修复股。</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center"/>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第二部分部门决算情况说明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黑体" w:hAnsi="黑体" w:eastAsia="黑体" w:cs="黑体"/>
          <w:sz w:val="32"/>
          <w:szCs w:val="32"/>
          <w:highlight w:val="none"/>
          <w:lang w:val="en-US" w:eastAsia="zh-CN"/>
        </w:rPr>
        <w:t>一、收入支出决算总体情况说明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2024年度收入总计15,856.36万元，其中：本年收入合计15,856.36万元，使用非财政拨款结余（含专用结余）0.00万元，年初结转和结余0.00万元。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2024年度支出总计15,856.36万元，其中：本年支出合计15,856.36万元，结余分配0.00万元，年末结转和结余0.00万元。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hint="eastAsia" w:ascii="仿宋_GB2312" w:hAnsi="Times New Roman" w:eastAsia="仿宋_GB2312" w:cs="Times New Roman"/>
          <w:sz w:val="32"/>
          <w:szCs w:val="32"/>
          <w:highlight w:val="none"/>
          <w:lang w:val="en-US" w:eastAsia="zh-CN"/>
        </w:rPr>
        <w:t>收入支出总体与上年相比，减少15,805.32万元，下降49.92%，主要原因是：2023年11月支付格库铁路一期二期本金共计23200万元，造成本年度收入总额大幅度减少。</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二、收入决算情况说明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本年收入15,856.36万元，其中：财政拨款收入15,856.36万元,占100.00%；上级补助收入0.00万元,占0.00%；事业收入0.00万元，占0.00%；经营收入0.00万元,占0.00%；附属单位上缴收入0.00万元，占0.00%；其他收入0.00万元，占0.00%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ascii="黑体" w:eastAsia="黑体"/>
          <w:sz w:val="32"/>
          <w:szCs w:val="32"/>
          <w:lang w:eastAsia="zh-CN"/>
        </w:rPr>
      </w:pPr>
      <w:r>
        <w:rPr>
          <w:rFonts w:ascii="黑体" w:eastAsia="黑体"/>
          <w:sz w:val="32"/>
          <w:szCs w:val="32"/>
          <w:lang w:eastAsia="zh-CN"/>
        </w:rPr>
        <w:t>三、支出决算情况说明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本年支出15,856.36万元，其中：基本支出3,962.18万元，占24.99%；项目支出11,894.17万元，占75.01%；上缴上级支出0.00万元，占0.00%；经营支出0.00万元，占0.00%；对附属单位补助支出0.00万元，占0.00%。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财政拨款收入总计15,856.36万元，其中：年初财政拨款结转和结余0.00万元，本年财政拨款收入15,856.36万元。财政拨款支出总计15,856.36万元，其中：年末财政拨款结转和结余0.00万元，本年财政拨款支出15,856.36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财政拨款收入支出总体与上年相比，减少15,805.32万元，下降49.92%，主要原因是：2023年11月支付格库铁路一期二期本金共计23200万元，造成本年度收入总额与年初预算相比大幅度减少。与年初预算相比，年初预算数10,541.53万元，决算数15,856.36万元，预决算差异率50.42%，主要原因是：追加库尔勒市铁克其乡文体中心项目资金及补缴2021年至2024年耕地占用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一般公共预算财政拨款支出4,070.06万元，占本年支出合计的25.67%。与上年相比，减少308.85万元，下降7.05%，主要原因是：2024年在职人数较上年增加，委托业务费增加金额较大，对支出影响较大。与年初预算相比，年初预算数6,190.16万元，决算数4,070.06万元，预决算差异率-34.25%，主要原因是：本年度减少两名公益性岗位人员、退休人员增加造成医疗费减少及业务支出压缩，造成与年初预算差异较大。</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ascii="仿宋_GB2312" w:eastAsia="仿宋_GB2312"/>
          <w:b/>
          <w:sz w:val="32"/>
          <w:szCs w:val="32"/>
          <w:lang w:eastAsia="zh-CN"/>
        </w:rPr>
        <w:t>（二）一般公共预算财政拨款支出决算结构情况</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教育支出（类）1.46万元，占0.04%。</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社会保障和就业支出（类）459.49万元，占11.29%。</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卫生健康支出（类）170.76万元，占4.20%。</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自然资源海洋气象等支出（类）2,999.17万元，占73.69%。</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住房保障支出（类）252.19万元，占6.20%。</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灾害防治及应急管理支出（类）172.00万元，占4.23%。</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其他支出（类）15.00万元，占0.37%。</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ascii="仿宋_GB2312" w:eastAsia="仿宋_GB2312"/>
          <w:b/>
          <w:sz w:val="32"/>
          <w:szCs w:val="32"/>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教育支出（类）进修及培训（款）培训支出（项）：支出决算数为1.46万元，比上年决算减少12.29万元，下降89.38%，主要原因是：本年培训次数和人数减少。</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社会保障和就业支出（类）行政事业单位养老支出（款）行政单位离退休（项）：支出决算数为84.52万元，比上年决算减少32.70万元，下降27.90%，主要原因是：2023年度支付退休人员丧葬费和补发绩效较多，造成本年度支出下降。</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社会保障和就业支出（类）行政事业单位养老支出（款）机关事业单位基本养老保险缴费支出（项）：支出决算数为308.06万元，比上年决算增加34.53万元，增长12.62%，主要原因是：2024年新增人员6人，社保缴费基数增加 ，造成养老保险缴费增加。</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社会保障和就业支出（类）行政事业单位养老支出（款）机关事业单位职业年金缴费支出（项）：支出决算数为66.91万元，比上年决算增加30.18万元，增长82.17%，主要原因是：主要原因是：2024年新增人员7人，社保缴费基数增加 ，造成职业年金缴费增加。</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社会保障和就业支出（类）就业补助（款）公益性岗位补贴（项）：支出决算数为0.00万元，比上年决算减少6.60万元，下降100.00%，主要原因是：本年度减少公益性人员2人。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卫生健康支出（类）行政事业单位医疗（款）行政单位医疗（项）：支出决算数为141.02万元，比上年决算减少43.96万元，下降23.76%，主要原因是：2024年退休人员较多，减少了行政单位医疗支出。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卫生健康支出（类）行政事业单位医疗（款）公务员医疗补助（项）：支出决算数为29.74万元，比上年决算增加0.31万元，增长1.05%，主要原因是：2024年调入4名公务员，增加公务员医疗补助。</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节能环保支出（类）环境监测与监察（款）其他环境监测与监察支出（项）：支出决算数为0.00万元，比上年决算减少8.52万元，下降100.00%，主要原因是：减少支付环境监测支出。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自然资源海洋气象等支出（类）自然资源事务（款）行政运行（项）：支出决算数为2,683.57万元，比上年决算减少478.21万元，下降15.12%，主要原因是：本年度节省各项办公支出，行政运行经费减少。</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自然资源海洋气象等支出（类）自然资源事务（款）自然资源规划及管理（项）：支出决算数为13.41万元，比上年决算增加13.41万元，增长100.00%，主要原因是：本年增加耕地占用税。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自然资源海洋气象等支出（类）自然资源事务（款）自然资源利用与保护（项）：支出决算数为71.90万元，比上年决算减少92.53万元，下降56.27%，主要原因是：</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自然资源海洋气象等支出（类）自然资源事务（款）其他自然资源事务支出（项）：支出决算数为230.29万元，比上年决算增加167.76万元，增长268.29%，主要原因是：耕地开垦费减少。</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住房保障支出（类）住房改革支出（款）住房公积金（项）：支出决算数为252.19万元，比上年决算增加12.79万元，增长5.34%，主要原因是：2024年新增人员7人。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灾害防治及应急管理支出（类）自然灾害防治（款）地质灾害防治（项）：支出决算数为172.00万元，比上年决算增加92.00万元，增长115.00%，主要原因是：本年度增加国债资金。</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其他支出（类）其他支出（款）其他支出（项）：支出决算数为15.00万元，比上年决算增加15.00万元，增长100.00%，主要原因是：本年度增加支出访汇聚工作经费。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一般公共预算财政拨款基本支出3,582.46万元，其中：人员经费3,309.78万元，包括：基本工资、津贴补贴、奖金、机关事业单位基本养老保险缴费、职业年金缴费、职工基本医疗保险缴费、公务员医疗补助缴费、其他社会保障缴费、住房公积金、医疗费、其他工资福利支出、退休费、抚恤金、生活补助和奖励金。</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公用经费272.68万元，包括：办公费、水费、电费、取暖费、差旅费、培训费、委托业务费、工会经费、福利费、公务用车运行维护费和其他交通费用。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七、政府性基金预算财政拨款收入支出决算情况说明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政府性基金预算财政拨款收入总计11,786.29万元，其中：年初结转和结余0.00万元，本年收入11,786.29万元。政府性基金预算财政拨款支出总计11,786.29万元，其中：年末结转和结余0.00万元，本年支出11,786.29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政府性基金预算财政拨款收入支出总体与上年相比，减少15,496.48万元，下降56.80%，主要原因是：2023年11月支付格库铁路一期二期本金共计23200万元，造成本年度收入总额与年初预算相比大幅度减少。与年初预算相比，年初预算数4,351.37万元，决算数11,786.29万元，预决算差异率170.86%，主要原因是：本年增加支付库尔勒市铁克其乡文体中心项目和耕地占用税较多，造成差异率较大。</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政府性基金预算财政拨款支出11,786.29万元。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城乡社区支出（类）国有土地使用权出让收入安排的支出（款）征地和拆迁补偿支出（项）：支出决算数为78.56万元，比上年决算减少1,257.15万元，下降94.12%，主要原因是：2023年度支付格库铁路利息，2024年度减少利息支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城乡社区支出（类）国有土地使用权出让收入安排的支出（款）农村社会事业支出（项）：支出决算数为8,840.00万元，比上年决算增加8,840.00万元，增长100.00%，主要原因是：本年度增加支付库尔勒市铁克其乡文体中心PPP项目。</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城乡社区支出（类）国有土地使用权出让收入安排的支出（款）其他国有土地使用权出让收入安排的支出（项）：支出决算数为2,867.74万元，比上年决算增加2,120.68万元，增长283.87%，主要原因是：本年度增加耕地占用税和耕地开垦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城乡社区支出（类）国有土地使用权出让收入对应专项债务收入安排的支出（款）城市建设支出（项）：支出决算数为0.00万元，比上年决算减少2,000.00万元，下降100.00%，主要原因是：本年度减少支付城市建设支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城乡社区支出（类）国有土地使用权出让收入对应专项债务收入安排的支出（款）其他国有土地使用权出让收入对应专项债务收入安排的支出（项）：支出决算数为0.00万元，比上年决算减少23,200.00万元，下降100.00%，主要原因是：2023年11月支付格库铁路一期二期本金共计23200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八、国有资本经营预算财政拨款收入支出决算情况说明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本单位本年度无国有资本经营预算财政拨款收入、支出及结转和结余，国有资本经营预算财政拨款收入支出决算表为空表。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财政拨款“三公”经费支出7.20万元，比上年增加0.03万元，增长0.42%，主要原因是：。其中：因公出国（境）费支出0.00万元,占0.00%，与上年相比无变化，主要原因是：；公务用车购置及运行维护费支出7.20万元，占100.00%，比上年增加0.03万元，增长0.42%，主要原因是：按照年初预算数执行；公务接待费支出0.00万元，占0.00%，与上年相比无变化，主要原因是：本年未支出公务接待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具体情况如下：</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因公出国（境）费支出0.00万元，开支内容包括。单位全年安排的因公出国（境）团组0个，因公出国（境）0人次。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公务用车购置及运行维护费7.20万元，其中：公务用车购置费0.00万元，公务用车运行维护费7.20万元。公务用车运行维护费开支内容包括。公务用车购置数0辆，公务用车保有量3辆。国有资产占用情况中固定资产车辆24辆，与公务用车保有量差异原因是：本单位其他车辆是执法执勤车。</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公务接待费0.00万元，开支内容包括。单位全年安排的国内公务接待0批次，0人次。</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与全年预算相比，财政拨款“三公”经费支出全年预算数7.20万元，决算数7.20万元，预决算差异率0.00%，主要原因是：严格按照预算数支付。其中：因公出国（境）费全年预算数0.00万元，决算数0.00万元，预决算差异率0.00%，主要原因是：本年度未发生该支出。公务用车购置费全年预算数0.00万元，决算数0.00万元，预决算差异率0.00%，主要原因是：本年度未发生该项支出。公务用车运行维护费全年预算数7.20万元，决算数7.20万元，预决算差异率0.00%，主要原因是：严格按照预算数支付。公务接待费全年预算数0.00万元，决算数0.00万元，预决算差异率0.00%，主要原因是：本年度未发生该支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黑体" w:hAnsi="黑体" w:eastAsia="黑体" w:cs="黑体"/>
          <w:sz w:val="32"/>
          <w:szCs w:val="32"/>
          <w:highlight w:val="none"/>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b/>
          <w:bCs/>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（一）机关运行经费及公用经费支出情况</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2024年度库尔勒市自然资源局单位机关运行经费支出652.40万元，比上年减少731.99万元，下降52.87%，主要原因是：本单位本年度压缩业务经费。</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ascii="仿宋_GB2312" w:eastAsia="仿宋_GB2312"/>
          <w:b/>
          <w:sz w:val="32"/>
          <w:szCs w:val="32"/>
          <w:lang w:eastAsia="zh-CN"/>
        </w:rPr>
        <w:t>（二）政府采购情况</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2024年度政府采购支出总额0.15万元，其中：政府采购货物支出0.00万元、政府采购工程支出0.02万元、政府采购服务支出0.13万元。</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授予中小企业合同金额0.15万元，占政府采购支出总额的100.00%，其中：授予小微企业合同金额0.02万元，占政府采购支出总额的13.33%。</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ascii="仿宋_GB2312" w:eastAsia="仿宋_GB2312"/>
          <w:b/>
          <w:sz w:val="32"/>
          <w:szCs w:val="32"/>
          <w:lang w:eastAsia="zh-CN"/>
        </w:rPr>
        <w:t>（三）国有资产占用情况说明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截至2024年12月31日，房屋12,926.17平方米，价值1,824.81万元。车辆24辆，价值230.07万元，其中：副部（省）级及以上领导用车0辆、主要负责人用车0辆、机要通信用车0辆、应急保障用车0辆、执法执勤用车0辆、特种专业技术用车0辆、离退休干部服务用车0辆、其他用车24辆，其他用车主要是：一般公务用车;单价100万元（含）以上设备（不含车辆）2台（套）。</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十一、预算绩效的情况说明</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根据预算绩效管理要求，本单位2024年度预算绩效管理形成整体支出绩效自评表1个，全年预算总额10541.52万元，实际执行总额15856.35万元；预算绩效评价项目3个，全年预算数6148.77万元，全年执行数11894.17万元</w:t>
      </w:r>
      <w:bookmarkStart w:id="0" w:name="_Toc24446"/>
      <w:r>
        <w:rPr>
          <w:rFonts w:hint="eastAsia" w:ascii="仿宋_GB2312" w:hAnsi="Times New Roman" w:eastAsia="仿宋_GB2312" w:cs="Times New Roman"/>
          <w:sz w:val="32"/>
          <w:szCs w:val="32"/>
          <w:highlight w:val="none"/>
          <w:lang w:val="en-US" w:eastAsia="zh-CN"/>
        </w:rPr>
        <w:t>。预算绩效管理取得的成效：</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（1）抵制低效无效支出：通过事前绩效评估和动态监控实现预算资金精准配置。</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（2）执行过程管控能力增强，合规性提升：绩效目标与预算编制深度绑定，强化资金规范使用。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发现的问题及原因：</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（1）组织与协调能力不足</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在项目中，有效地组织和协调各个部门或团队显得尤为重要，然而，在许多项目中，组织与协调能力不足导致了执行的困难，由于沟通不畅、决策延误或者团队合作问题等引起的；</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 xml:space="preserve">（2）质量管理不到位 </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项目绩效不仅与进度和成本相关，还与最终交付的质量息息相关，然而在一些项目中，质量管理并没有得到应有的重视，导致了质量问题的出现，这可能是由于缺乏有效的质量控制机制、技术能力不足或者缺乏专业知识等原因造成的。</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（3）风险管理不完善</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风险是项目执行过程中必然存在的，然而，在一些项目中，对风险进行预测和管理并没有得到充分重视，缺乏有效的风险评估和规避策略可能会导致项目发生严重的损失和延误。</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下一步改进措施: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1"/>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（一）强化部门绩效管理体系建设</w:t>
      </w:r>
      <w:bookmarkEnd w:id="0"/>
      <w:r>
        <w:rPr>
          <w:rFonts w:hint="eastAsia" w:ascii="仿宋_GB2312" w:hAnsi="Times New Roman" w:eastAsia="仿宋_GB2312" w:cs="Times New Roman"/>
          <w:sz w:val="32"/>
          <w:szCs w:val="32"/>
          <w:highlight w:val="none"/>
          <w:lang w:val="en-US" w:eastAsia="zh-CN"/>
        </w:rP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w:t>
      </w:r>
      <w:bookmarkStart w:id="1" w:name="_Toc14981"/>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（二）加强固定资产账务管理，确保账实相符</w:t>
      </w:r>
      <w:bookmarkEnd w:id="1"/>
      <w:r>
        <w:rPr>
          <w:rFonts w:hint="eastAsia" w:ascii="仿宋_GB2312" w:hAnsi="Times New Roman" w:eastAsia="仿宋_GB2312" w:cs="Times New Roman"/>
          <w:sz w:val="32"/>
          <w:szCs w:val="32"/>
          <w:highlight w:val="none"/>
          <w:lang w:val="en-US" w:eastAsia="zh-CN"/>
        </w:rP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w:t>
      </w:r>
      <w:bookmarkStart w:id="2" w:name="_Toc18250"/>
      <w:r>
        <w:rPr>
          <w:rFonts w:hint="eastAsia" w:ascii="仿宋_GB2312"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（三）建立动态分析管理机制，提高项目监管主动性</w:t>
      </w:r>
      <w:bookmarkEnd w:id="2"/>
      <w:r>
        <w:rPr>
          <w:rFonts w:hint="eastAsia" w:ascii="仿宋_GB2312"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具体附部门整体支出绩效自评表，项目支出绩效自评表和部门评价报告。</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ascii="黑体" w:eastAsia="黑体"/>
          <w:sz w:val="32"/>
          <w:szCs w:val="32"/>
          <w:lang w:eastAsia="zh-CN"/>
        </w:rPr>
        <w:t>十二、其他需说明的事项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sz w:val="32"/>
          <w:szCs w:val="32"/>
          <w:lang w:eastAsia="zh-CN"/>
        </w:rPr>
      </w:pPr>
      <w:r>
        <w:rPr>
          <w:rFonts w:hint="eastAsia" w:ascii="仿宋_GB2312" w:hAnsi="Times New Roman" w:eastAsia="仿宋_GB2312" w:cs="Times New Roman"/>
          <w:sz w:val="32"/>
          <w:szCs w:val="32"/>
          <w:highlight w:val="none"/>
          <w:lang w:val="en-US" w:eastAsia="zh-CN"/>
        </w:rPr>
        <w:t>根据预算绩效管理要求，我部门2024年度预算绩效管理整体支出绩效自评表0个，全年预算总额0万元，实际执行总额0万元。我部门整体绩效自评表，由各单位自行编制并公开。</w:t>
      </w:r>
    </w:p>
    <w:p>
      <w:pPr>
        <w:keepNext w:val="0"/>
        <w:keepLines w:val="0"/>
        <w:pageBreakBefore w:val="0"/>
        <w:kinsoku/>
        <w:wordWrap/>
        <w:overflowPunct/>
        <w:topLinePunct w:val="0"/>
        <w:autoSpaceDE/>
        <w:autoSpaceDN/>
        <w:bidi w:val="0"/>
        <w:adjustRightInd/>
        <w:snapToGrid/>
        <w:spacing w:line="560" w:lineRule="exact"/>
        <w:textAlignment w:val="auto"/>
        <w:rPr>
          <w:lang w:eastAsia="zh-CN"/>
        </w:rPr>
      </w:pPr>
      <w:r>
        <w:rPr>
          <w:sz w:val="0"/>
          <w:szCs w:val="0"/>
          <w:lang w:eastAsia="zh-CN"/>
        </w:rPr>
        <w:br w:type="page"/>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center"/>
        <w:textAlignment w:val="auto"/>
        <w:rPr>
          <w:rFonts w:ascii="黑体" w:eastAsia="黑体"/>
          <w:sz w:val="32"/>
          <w:szCs w:val="32"/>
          <w:lang w:eastAsia="zh-CN"/>
        </w:rPr>
      </w:pPr>
      <w:r>
        <w:rPr>
          <w:rFonts w:ascii="黑体" w:eastAsia="黑体"/>
          <w:sz w:val="32"/>
          <w:szCs w:val="32"/>
          <w:lang w:eastAsia="zh-CN"/>
        </w:rPr>
        <w:t>第三部分专业名词解释</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一、财政拨款收入：</w:t>
      </w:r>
      <w:r>
        <w:rPr>
          <w:rFonts w:hint="eastAsia" w:ascii="仿宋_GB2312" w:hAnsi="Times New Roman" w:eastAsia="仿宋_GB2312" w:cs="Times New Roman"/>
          <w:sz w:val="32"/>
          <w:szCs w:val="32"/>
          <w:highlight w:val="none"/>
          <w:lang w:val="en-US" w:eastAsia="zh-CN"/>
        </w:rPr>
        <w:t>指同级财政当年拨付的资金。</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二、上级补助收入：</w:t>
      </w:r>
      <w:r>
        <w:rPr>
          <w:rFonts w:hint="eastAsia" w:ascii="仿宋_GB2312" w:hAnsi="Times New Roman" w:eastAsia="仿宋_GB2312" w:cs="Times New Roman"/>
          <w:sz w:val="32"/>
          <w:szCs w:val="32"/>
          <w:highlight w:val="none"/>
          <w:lang w:val="en-US" w:eastAsia="zh-CN"/>
        </w:rPr>
        <w:t>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三、事业收入：</w:t>
      </w:r>
      <w:r>
        <w:rPr>
          <w:rFonts w:hint="eastAsia" w:ascii="仿宋_GB2312" w:hAnsi="Times New Roman" w:eastAsia="仿宋_GB2312" w:cs="Times New Roman"/>
          <w:sz w:val="32"/>
          <w:szCs w:val="32"/>
          <w:highlight w:val="none"/>
          <w:lang w:val="en-US" w:eastAsia="zh-CN"/>
        </w:rPr>
        <w:t>指事业单位开展专业业务活动及其辅助活动所取得的收入。</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四、经营收入：</w:t>
      </w:r>
      <w:r>
        <w:rPr>
          <w:rFonts w:hint="eastAsia" w:ascii="仿宋_GB2312" w:hAnsi="Times New Roman" w:eastAsia="仿宋_GB2312" w:cs="Times New Roman"/>
          <w:sz w:val="32"/>
          <w:szCs w:val="32"/>
          <w:highlight w:val="none"/>
          <w:lang w:val="en-US" w:eastAsia="zh-CN"/>
        </w:rPr>
        <w:t>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五、附属单位上缴收入：</w:t>
      </w:r>
      <w:r>
        <w:rPr>
          <w:rFonts w:hint="eastAsia" w:ascii="仿宋_GB2312" w:hAnsi="Times New Roman" w:eastAsia="仿宋_GB2312" w:cs="Times New Roman"/>
          <w:sz w:val="32"/>
          <w:szCs w:val="32"/>
          <w:highlight w:val="none"/>
          <w:lang w:val="en-US" w:eastAsia="zh-CN"/>
        </w:rPr>
        <w:t>指事业单位附属的独立核算单位按有关规定上缴的收入。</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六、其他收入：</w:t>
      </w:r>
      <w:r>
        <w:rPr>
          <w:rFonts w:hint="eastAsia" w:ascii="仿宋_GB2312" w:hAnsi="Times New Roman" w:eastAsia="仿宋_GB2312" w:cs="Times New Roman"/>
          <w:sz w:val="32"/>
          <w:szCs w:val="32"/>
          <w:highlight w:val="none"/>
          <w:lang w:val="en-US" w:eastAsia="zh-CN"/>
        </w:rPr>
        <w:t>指除上述“财政拨款收入”、“事业收入”、“经营收入”、“附属单位上缴收入”等之外取得的收入。</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七、年初结转和结余：</w:t>
      </w:r>
      <w:r>
        <w:rPr>
          <w:rFonts w:hint="eastAsia" w:ascii="仿宋_GB2312" w:hAnsi="Times New Roman" w:eastAsia="仿宋_GB2312" w:cs="Times New Roman"/>
          <w:sz w:val="32"/>
          <w:szCs w:val="32"/>
          <w:highlight w:val="none"/>
          <w:lang w:val="en-US" w:eastAsia="zh-CN"/>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八、年末结转和结余：</w:t>
      </w:r>
      <w:r>
        <w:rPr>
          <w:rFonts w:hint="eastAsia" w:ascii="仿宋_GB2312" w:hAnsi="Times New Roman" w:eastAsia="仿宋_GB2312" w:cs="Times New Roman"/>
          <w:sz w:val="32"/>
          <w:szCs w:val="32"/>
          <w:highlight w:val="none"/>
          <w:lang w:val="en-US"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九、基本支出：</w:t>
      </w:r>
      <w:r>
        <w:rPr>
          <w:rFonts w:hint="eastAsia" w:ascii="仿宋_GB2312" w:hAnsi="Times New Roman" w:eastAsia="仿宋_GB2312" w:cs="Times New Roman"/>
          <w:sz w:val="32"/>
          <w:szCs w:val="32"/>
          <w:highlight w:val="none"/>
          <w:lang w:val="en-US" w:eastAsia="zh-CN"/>
        </w:rPr>
        <w:t>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十、项目支出：</w:t>
      </w:r>
      <w:r>
        <w:rPr>
          <w:rFonts w:hint="eastAsia" w:ascii="仿宋_GB2312" w:hAnsi="Times New Roman" w:eastAsia="仿宋_GB2312" w:cs="Times New Roman"/>
          <w:sz w:val="32"/>
          <w:szCs w:val="32"/>
          <w:highlight w:val="none"/>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十一、经营支出：</w:t>
      </w:r>
      <w:r>
        <w:rPr>
          <w:rFonts w:hint="eastAsia" w:ascii="仿宋_GB2312" w:hAnsi="Times New Roman" w:eastAsia="仿宋_GB2312" w:cs="Times New Roman"/>
          <w:sz w:val="32"/>
          <w:szCs w:val="32"/>
          <w:highlight w:val="none"/>
          <w:lang w:val="en-US" w:eastAsia="zh-CN"/>
        </w:rPr>
        <w:t>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十二、对附属单位补助支出：</w:t>
      </w:r>
      <w:r>
        <w:rPr>
          <w:rFonts w:hint="eastAsia" w:ascii="仿宋_GB2312" w:hAnsi="Times New Roman" w:eastAsia="仿宋_GB2312" w:cs="Times New Roman"/>
          <w:sz w:val="32"/>
          <w:szCs w:val="32"/>
          <w:highlight w:val="none"/>
          <w:lang w:val="en-US" w:eastAsia="zh-CN"/>
        </w:rPr>
        <w:t>指事业单位发生的用非财政预算资金对附属单位的补助支出。</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十三、“三公”经费：</w:t>
      </w:r>
      <w:r>
        <w:rPr>
          <w:rFonts w:hint="eastAsia" w:ascii="仿宋_GB2312" w:hAnsi="Times New Roman" w:eastAsia="仿宋_GB2312" w:cs="Times New Roman"/>
          <w:sz w:val="32"/>
          <w:szCs w:val="32"/>
          <w:highlight w:val="none"/>
          <w:lang w:val="en-US"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after="0" w:line="560" w:lineRule="exact"/>
        <w:ind w:firstLine="643"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十四、机关运行经费：</w:t>
      </w:r>
      <w:r>
        <w:rPr>
          <w:rFonts w:hint="eastAsia" w:ascii="仿宋_GB2312" w:hAnsi="Times New Roman" w:eastAsia="仿宋_GB2312" w:cs="Times New Roman"/>
          <w:sz w:val="32"/>
          <w:szCs w:val="32"/>
          <w:highlight w:val="none"/>
          <w:lang w:val="en-US" w:eastAsia="zh-CN"/>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center"/>
        <w:textAlignment w:val="auto"/>
        <w:rPr>
          <w:rFonts w:hint="eastAsia" w:ascii="仿宋_GB2312" w:hAnsi="Times New Roman" w:eastAsia="仿宋_GB2312" w:cs="Times New Roman"/>
          <w:sz w:val="32"/>
          <w:szCs w:val="32"/>
          <w:highlight w:val="none"/>
          <w:lang w:val="en-US" w:eastAsia="zh-CN"/>
        </w:rPr>
      </w:pPr>
      <w:r>
        <w:rPr>
          <w:rFonts w:hint="eastAsia" w:ascii="黑体" w:hAnsi="黑体" w:eastAsia="黑体" w:cs="黑体"/>
          <w:sz w:val="32"/>
          <w:szCs w:val="32"/>
          <w:highlight w:val="none"/>
          <w:lang w:val="en-US" w:eastAsia="zh-CN"/>
        </w:rPr>
        <w:t>第四部分部门决算报表（见附表）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一、《收入支出决算总表》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二、《收入决算表》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三、《支出决算表》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四、《财政拨款收入支出决算总表》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五、《一般公共预算财政拨款支出决算表》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六、《一般公共预算财政拨款基本支出决算表》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七、《政府性基金预算财政拨款收入支出决算表》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八、《国有资本经营预算财政拨款收入支出决算表》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九、《财政拨款“三公”经费支出决算表》</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59264" behindDoc="0" locked="0" layoutInCell="1" allowOverlap="1">
            <wp:simplePos x="0" y="0"/>
            <wp:positionH relativeFrom="column">
              <wp:posOffset>0</wp:posOffset>
            </wp:positionH>
            <wp:positionV relativeFrom="paragraph">
              <wp:posOffset>243205</wp:posOffset>
            </wp:positionV>
            <wp:extent cx="5479415" cy="4791710"/>
            <wp:effectExtent l="0" t="0" r="6985" b="889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479415" cy="479171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0288" behindDoc="0" locked="0" layoutInCell="1" allowOverlap="1">
            <wp:simplePos x="0" y="0"/>
            <wp:positionH relativeFrom="column">
              <wp:posOffset>38100</wp:posOffset>
            </wp:positionH>
            <wp:positionV relativeFrom="paragraph">
              <wp:posOffset>268605</wp:posOffset>
            </wp:positionV>
            <wp:extent cx="5476875" cy="4437380"/>
            <wp:effectExtent l="0" t="0" r="9525" b="127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76875" cy="44373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1312" behindDoc="0" locked="0" layoutInCell="1" allowOverlap="1">
            <wp:simplePos x="0" y="0"/>
            <wp:positionH relativeFrom="column">
              <wp:posOffset>47625</wp:posOffset>
            </wp:positionH>
            <wp:positionV relativeFrom="paragraph">
              <wp:posOffset>151130</wp:posOffset>
            </wp:positionV>
            <wp:extent cx="5478145" cy="5313045"/>
            <wp:effectExtent l="0" t="0" r="8255" b="190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478145" cy="53130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2336" behindDoc="0" locked="0" layoutInCell="1" allowOverlap="1">
            <wp:simplePos x="0" y="0"/>
            <wp:positionH relativeFrom="column">
              <wp:posOffset>0</wp:posOffset>
            </wp:positionH>
            <wp:positionV relativeFrom="paragraph">
              <wp:posOffset>220980</wp:posOffset>
            </wp:positionV>
            <wp:extent cx="5485130" cy="3762375"/>
            <wp:effectExtent l="0" t="0" r="1270" b="952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5130" cy="376237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3360" behindDoc="0" locked="0" layoutInCell="1" allowOverlap="1">
            <wp:simplePos x="0" y="0"/>
            <wp:positionH relativeFrom="column">
              <wp:posOffset>-9525</wp:posOffset>
            </wp:positionH>
            <wp:positionV relativeFrom="paragraph">
              <wp:posOffset>20955</wp:posOffset>
            </wp:positionV>
            <wp:extent cx="5480050" cy="6609080"/>
            <wp:effectExtent l="0" t="0" r="6350" b="127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5480050" cy="66090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4384" behindDoc="0" locked="0" layoutInCell="1" allowOverlap="1">
            <wp:simplePos x="0" y="0"/>
            <wp:positionH relativeFrom="column">
              <wp:posOffset>9525</wp:posOffset>
            </wp:positionH>
            <wp:positionV relativeFrom="paragraph">
              <wp:posOffset>11430</wp:posOffset>
            </wp:positionV>
            <wp:extent cx="5479415" cy="4641850"/>
            <wp:effectExtent l="0" t="0" r="6985" b="635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479415" cy="46418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5408" behindDoc="0" locked="0" layoutInCell="1" allowOverlap="1">
            <wp:simplePos x="0" y="0"/>
            <wp:positionH relativeFrom="column">
              <wp:posOffset>-9525</wp:posOffset>
            </wp:positionH>
            <wp:positionV relativeFrom="paragraph">
              <wp:posOffset>179705</wp:posOffset>
            </wp:positionV>
            <wp:extent cx="5481955" cy="1995170"/>
            <wp:effectExtent l="0" t="0" r="4445" b="508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81955" cy="1995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6432" behindDoc="0" locked="0" layoutInCell="1" allowOverlap="1">
            <wp:simplePos x="0" y="0"/>
            <wp:positionH relativeFrom="column">
              <wp:posOffset>9525</wp:posOffset>
            </wp:positionH>
            <wp:positionV relativeFrom="paragraph">
              <wp:posOffset>11430</wp:posOffset>
            </wp:positionV>
            <wp:extent cx="5482590" cy="2462530"/>
            <wp:effectExtent l="0" t="0" r="3810" b="1397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482590" cy="246253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r>
        <w:drawing>
          <wp:anchor distT="0" distB="0" distL="114300" distR="114300" simplePos="0" relativeHeight="251667456" behindDoc="0" locked="0" layoutInCell="1" allowOverlap="1">
            <wp:simplePos x="0" y="0"/>
            <wp:positionH relativeFrom="column">
              <wp:posOffset>0</wp:posOffset>
            </wp:positionH>
            <wp:positionV relativeFrom="paragraph">
              <wp:posOffset>8255</wp:posOffset>
            </wp:positionV>
            <wp:extent cx="5476240" cy="1600200"/>
            <wp:effectExtent l="0" t="0" r="1016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5476240" cy="16002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bookmarkStart w:id="3" w:name="_GoBack"/>
      <w:bookmarkEnd w:id="3"/>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eastAsia" w:ascii="仿宋_GB2312" w:hAnsi="Times New Roman" w:eastAsia="仿宋_GB2312" w:cs="Times New Roman"/>
          <w:sz w:val="32"/>
          <w:szCs w:val="32"/>
          <w:highlight w:val="none"/>
          <w:lang w:val="en-US" w:eastAsia="zh-CN"/>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FD15BF"/>
    <w:rsid w:val="000244AD"/>
    <w:rsid w:val="00107854"/>
    <w:rsid w:val="002053E8"/>
    <w:rsid w:val="0042645B"/>
    <w:rsid w:val="004576C1"/>
    <w:rsid w:val="004C26C9"/>
    <w:rsid w:val="005566E8"/>
    <w:rsid w:val="00556A75"/>
    <w:rsid w:val="005D6E98"/>
    <w:rsid w:val="006157E4"/>
    <w:rsid w:val="00644EED"/>
    <w:rsid w:val="00660682"/>
    <w:rsid w:val="0066281B"/>
    <w:rsid w:val="006F736C"/>
    <w:rsid w:val="00752A51"/>
    <w:rsid w:val="007F2B14"/>
    <w:rsid w:val="008816AA"/>
    <w:rsid w:val="008A6FE7"/>
    <w:rsid w:val="008D6466"/>
    <w:rsid w:val="00A762C8"/>
    <w:rsid w:val="00A9246C"/>
    <w:rsid w:val="00C43C21"/>
    <w:rsid w:val="00C93681"/>
    <w:rsid w:val="00CE2762"/>
    <w:rsid w:val="00CF0270"/>
    <w:rsid w:val="00D574B1"/>
    <w:rsid w:val="00DD58C5"/>
    <w:rsid w:val="00E54DD1"/>
    <w:rsid w:val="00ED1C3C"/>
    <w:rsid w:val="00F21BAF"/>
    <w:rsid w:val="00F90C19"/>
    <w:rsid w:val="00FD15BF"/>
    <w:rsid w:val="00FF10D3"/>
    <w:rsid w:val="026A1FF8"/>
    <w:rsid w:val="046645CC"/>
    <w:rsid w:val="0A0D7520"/>
    <w:rsid w:val="24EE7C5F"/>
    <w:rsid w:val="309018F3"/>
    <w:rsid w:val="36E55D90"/>
    <w:rsid w:val="3F854138"/>
    <w:rsid w:val="41904906"/>
    <w:rsid w:val="50B31D2E"/>
    <w:rsid w:val="542E0488"/>
    <w:rsid w:val="57B45B76"/>
    <w:rsid w:val="64BB5113"/>
    <w:rsid w:val="723F54F7"/>
    <w:rsid w:val="7BC73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5"/>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8"/>
    <w:unhideWhenUsed/>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4"/>
    <w:link w:val="8"/>
    <w:qFormat/>
    <w:uiPriority w:val="99"/>
    <w:rPr>
      <w:sz w:val="18"/>
      <w:szCs w:val="18"/>
    </w:rPr>
  </w:style>
  <w:style w:type="paragraph" w:styleId="26">
    <w:name w:val="List Paragraph"/>
    <w:basedOn w:val="1"/>
    <w:unhideWhenUsed/>
    <w:qFormat/>
    <w:uiPriority w:val="99"/>
    <w:pPr>
      <w:widowControl w:val="0"/>
      <w:spacing w:after="0" w:line="240" w:lineRule="auto"/>
      <w:ind w:firstLine="420" w:firstLineChars="200"/>
      <w:jc w:val="both"/>
    </w:pPr>
    <w:rPr>
      <w:kern w:val="2"/>
      <w:sz w:val="21"/>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1266</Words>
  <Characters>7219</Characters>
  <Lines>60</Lines>
  <Paragraphs>16</Paragraphs>
  <TotalTime>3</TotalTime>
  <ScaleCrop>false</ScaleCrop>
  <LinksUpToDate>false</LinksUpToDate>
  <CharactersWithSpaces>8469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2025-08-14T03:41:00Z</dcterms:created>
  <dc:creator>Administrator</dc:creator>
  <cp:lastModifiedBy>罗丽华</cp:lastModifiedBy>
  <dcterms:modified xsi:type="dcterms:W3CDTF">2025-08-15T05:06:14Z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