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库尔勒市统计局</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(1)依照国家、自治区和自治州的法律、法规、政策和统计调查计划，监督检查统计法律、法规的实施。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(2)执行国家统一的国民经济核算体系、统一指标体系和基本统计制度及国家、自治区的统计标准；组织领导和监督检查全市各部门的统计工作和国民经济核算工作。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(3)会同有关部门组织完成国家、自治区和自治州重大的国情国力、市情市力普查和抽样调查任务。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统一组织协调全市各部门的社会经济调查，汇总、整理全市的基本统计资料；对全市国民经济、科技进步和社会发展等情况进行统计分析、统计预测和统计监督，向库尔勒市党委、政府及有关部门提供统计信息和咨询建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(5)统一核定、管理、公布全市性基本统计资料，定期向社会发布全市国民经济和社会发展情况的统计信息。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(6)按照国家、自治区、自治州和库尔勒市人民政府的要求，健全并管理库尔勒市统计信息自动化系统和统计数据库体系。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(7)协调组织完成国家、自治区、自治州和库尔勒市的城乡社会经济及企业调查任务。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(8)开展好访惠聚访贫问苦为民办实事工作。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(9)承办库尔勒市人民政府交办的其他事项。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库尔勒市统计局2024年度，实有人数35人，其中：在职人员20人，较上年无变化；离休人员0人，较上年无变化；退休人员15人，较上年无变化；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库尔勒市统计局无下属预算单位，</w:t>
      </w:r>
      <w:r>
        <w:rPr>
          <w:rFonts w:hint="eastAsia" w:ascii="仿宋_GB2312" w:eastAsia="仿宋_GB2312"/>
          <w:color w:val="auto"/>
          <w:sz w:val="32"/>
          <w:szCs w:val="32"/>
          <w:highlight w:val="none"/>
          <w:lang w:val="en-US" w:eastAsia="zh-CN"/>
        </w:rPr>
        <w:t>下设3个处室</w:t>
      </w:r>
      <w:r>
        <w:rPr>
          <w:rFonts w:ascii="仿宋_GB2312" w:eastAsia="仿宋_GB2312"/>
          <w:b w:val="0"/>
          <w:sz w:val="32"/>
          <w:szCs w:val="32"/>
        </w:rPr>
        <w:t>，分别是：</w:t>
      </w:r>
      <w:r>
        <w:rPr>
          <w:rFonts w:hint="eastAsia" w:ascii="仿宋_GB2312" w:eastAsia="仿宋_GB2312"/>
          <w:color w:val="auto"/>
          <w:sz w:val="32"/>
          <w:szCs w:val="32"/>
          <w:highlight w:val="none"/>
          <w:lang w:val="en-US" w:eastAsia="zh-CN"/>
        </w:rPr>
        <w:t>办公室、综合业务股和法规股</w:t>
      </w:r>
      <w:r>
        <w:rPr>
          <w:rFonts w:ascii="仿宋_GB2312" w:eastAsia="仿宋_GB2312"/>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2024年度收入总计663.49万元，其中：本年收入合计663.49万元，使用非财政拨款结余（含专用结余）0.00万元，年初结转和结余0.00万元。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2024年度支出总计663.49万元，其中：本年支出合计663.49万元，结余分配0.00万元，年末结转和结余0.00万元。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收入支出总体与上年相比，增加172.40万元，增长35.11%，主要原因是：</w:t>
      </w:r>
      <w:r>
        <w:rPr>
          <w:rFonts w:hint="eastAsia" w:ascii="仿宋_GB2312" w:eastAsia="仿宋_GB2312"/>
          <w:b w:val="0"/>
          <w:sz w:val="32"/>
          <w:szCs w:val="32"/>
        </w:rPr>
        <w:t>本年度增加了第五次全国经济普查项目经费、人口调查经费、统计专项业务经费等</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本年收入663.49万元，其中：财政拨款收入663.49万元,占100.00%；上级补助收入0.00万元,占0.00%；事业收入0.00万元，占0.00%；经营收入0.00万元,占0.00%；附属单位上缴收入0.00万元，占0.00%；其他收入0.00万元，占0.00%。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本年支出663.49万元，其中：基本支出349.33万元，占52.65%；项目支出314.16万元，占47.35%；上缴上级支出0.00万元，占0.00%；经营支出0.00万元，占0.00%；对附属单位补助支出0.00万元，占0.00%。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2024年度财政拨款收入总计663.49万元，其中：年初财政拨款结转和结余0.00万元，本年财政拨款收入663.49万元。财政拨款支出总计663.49万元，其中：年末财政拨款结转和结余0.00万元，本年财政拨款支出663.49万元。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财政拨款收入支出总体与上年相比，增加172.40万元，增长35.11%，主要原因是：</w:t>
      </w:r>
      <w:r>
        <w:rPr>
          <w:rFonts w:hint="eastAsia" w:ascii="仿宋_GB2312" w:eastAsia="仿宋_GB2312"/>
          <w:b w:val="0"/>
          <w:sz w:val="32"/>
          <w:szCs w:val="32"/>
        </w:rPr>
        <w:t>本年度增加了第五次全国经济普查项目经费、人口调查经费、统计专项业务经费等</w:t>
      </w:r>
      <w:r>
        <w:rPr>
          <w:rFonts w:ascii="仿宋_GB2312" w:eastAsia="仿宋_GB2312"/>
          <w:b w:val="0"/>
          <w:sz w:val="32"/>
          <w:szCs w:val="32"/>
        </w:rPr>
        <w:t>。与年初预算相比，年初预算数582.50万元，决算数663.49万元，预决算差异率13.90%，主要原因是：</w:t>
      </w:r>
      <w:r>
        <w:rPr>
          <w:rFonts w:hint="eastAsia" w:ascii="仿宋_GB2312" w:eastAsia="仿宋_GB2312"/>
          <w:b w:val="0"/>
          <w:sz w:val="32"/>
          <w:szCs w:val="32"/>
          <w:lang w:val="en-US" w:eastAsia="zh-CN"/>
        </w:rPr>
        <w:t>年中增加了</w:t>
      </w:r>
      <w:r>
        <w:rPr>
          <w:rFonts w:hint="eastAsia" w:ascii="仿宋_GB2312" w:eastAsia="仿宋_GB2312"/>
          <w:b w:val="0"/>
          <w:sz w:val="32"/>
          <w:szCs w:val="32"/>
        </w:rPr>
        <w:t>人口调查经费、统计专项业务经费等</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2024年度一般公共预算财政拨款支出663.49万元，占本年支出合计的100.00%。与上年相比，增加172.40万元，增长35.11%，主要原因是：</w:t>
      </w:r>
      <w:r>
        <w:rPr>
          <w:rFonts w:hint="eastAsia" w:ascii="仿宋_GB2312" w:eastAsia="仿宋_GB2312"/>
          <w:b w:val="0"/>
          <w:sz w:val="32"/>
          <w:szCs w:val="32"/>
        </w:rPr>
        <w:t>本年度增加了第五次全国经济普查项目经费、人口调查经费、统计专项业务经费等</w:t>
      </w:r>
      <w:r>
        <w:rPr>
          <w:rFonts w:ascii="仿宋_GB2312" w:eastAsia="仿宋_GB2312"/>
          <w:b w:val="0"/>
          <w:sz w:val="32"/>
          <w:szCs w:val="32"/>
        </w:rPr>
        <w:t>。与年初预算相比，年初预算数582.50万元，决算数663.49万元，预决算差异率13.90%，主要原因是：</w:t>
      </w:r>
      <w:r>
        <w:rPr>
          <w:rFonts w:hint="eastAsia" w:ascii="仿宋_GB2312" w:eastAsia="仿宋_GB2312"/>
          <w:b w:val="0"/>
          <w:sz w:val="32"/>
          <w:szCs w:val="32"/>
          <w:lang w:val="en-US" w:eastAsia="zh-CN"/>
        </w:rPr>
        <w:t>年中增加了</w:t>
      </w:r>
      <w:r>
        <w:rPr>
          <w:rFonts w:hint="eastAsia" w:ascii="仿宋_GB2312" w:eastAsia="仿宋_GB2312"/>
          <w:b w:val="0"/>
          <w:sz w:val="32"/>
          <w:szCs w:val="32"/>
        </w:rPr>
        <w:t>人口调查经费、统计专项业务经费等</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一般公共服务支出（类）578.37万元，占87.17%。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社会保障和就业支出（类）42.76万元，占6.44%。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卫生健康支出（类）16.71万元，占2.52%。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住房保障支出（类）25.65万元，占3.87%。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一般公共服务支出（类）统计信息事务（款）行政运行（项）：支出决算数为264.20万元，比上年决算减少33.64万元，下降11.29%，主要原因是：</w:t>
      </w:r>
      <w:r>
        <w:rPr>
          <w:rFonts w:hint="eastAsia" w:ascii="仿宋_GB2312" w:eastAsia="仿宋_GB2312"/>
          <w:b w:val="0"/>
          <w:sz w:val="32"/>
          <w:szCs w:val="32"/>
          <w:lang w:val="en-US" w:eastAsia="zh-CN"/>
        </w:rPr>
        <w:t>1、上年补发2020年下半年绩效奖，导致本年人员经费较上年减少；2、前年受疫情影响办公经费未能及时支付，均在上年支付导致公用经费较上年减少。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一般公共服务支出（类）统计信息事务（款）专项统计业务（项）：支出决算数为3.35万元，比上年决算增加0.47万元，增长16.32%，主要原因是：</w:t>
      </w:r>
      <w:r>
        <w:rPr>
          <w:rFonts w:hint="eastAsia" w:ascii="仿宋_GB2312" w:eastAsia="仿宋_GB2312"/>
          <w:b w:val="0"/>
          <w:sz w:val="32"/>
          <w:szCs w:val="32"/>
        </w:rPr>
        <w:t>本年度增加了统计专项业务经费</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一般公共服务支出（类）统计信息事务（款）专项普查活动（项）：支出决算数为276.94万元，比上年决算增加241.63万元，增长684.31%，主要原因是：</w:t>
      </w:r>
      <w:r>
        <w:rPr>
          <w:rFonts w:hint="eastAsia" w:ascii="仿宋_GB2312" w:eastAsia="仿宋_GB2312"/>
          <w:b w:val="0"/>
          <w:sz w:val="32"/>
          <w:szCs w:val="32"/>
        </w:rPr>
        <w:t>本年度增加了第五次全国经济普查项目经费</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一般公共服务支出（类）统计信息事务（款）统计抽样调查（项）：支出决算数为10.05万元，比上年决算减少9.27万元，下降47.98%，主要原因是：</w:t>
      </w:r>
      <w:r>
        <w:rPr>
          <w:rFonts w:hint="eastAsia" w:ascii="仿宋_GB2312" w:eastAsia="仿宋_GB2312"/>
          <w:b w:val="0"/>
          <w:sz w:val="32"/>
          <w:szCs w:val="32"/>
          <w:lang w:val="en-US" w:eastAsia="zh-CN"/>
        </w:rPr>
        <w:t>本年人口抽样调查经费减少。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一般公共服务支出（类）统计信息事务（款）其他统计信息事务支出（项）：支出决算数为23.82万元，比上年决算增加18.82万元，增长376.40%，主要原因是：</w:t>
      </w:r>
      <w:r>
        <w:rPr>
          <w:rFonts w:hint="eastAsia" w:ascii="仿宋_GB2312" w:eastAsia="仿宋_GB2312"/>
          <w:b w:val="0"/>
          <w:sz w:val="32"/>
          <w:szCs w:val="32"/>
          <w:lang w:val="en-US" w:eastAsia="zh-CN"/>
        </w:rPr>
        <w:t>本年增加城乡居民收支住户调查相关经费。</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教育支出（类）进修及培训（款）培训支出（项）：支出决算数为0.00万元，比上年决算减少1.63万元，下降100.00%，主要原因是：</w:t>
      </w:r>
      <w:r>
        <w:rPr>
          <w:rFonts w:hint="eastAsia" w:ascii="仿宋_GB2312" w:eastAsia="仿宋_GB2312"/>
          <w:b w:val="0"/>
          <w:sz w:val="32"/>
          <w:szCs w:val="32"/>
          <w:lang w:val="en-US" w:eastAsia="zh-CN"/>
        </w:rPr>
        <w:t>本年培训费均列入行政运行科目。</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b w:val="0"/>
          <w:sz w:val="32"/>
          <w:szCs w:val="32"/>
          <w:highlight w:val="none"/>
          <w:lang w:val="en-US" w:eastAsia="zh-CN"/>
        </w:rPr>
      </w:pPr>
      <w:r>
        <w:rPr>
          <w:rFonts w:ascii="仿宋_GB2312" w:eastAsia="仿宋_GB2312"/>
          <w:b w:val="0"/>
          <w:sz w:val="32"/>
          <w:szCs w:val="32"/>
          <w:highlight w:val="none"/>
        </w:rPr>
        <w:t>社会保障和就业支出（类）行政事业单位养老支出（款）行政单位离退休（项）：支出决算数为11.15万元，比上年决算增加2.68万元，增长31.64%，主要原因是：</w:t>
      </w:r>
      <w:r>
        <w:rPr>
          <w:rFonts w:hint="eastAsia" w:ascii="仿宋_GB2312" w:eastAsia="仿宋_GB2312"/>
          <w:b w:val="0"/>
          <w:sz w:val="32"/>
          <w:szCs w:val="32"/>
          <w:highlight w:val="none"/>
          <w:lang w:val="en-US" w:eastAsia="zh-CN"/>
        </w:rPr>
        <w:t>本年退休人员调资。</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社会保障和就业支出（类）行政事业单位养老支出（款）机关事业单位基本养老保险缴费支出（项）：支出决算数为31.61万元，比上年决算减少12.77万元，下降28.77%，主要原因是：</w:t>
      </w:r>
      <w:r>
        <w:rPr>
          <w:rFonts w:hint="eastAsia" w:ascii="仿宋_GB2312" w:eastAsia="仿宋_GB2312"/>
          <w:b w:val="0"/>
          <w:sz w:val="32"/>
          <w:szCs w:val="32"/>
          <w:highlight w:val="none"/>
          <w:lang w:val="en-US" w:eastAsia="zh-CN"/>
        </w:rPr>
        <w:t>前年受疫情影响职工养老保险</w:t>
      </w:r>
      <w:r>
        <w:rPr>
          <w:rFonts w:hint="eastAsia" w:ascii="Times New Roman" w:hAnsi="Times New Roman" w:eastAsia="仿宋_GB2312" w:cs="Times New Roman"/>
          <w:color w:val="auto"/>
          <w:kern w:val="2"/>
          <w:sz w:val="32"/>
          <w:szCs w:val="32"/>
          <w:highlight w:val="none"/>
          <w:lang w:val="zh-CN" w:eastAsia="zh-CN" w:bidi="ar-SA"/>
        </w:rPr>
        <w:t>未能及时支付</w:t>
      </w:r>
      <w:r>
        <w:rPr>
          <w:rFonts w:hint="eastAsia" w:eastAsia="仿宋_GB2312" w:cs="Times New Roman"/>
          <w:color w:val="auto"/>
          <w:kern w:val="2"/>
          <w:sz w:val="32"/>
          <w:szCs w:val="32"/>
          <w:highlight w:val="none"/>
          <w:lang w:val="en-US" w:eastAsia="zh-CN" w:bidi="ar-SA"/>
        </w:rPr>
        <w:t>完毕</w:t>
      </w:r>
      <w:r>
        <w:rPr>
          <w:rFonts w:hint="eastAsia" w:ascii="仿宋_GB2312" w:eastAsia="仿宋_GB2312"/>
          <w:b w:val="0"/>
          <w:sz w:val="32"/>
          <w:szCs w:val="32"/>
          <w:highlight w:val="none"/>
          <w:lang w:val="en-US" w:eastAsia="zh-CN"/>
        </w:rPr>
        <w:t>，上年补缴前年养老保险。</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社会保障和就业支出（类）行政事业单位养老支出（款）机关事业单位职业年金缴费支出（项）：支出决算数为0.00万元，比上年决算减少6.60万元，下降100.00%，主要原因是：</w:t>
      </w:r>
      <w:r>
        <w:rPr>
          <w:rFonts w:hint="eastAsia" w:ascii="仿宋_GB2312" w:eastAsia="仿宋_GB2312"/>
          <w:b w:val="0"/>
          <w:sz w:val="32"/>
          <w:szCs w:val="32"/>
          <w:lang w:val="en-US" w:eastAsia="zh-CN"/>
        </w:rPr>
        <w:t>本年职业年金均列入行政运行科目。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yellow"/>
        </w:rPr>
      </w:pPr>
      <w:r>
        <w:rPr>
          <w:rFonts w:ascii="仿宋_GB2312" w:eastAsia="仿宋_GB2312"/>
          <w:b w:val="0"/>
          <w:sz w:val="32"/>
          <w:szCs w:val="32"/>
          <w:highlight w:val="none"/>
        </w:rPr>
        <w:t>卫生健康支出（类）行政事业单位医疗（款）行政单位医疗（项）：支出决算数为14.39万元，比上年决算减少15.06万元，下降51.14%，主要原因是：</w:t>
      </w:r>
      <w:r>
        <w:rPr>
          <w:rFonts w:hint="eastAsia" w:ascii="仿宋_GB2312" w:eastAsia="仿宋_GB2312"/>
          <w:b w:val="0"/>
          <w:sz w:val="32"/>
          <w:szCs w:val="32"/>
          <w:highlight w:val="none"/>
          <w:lang w:val="en-US" w:eastAsia="zh-CN"/>
        </w:rPr>
        <w:t>前年受疫情影响职工基本医疗及大病</w:t>
      </w:r>
      <w:r>
        <w:rPr>
          <w:rFonts w:hint="eastAsia" w:ascii="Times New Roman" w:hAnsi="Times New Roman" w:eastAsia="仿宋_GB2312" w:cs="Times New Roman"/>
          <w:color w:val="auto"/>
          <w:kern w:val="2"/>
          <w:sz w:val="32"/>
          <w:szCs w:val="32"/>
          <w:highlight w:val="none"/>
          <w:lang w:val="zh-CN" w:eastAsia="zh-CN" w:bidi="ar-SA"/>
        </w:rPr>
        <w:t>未能及时支付</w:t>
      </w:r>
      <w:r>
        <w:rPr>
          <w:rFonts w:hint="eastAsia" w:eastAsia="仿宋_GB2312" w:cs="Times New Roman"/>
          <w:color w:val="auto"/>
          <w:kern w:val="2"/>
          <w:sz w:val="32"/>
          <w:szCs w:val="32"/>
          <w:highlight w:val="none"/>
          <w:lang w:val="en-US" w:eastAsia="zh-CN" w:bidi="ar-SA"/>
        </w:rPr>
        <w:t>完毕</w:t>
      </w:r>
      <w:r>
        <w:rPr>
          <w:rFonts w:hint="eastAsia" w:ascii="仿宋_GB2312" w:eastAsia="仿宋_GB2312"/>
          <w:b w:val="0"/>
          <w:sz w:val="32"/>
          <w:szCs w:val="32"/>
          <w:highlight w:val="none"/>
          <w:lang w:val="en-US" w:eastAsia="zh-CN"/>
        </w:rPr>
        <w:t>，上年补缴前年医疗保险。</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卫生健康支出（类）行政事业单位医疗（款）公务员医疗补助（项）：支出决算数为2.32万元，比上年决算减少2.05万元，下降46.91%，主要原因是：</w:t>
      </w:r>
      <w:r>
        <w:rPr>
          <w:rFonts w:hint="eastAsia" w:ascii="仿宋_GB2312" w:eastAsia="仿宋_GB2312"/>
          <w:b w:val="0"/>
          <w:sz w:val="32"/>
          <w:szCs w:val="32"/>
          <w:highlight w:val="none"/>
          <w:lang w:val="en-US" w:eastAsia="zh-CN"/>
        </w:rPr>
        <w:t>前年受疫情影响公务员医疗</w:t>
      </w:r>
      <w:r>
        <w:rPr>
          <w:rFonts w:hint="eastAsia" w:ascii="Times New Roman" w:hAnsi="Times New Roman" w:eastAsia="仿宋_GB2312" w:cs="Times New Roman"/>
          <w:color w:val="auto"/>
          <w:kern w:val="2"/>
          <w:sz w:val="32"/>
          <w:szCs w:val="32"/>
          <w:highlight w:val="none"/>
          <w:lang w:val="zh-CN" w:eastAsia="zh-CN" w:bidi="ar-SA"/>
        </w:rPr>
        <w:t>未能及时支付</w:t>
      </w:r>
      <w:r>
        <w:rPr>
          <w:rFonts w:hint="eastAsia" w:eastAsia="仿宋_GB2312" w:cs="Times New Roman"/>
          <w:color w:val="auto"/>
          <w:kern w:val="2"/>
          <w:sz w:val="32"/>
          <w:szCs w:val="32"/>
          <w:highlight w:val="none"/>
          <w:lang w:val="en-US" w:eastAsia="zh-CN" w:bidi="ar-SA"/>
        </w:rPr>
        <w:t>完毕</w:t>
      </w:r>
      <w:r>
        <w:rPr>
          <w:rFonts w:hint="eastAsia" w:ascii="仿宋_GB2312" w:eastAsia="仿宋_GB2312"/>
          <w:b w:val="0"/>
          <w:sz w:val="32"/>
          <w:szCs w:val="32"/>
          <w:highlight w:val="none"/>
          <w:lang w:val="en-US" w:eastAsia="zh-CN"/>
        </w:rPr>
        <w:t>，上年补缴前年公务员医疗。</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yellow"/>
        </w:rPr>
      </w:pP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住房保障支出（类）住房改革支出（款）住房公积金（项）：支出决算数为25.65万元，比上年决算减少10.20万元，下降28.45%，主要原因是：</w:t>
      </w:r>
      <w:r>
        <w:rPr>
          <w:rFonts w:hint="eastAsia" w:ascii="仿宋_GB2312" w:eastAsia="仿宋_GB2312"/>
          <w:b w:val="0"/>
          <w:sz w:val="32"/>
          <w:szCs w:val="32"/>
          <w:highlight w:val="none"/>
          <w:lang w:val="en-US" w:eastAsia="zh-CN"/>
        </w:rPr>
        <w:t>前年受疫情影响住房公积金</w:t>
      </w:r>
      <w:r>
        <w:rPr>
          <w:rFonts w:hint="eastAsia" w:ascii="Times New Roman" w:hAnsi="Times New Roman" w:eastAsia="仿宋_GB2312" w:cs="Times New Roman"/>
          <w:color w:val="auto"/>
          <w:kern w:val="2"/>
          <w:sz w:val="32"/>
          <w:szCs w:val="32"/>
          <w:highlight w:val="none"/>
          <w:lang w:val="zh-CN" w:eastAsia="zh-CN" w:bidi="ar-SA"/>
        </w:rPr>
        <w:t>未能及时支付</w:t>
      </w:r>
      <w:r>
        <w:rPr>
          <w:rFonts w:hint="eastAsia" w:eastAsia="仿宋_GB2312" w:cs="Times New Roman"/>
          <w:color w:val="auto"/>
          <w:kern w:val="2"/>
          <w:sz w:val="32"/>
          <w:szCs w:val="32"/>
          <w:highlight w:val="none"/>
          <w:lang w:val="en-US" w:eastAsia="zh-CN" w:bidi="ar-SA"/>
        </w:rPr>
        <w:t>完毕</w:t>
      </w:r>
      <w:r>
        <w:rPr>
          <w:rFonts w:hint="eastAsia" w:ascii="仿宋_GB2312" w:eastAsia="仿宋_GB2312"/>
          <w:b w:val="0"/>
          <w:sz w:val="32"/>
          <w:szCs w:val="32"/>
          <w:highlight w:val="none"/>
          <w:lang w:val="en-US" w:eastAsia="zh-CN"/>
        </w:rPr>
        <w:t>，上年补缴前年住房公积金。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349.33万元，其中：人员经费334.09万元，包括：基本工资、津贴补贴、奖金、机关事业单位基本养老保险缴费、职工基本医疗保险缴费、公务员医疗补助缴费、其他社会保障缴费、住房公积金、其他工资福利支出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公用经费15.24万元，包括：办公费、邮电费、物业管理费、差旅费、维修（护）费、培训费、工会经费、福利费、公务用车运行维护费和其他交通费用。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2024年度财政拨款“三公”经费支出1.80万元，与上年相比无变化，</w:t>
      </w:r>
      <w:r>
        <w:rPr>
          <w:rFonts w:hint="eastAsia" w:ascii="仿宋_GB2312" w:eastAsia="仿宋_GB2312"/>
          <w:b w:val="0"/>
          <w:sz w:val="32"/>
          <w:szCs w:val="32"/>
        </w:rPr>
        <w:t>主要原因是：严格控制三公经费，厉行节约，与上年一致无变化。其中：因公出国（境）费支出0.00万元，占0.00%，比上年增加0.00万元，增长0.00%,主要原因是：我单位无因公出国（境）费；公务用车购置及运行维护费支出1.80万元，占100.00%，比上年增加0.00万元，增长0.00%,主要原因是：严格控制三公经费，厉行节约，与上年一致无变化；公务接待费支出0.00万元，占0.00%，比上年增加0.00万元，增长0.00%,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因公出国（境）费支出0.00万元，开支内容包括本年度未安排因公出国（境）费支出，无开支内容。单位全年安排的因公出国（境）团组0个，因公出国（境）0人次。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公务用车购置及运行维护费1.80万元，其中：公务用车购置费0.00万元，公务用车运行维护费1.80万元。公务用车运行维护费开支内容包括车辆充电费（租用电动汽车）。公务用车购置数0辆，公务用车保有量1辆。国有资产占用情况中固定资产车辆1辆，与公务用车保有量差异原因是：国有资产占用情况中固定资产车辆与公务用车保有量一致，无差异。</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公务接待费0.00万元，开支内容包括本年度未安排公务接待费支出，无开支内容。单位全年安排的国内公务接待0批次，0人次。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rPr>
        <w:t>与全年预算相比,财政拨款“三公”经费支出全年预算数1.80万元，决算数1.80万元，预决算差异率0.00%，主要原因是：严格控制三公经费，厉行节约。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费全年预算数1.80万元，决算数1.80万元，预决算差异率0.00%，主要原因是：严格控制三公经费，厉行节约；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2024年度库尔勒市统计局单位机关运行经费支出15.24万元，比上年减少2.60万元，下降14.57%，主要原因是：</w:t>
      </w:r>
      <w:r>
        <w:rPr>
          <w:rFonts w:hint="eastAsia" w:ascii="仿宋_GB2312" w:eastAsia="仿宋_GB2312"/>
          <w:b w:val="0"/>
          <w:sz w:val="32"/>
          <w:szCs w:val="32"/>
        </w:rPr>
        <w:t>前年受疫情影响办公经费未能及时支付，均在上年支付导致公用经费较上年减少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2024年度政府采购支出总额3.84万元，其中：政府采购货物支出0.00万元、政府采购工程支出0.00万元、政府采购服务支出3.84万元。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授予中小企业合同金额3.84万元，占政府采购支出总额的100.00%，其中：授予小微企业合同金额1.73万元，占政府采购支出总额的45.05%。</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20.82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b w:val="0"/>
          <w:sz w:val="32"/>
          <w:szCs w:val="32"/>
          <w:lang w:val="en-US" w:eastAsia="zh-CN"/>
        </w:rPr>
        <w:t>租用电动汽车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663.49</w:t>
      </w:r>
      <w:r>
        <w:rPr>
          <w:rFonts w:ascii="仿宋_GB2312" w:eastAsia="仿宋_GB2312"/>
          <w:b w:val="0"/>
          <w:sz w:val="32"/>
          <w:szCs w:val="32"/>
        </w:rPr>
        <w:t>万元，实际执行总额</w:t>
      </w:r>
      <w:r>
        <w:rPr>
          <w:rFonts w:hint="eastAsia" w:ascii="仿宋_GB2312" w:eastAsia="仿宋_GB2312"/>
          <w:b w:val="0"/>
          <w:sz w:val="32"/>
          <w:szCs w:val="32"/>
          <w:lang w:val="en-US" w:eastAsia="zh-CN"/>
        </w:rPr>
        <w:t>663.49</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6</w:t>
      </w:r>
      <w:r>
        <w:rPr>
          <w:rFonts w:ascii="仿宋_GB2312" w:eastAsia="仿宋_GB2312"/>
          <w:b w:val="0"/>
          <w:sz w:val="32"/>
          <w:szCs w:val="32"/>
        </w:rPr>
        <w:t>个，全年预算数</w:t>
      </w:r>
      <w:r>
        <w:rPr>
          <w:rFonts w:hint="eastAsia" w:ascii="仿宋_GB2312" w:eastAsia="仿宋_GB2312"/>
          <w:b w:val="0"/>
          <w:sz w:val="32"/>
          <w:szCs w:val="32"/>
          <w:lang w:val="en-US" w:eastAsia="zh-CN"/>
        </w:rPr>
        <w:t>446.18</w:t>
      </w:r>
      <w:r>
        <w:rPr>
          <w:rFonts w:ascii="仿宋_GB2312" w:eastAsia="仿宋_GB2312"/>
          <w:b w:val="0"/>
          <w:sz w:val="32"/>
          <w:szCs w:val="32"/>
        </w:rPr>
        <w:t>万元，全年执行数</w:t>
      </w:r>
      <w:r>
        <w:rPr>
          <w:rFonts w:hint="eastAsia" w:ascii="仿宋_GB2312" w:eastAsia="仿宋_GB2312"/>
          <w:b w:val="0"/>
          <w:sz w:val="32"/>
          <w:szCs w:val="32"/>
          <w:lang w:val="en-US" w:eastAsia="zh-CN"/>
        </w:rPr>
        <w:t>290.34</w:t>
      </w:r>
      <w:r>
        <w:rPr>
          <w:rFonts w:ascii="仿宋_GB2312" w:eastAsia="仿宋_GB2312"/>
          <w:b w:val="0"/>
          <w:sz w:val="32"/>
          <w:szCs w:val="32"/>
        </w:rPr>
        <w:t>万元。</w:t>
      </w:r>
      <w:r>
        <w:rPr>
          <w:rFonts w:hint="eastAsia" w:ascii="仿宋_GB2312" w:eastAsia="仿宋_GB2312"/>
          <w:b w:val="0"/>
          <w:sz w:val="32"/>
          <w:szCs w:val="32"/>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bidi w:val="0"/>
        <w:rPr>
          <w:sz w:val="21"/>
          <w:szCs w:val="22"/>
        </w:rPr>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tabs>
          <w:tab w:val="left" w:pos="2723"/>
        </w:tabs>
        <w:bidi w:val="0"/>
        <w:jc w:val="left"/>
        <w:rPr>
          <w:rFonts w:hint="eastAsia"/>
          <w:lang w:eastAsia="zh-CN"/>
        </w:rPr>
      </w:pPr>
      <w:r>
        <w:rPr>
          <w:rFonts w:hint="eastAsia"/>
          <w:lang w:eastAsia="zh-CN"/>
        </w:rPr>
        <w:tab/>
      </w: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r>
        <w:drawing>
          <wp:anchor distT="0" distB="0" distL="114300" distR="114300" simplePos="0" relativeHeight="251659264" behindDoc="0" locked="0" layoutInCell="1" allowOverlap="1">
            <wp:simplePos x="0" y="0"/>
            <wp:positionH relativeFrom="column">
              <wp:posOffset>-447675</wp:posOffset>
            </wp:positionH>
            <wp:positionV relativeFrom="paragraph">
              <wp:posOffset>0</wp:posOffset>
            </wp:positionV>
            <wp:extent cx="6600190" cy="7811770"/>
            <wp:effectExtent l="0" t="0" r="10160" b="1778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600190" cy="7811770"/>
                    </a:xfrm>
                    <a:prstGeom prst="rect">
                      <a:avLst/>
                    </a:prstGeom>
                    <a:noFill/>
                    <a:ln>
                      <a:noFill/>
                    </a:ln>
                  </pic:spPr>
                </pic:pic>
              </a:graphicData>
            </a:graphic>
          </wp:anchor>
        </w:drawing>
      </w: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r>
        <w:drawing>
          <wp:anchor distT="0" distB="0" distL="114300" distR="114300" simplePos="0" relativeHeight="251660288" behindDoc="0" locked="0" layoutInCell="1" allowOverlap="1">
            <wp:simplePos x="0" y="0"/>
            <wp:positionH relativeFrom="column">
              <wp:posOffset>-457200</wp:posOffset>
            </wp:positionH>
            <wp:positionV relativeFrom="paragraph">
              <wp:posOffset>9525</wp:posOffset>
            </wp:positionV>
            <wp:extent cx="6520180" cy="6978650"/>
            <wp:effectExtent l="0" t="0" r="13970" b="1270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520180" cy="6978650"/>
                    </a:xfrm>
                    <a:prstGeom prst="rect">
                      <a:avLst/>
                    </a:prstGeom>
                    <a:noFill/>
                    <a:ln>
                      <a:noFill/>
                    </a:ln>
                  </pic:spPr>
                </pic:pic>
              </a:graphicData>
            </a:graphic>
          </wp:anchor>
        </w:drawing>
      </w: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r>
        <w:drawing>
          <wp:anchor distT="0" distB="0" distL="114300" distR="114300" simplePos="0" relativeHeight="251661312" behindDoc="0" locked="0" layoutInCell="1" allowOverlap="1">
            <wp:simplePos x="0" y="0"/>
            <wp:positionH relativeFrom="column">
              <wp:posOffset>-514350</wp:posOffset>
            </wp:positionH>
            <wp:positionV relativeFrom="paragraph">
              <wp:posOffset>29210</wp:posOffset>
            </wp:positionV>
            <wp:extent cx="6504305" cy="6791960"/>
            <wp:effectExtent l="0" t="0" r="10795" b="889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504305" cy="6791960"/>
                    </a:xfrm>
                    <a:prstGeom prst="rect">
                      <a:avLst/>
                    </a:prstGeom>
                    <a:noFill/>
                    <a:ln>
                      <a:noFill/>
                    </a:ln>
                  </pic:spPr>
                </pic:pic>
              </a:graphicData>
            </a:graphic>
          </wp:anchor>
        </w:drawing>
      </w: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tabs>
          <w:tab w:val="left" w:pos="2723"/>
        </w:tabs>
        <w:bidi w:val="0"/>
        <w:jc w:val="left"/>
        <w:rPr>
          <w:rFonts w:hint="eastAsia"/>
          <w:lang w:eastAsia="zh-CN"/>
        </w:rPr>
      </w:pPr>
    </w:p>
    <w:p>
      <w:pPr>
        <w:bidi w:val="0"/>
        <w:rPr>
          <w:rFonts w:hint="eastAsia"/>
          <w:sz w:val="21"/>
          <w:szCs w:val="22"/>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tabs>
          <w:tab w:val="left" w:pos="3083"/>
        </w:tabs>
        <w:bidi w:val="0"/>
        <w:jc w:val="left"/>
        <w:rPr>
          <w:rFonts w:hint="eastAsia"/>
          <w:lang w:eastAsia="zh-CN"/>
        </w:rPr>
      </w:pPr>
      <w:r>
        <w:rPr>
          <w:rFonts w:hint="eastAsia"/>
          <w:lang w:eastAsia="zh-CN"/>
        </w:rPr>
        <w:tab/>
      </w: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bookmarkStart w:id="0" w:name="_GoBack"/>
      <w:r>
        <w:drawing>
          <wp:anchor distT="0" distB="0" distL="114300" distR="114300" simplePos="0" relativeHeight="251662336" behindDoc="0" locked="0" layoutInCell="1" allowOverlap="1">
            <wp:simplePos x="0" y="0"/>
            <wp:positionH relativeFrom="column">
              <wp:posOffset>-428625</wp:posOffset>
            </wp:positionH>
            <wp:positionV relativeFrom="paragraph">
              <wp:posOffset>28575</wp:posOffset>
            </wp:positionV>
            <wp:extent cx="6520180" cy="7886700"/>
            <wp:effectExtent l="0" t="0" r="1397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6520180" cy="7886700"/>
                    </a:xfrm>
                    <a:prstGeom prst="rect">
                      <a:avLst/>
                    </a:prstGeom>
                    <a:noFill/>
                    <a:ln>
                      <a:noFill/>
                    </a:ln>
                  </pic:spPr>
                </pic:pic>
              </a:graphicData>
            </a:graphic>
          </wp:anchor>
        </w:drawing>
      </w:r>
      <w:bookmarkEnd w:id="0"/>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r>
        <w:drawing>
          <wp:anchor distT="0" distB="0" distL="114300" distR="114300" simplePos="0" relativeHeight="251663360" behindDoc="0" locked="0" layoutInCell="1" allowOverlap="1">
            <wp:simplePos x="0" y="0"/>
            <wp:positionH relativeFrom="column">
              <wp:posOffset>-457200</wp:posOffset>
            </wp:positionH>
            <wp:positionV relativeFrom="paragraph">
              <wp:posOffset>19050</wp:posOffset>
            </wp:positionV>
            <wp:extent cx="6626860" cy="7209155"/>
            <wp:effectExtent l="0" t="0" r="2540" b="1079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6626860" cy="7209155"/>
                    </a:xfrm>
                    <a:prstGeom prst="rect">
                      <a:avLst/>
                    </a:prstGeom>
                    <a:noFill/>
                    <a:ln>
                      <a:noFill/>
                    </a:ln>
                  </pic:spPr>
                </pic:pic>
              </a:graphicData>
            </a:graphic>
          </wp:anchor>
        </w:drawing>
      </w: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r>
        <w:drawing>
          <wp:anchor distT="0" distB="0" distL="114300" distR="114300" simplePos="0" relativeHeight="251664384" behindDoc="0" locked="0" layoutInCell="1" allowOverlap="1">
            <wp:simplePos x="0" y="0"/>
            <wp:positionH relativeFrom="column">
              <wp:posOffset>-561975</wp:posOffset>
            </wp:positionH>
            <wp:positionV relativeFrom="paragraph">
              <wp:posOffset>-9525</wp:posOffset>
            </wp:positionV>
            <wp:extent cx="6873875" cy="7927340"/>
            <wp:effectExtent l="0" t="0" r="3175" b="1651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6873875" cy="7927340"/>
                    </a:xfrm>
                    <a:prstGeom prst="rect">
                      <a:avLst/>
                    </a:prstGeom>
                    <a:noFill/>
                    <a:ln>
                      <a:noFill/>
                    </a:ln>
                  </pic:spPr>
                </pic:pic>
              </a:graphicData>
            </a:graphic>
          </wp:anchor>
        </w:drawing>
      </w: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r>
        <w:drawing>
          <wp:anchor distT="0" distB="0" distL="114300" distR="114300" simplePos="0" relativeHeight="251665408" behindDoc="0" locked="0" layoutInCell="1" allowOverlap="1">
            <wp:simplePos x="0" y="0"/>
            <wp:positionH relativeFrom="column">
              <wp:posOffset>-361950</wp:posOffset>
            </wp:positionH>
            <wp:positionV relativeFrom="paragraph">
              <wp:posOffset>28575</wp:posOffset>
            </wp:positionV>
            <wp:extent cx="6352540" cy="4173855"/>
            <wp:effectExtent l="0" t="0" r="10160" b="1714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6352540" cy="4173855"/>
                    </a:xfrm>
                    <a:prstGeom prst="rect">
                      <a:avLst/>
                    </a:prstGeom>
                    <a:noFill/>
                    <a:ln>
                      <a:noFill/>
                    </a:ln>
                  </pic:spPr>
                </pic:pic>
              </a:graphicData>
            </a:graphic>
          </wp:anchor>
        </w:drawing>
      </w: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tabs>
          <w:tab w:val="left" w:pos="3083"/>
        </w:tabs>
        <w:bidi w:val="0"/>
        <w:jc w:val="left"/>
        <w:rPr>
          <w:rFonts w:hint="eastAsia"/>
          <w:lang w:eastAsia="zh-CN"/>
        </w:rPr>
      </w:pPr>
    </w:p>
    <w:p>
      <w:pPr>
        <w:bidi w:val="0"/>
        <w:rPr>
          <w:rFonts w:hint="eastAsia"/>
          <w:sz w:val="21"/>
          <w:szCs w:val="22"/>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tabs>
          <w:tab w:val="left" w:pos="3638"/>
        </w:tabs>
        <w:bidi w:val="0"/>
        <w:jc w:val="left"/>
        <w:rPr>
          <w:rFonts w:hint="eastAsia"/>
          <w:lang w:eastAsia="zh-CN"/>
        </w:rPr>
      </w:pPr>
      <w:r>
        <w:rPr>
          <w:rFonts w:hint="eastAsia"/>
          <w:lang w:eastAsia="zh-CN"/>
        </w:rPr>
        <w:tab/>
      </w: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r>
        <w:drawing>
          <wp:anchor distT="0" distB="0" distL="114300" distR="114300" simplePos="0" relativeHeight="251666432" behindDoc="0" locked="0" layoutInCell="1" allowOverlap="1">
            <wp:simplePos x="0" y="0"/>
            <wp:positionH relativeFrom="column">
              <wp:posOffset>-476250</wp:posOffset>
            </wp:positionH>
            <wp:positionV relativeFrom="paragraph">
              <wp:posOffset>19050</wp:posOffset>
            </wp:positionV>
            <wp:extent cx="6863080" cy="4238625"/>
            <wp:effectExtent l="0" t="0" r="13970" b="952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6863080" cy="4238625"/>
                    </a:xfrm>
                    <a:prstGeom prst="rect">
                      <a:avLst/>
                    </a:prstGeom>
                    <a:noFill/>
                    <a:ln>
                      <a:noFill/>
                    </a:ln>
                  </pic:spPr>
                </pic:pic>
              </a:graphicData>
            </a:graphic>
          </wp:anchor>
        </w:drawing>
      </w: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r>
        <w:drawing>
          <wp:anchor distT="0" distB="0" distL="114300" distR="114300" simplePos="0" relativeHeight="251667456" behindDoc="0" locked="0" layoutInCell="1" allowOverlap="1">
            <wp:simplePos x="0" y="0"/>
            <wp:positionH relativeFrom="column">
              <wp:posOffset>-352425</wp:posOffset>
            </wp:positionH>
            <wp:positionV relativeFrom="paragraph">
              <wp:posOffset>19050</wp:posOffset>
            </wp:positionV>
            <wp:extent cx="6294755" cy="4888230"/>
            <wp:effectExtent l="0" t="0" r="10795" b="762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6294755" cy="4888230"/>
                    </a:xfrm>
                    <a:prstGeom prst="rect">
                      <a:avLst/>
                    </a:prstGeom>
                    <a:noFill/>
                    <a:ln>
                      <a:noFill/>
                    </a:ln>
                  </pic:spPr>
                </pic:pic>
              </a:graphicData>
            </a:graphic>
          </wp:anchor>
        </w:drawing>
      </w: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p>
      <w:pPr>
        <w:tabs>
          <w:tab w:val="left" w:pos="3638"/>
        </w:tabs>
        <w:bidi w:val="0"/>
        <w:jc w:val="left"/>
        <w:rPr>
          <w:rFonts w:hint="eastAsia"/>
          <w:lang w:eastAsia="zh-CN"/>
        </w:rPr>
      </w:pP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4B01173"/>
    <w:rsid w:val="18AB6948"/>
    <w:rsid w:val="1EBF112B"/>
    <w:rsid w:val="216A0F37"/>
    <w:rsid w:val="259426CB"/>
    <w:rsid w:val="2BAA4741"/>
    <w:rsid w:val="42D21D6D"/>
    <w:rsid w:val="57AE283B"/>
    <w:rsid w:val="58341B8F"/>
    <w:rsid w:val="635D4F11"/>
    <w:rsid w:val="71152F1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2025-08-14T02:13:00Z</dcterms:created>
  <dc:creator>Administrator</dc:creator>
  <cp:lastModifiedBy>Administrator</cp:lastModifiedBy>
  <dcterms:modified xsi:type="dcterms:W3CDTF">2025-08-20T04:50:39Z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