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pacing w:line="560" w:lineRule="exact"/>
        <w:ind w:firstLine="640" w:firstLineChars="200"/>
        <w:jc w:val="left"/>
        <w:textAlignment w:val="auto"/>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keepNext w:val="0"/>
        <w:keepLines w:val="0"/>
        <w:pageBreakBefore w:val="0"/>
        <w:kinsoku/>
        <w:wordWrap/>
        <w:overflowPunct/>
        <w:topLinePunct w:val="0"/>
        <w:autoSpaceDE/>
        <w:autoSpaceDN/>
        <w:bidi w:val="0"/>
        <w:adjustRightInd/>
        <w:spacing w:line="560" w:lineRule="exact"/>
        <w:ind w:firstLine="964" w:firstLineChars="200"/>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ind w:firstLine="964" w:firstLineChars="200"/>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ind w:firstLine="964" w:firstLineChars="200"/>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ind w:firstLine="964" w:firstLineChars="200"/>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ind w:firstLine="964" w:firstLineChars="200"/>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ind w:firstLine="964" w:firstLineChars="200"/>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ind w:firstLine="964" w:firstLineChars="200"/>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keepNext w:val="0"/>
        <w:keepLines w:val="0"/>
        <w:pageBreakBefore w:val="0"/>
        <w:kinsoku/>
        <w:wordWrap/>
        <w:overflowPunct/>
        <w:topLinePunct w:val="0"/>
        <w:autoSpaceDE/>
        <w:autoSpaceDN/>
        <w:bidi w:val="0"/>
        <w:adjustRightInd/>
        <w:spacing w:line="560" w:lineRule="exact"/>
        <w:ind w:firstLine="964" w:firstLineChars="200"/>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keepNext w:val="0"/>
        <w:keepLines w:val="0"/>
        <w:pageBreakBefore w:val="0"/>
        <w:kinsoku/>
        <w:wordWrap/>
        <w:overflowPunct/>
        <w:topLinePunct w:val="0"/>
        <w:autoSpaceDE/>
        <w:autoSpaceDN/>
        <w:bidi w:val="0"/>
        <w:adjustRightInd/>
        <w:spacing w:line="560" w:lineRule="exact"/>
        <w:ind w:firstLine="1044"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pacing w:line="560" w:lineRule="exact"/>
        <w:ind w:firstLine="720" w:firstLineChars="200"/>
        <w:jc w:val="center"/>
        <w:textAlignment w:val="auto"/>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keepNext w:val="0"/>
        <w:keepLines w:val="0"/>
        <w:pageBreakBefore w:val="0"/>
        <w:kinsoku/>
        <w:wordWrap/>
        <w:overflowPunct/>
        <w:topLinePunct w:val="0"/>
        <w:autoSpaceDE/>
        <w:autoSpaceDN/>
        <w:bidi w:val="0"/>
        <w:adjustRightInd/>
        <w:spacing w:line="560" w:lineRule="exact"/>
        <w:ind w:firstLine="720" w:firstLineChars="200"/>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720" w:firstLineChars="200"/>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720" w:firstLineChars="200"/>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720" w:firstLineChars="200"/>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720" w:firstLineChars="200"/>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720" w:firstLineChars="200"/>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720" w:firstLineChars="200"/>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720" w:firstLineChars="200"/>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720" w:firstLineChars="200"/>
        <w:textAlignment w:val="auto"/>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库尔勒市红十字会</w:t>
      </w:r>
    </w:p>
    <w:p>
      <w:pPr>
        <w:keepNext w:val="0"/>
        <w:keepLines w:val="0"/>
        <w:pageBreakBefore w:val="0"/>
        <w:kinsoku/>
        <w:wordWrap/>
        <w:overflowPunct/>
        <w:topLinePunct w:val="0"/>
        <w:autoSpaceDE/>
        <w:autoSpaceDN/>
        <w:bidi w:val="0"/>
        <w:adjustRightInd/>
        <w:spacing w:line="560" w:lineRule="exact"/>
        <w:ind w:firstLine="720" w:firstLineChars="200"/>
        <w:textAlignment w:val="auto"/>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keepNext w:val="0"/>
        <w:keepLines w:val="0"/>
        <w:pageBreakBefore w:val="0"/>
        <w:kinsoku/>
        <w:wordWrap/>
        <w:overflowPunct/>
        <w:topLinePunct w:val="0"/>
        <w:autoSpaceDE/>
        <w:autoSpaceDN/>
        <w:bidi w:val="0"/>
        <w:adjustRightInd/>
        <w:spacing w:line="560" w:lineRule="exact"/>
        <w:ind w:firstLine="720" w:firstLineChars="200"/>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720" w:firstLineChars="200"/>
        <w:jc w:val="left"/>
        <w:textAlignment w:val="auto"/>
        <w:rPr>
          <w:rFonts w:hAnsi="宋体" w:eastAsia="仿宋_GB2312" w:cs="宋体"/>
          <w:kern w:val="0"/>
          <w:sz w:val="36"/>
          <w:szCs w:val="36"/>
        </w:rPr>
      </w:pPr>
    </w:p>
    <w:p>
      <w:pPr>
        <w:keepNext w:val="0"/>
        <w:keepLines w:val="0"/>
        <w:pageBreakBefore w:val="0"/>
        <w:numPr>
          <w:numId w:val="0"/>
        </w:numPr>
        <w:kinsoku/>
        <w:wordWrap/>
        <w:overflowPunct/>
        <w:topLinePunct w:val="0"/>
        <w:autoSpaceDE/>
        <w:autoSpaceDN/>
        <w:bidi w:val="0"/>
        <w:adjustRightInd/>
        <w:snapToGrid w:val="0"/>
        <w:spacing w:line="560" w:lineRule="exact"/>
        <w:ind w:left="2940" w:leftChars="0"/>
        <w:textAlignment w:val="auto"/>
        <w:rPr>
          <w:rFonts w:ascii="黑体" w:hAnsi="黑体" w:eastAsia="黑体" w:cs="宋体"/>
          <w:b/>
          <w:color w:val="000000" w:themeColor="text1"/>
          <w:sz w:val="32"/>
          <w:szCs w:val="32"/>
          <w:lang w:bidi="ar"/>
          <w14:textFill>
            <w14:solidFill>
              <w14:schemeClr w14:val="tx1"/>
            </w14:solidFill>
          </w14:textFill>
        </w:rPr>
      </w:pPr>
    </w:p>
    <w:p>
      <w:pPr>
        <w:keepNext w:val="0"/>
        <w:keepLines w:val="0"/>
        <w:pageBreakBefore w:val="0"/>
        <w:numPr>
          <w:numId w:val="0"/>
        </w:numPr>
        <w:kinsoku/>
        <w:wordWrap/>
        <w:overflowPunct/>
        <w:topLinePunct w:val="0"/>
        <w:autoSpaceDE/>
        <w:autoSpaceDN/>
        <w:bidi w:val="0"/>
        <w:adjustRightInd/>
        <w:snapToGrid w:val="0"/>
        <w:spacing w:line="560" w:lineRule="exact"/>
        <w:ind w:leftChars="200"/>
        <w:jc w:val="center"/>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一、</w:t>
      </w:r>
      <w:r>
        <w:rPr>
          <w:rFonts w:hint="eastAsia" w:ascii="黑体" w:hAnsi="黑体" w:eastAsia="黑体" w:cs="宋体"/>
          <w:b/>
          <w:color w:val="000000" w:themeColor="text1"/>
          <w:sz w:val="32"/>
          <w:szCs w:val="32"/>
          <w:lang w:bidi="ar"/>
          <w14:textFill>
            <w14:solidFill>
              <w14:schemeClr w14:val="tx1"/>
            </w14:solidFill>
          </w14:textFill>
        </w:rPr>
        <w:t>基本概况：</w:t>
      </w:r>
    </w:p>
    <w:p>
      <w:pPr>
        <w:keepNext w:val="0"/>
        <w:keepLines w:val="0"/>
        <w:pageBreakBefore w:val="0"/>
        <w:kinsoku/>
        <w:wordWrap/>
        <w:overflowPunct/>
        <w:topLinePunct w:val="0"/>
        <w:autoSpaceDE/>
        <w:autoSpaceDN/>
        <w:bidi w:val="0"/>
        <w:adjustRightInd/>
        <w:spacing w:line="560" w:lineRule="exact"/>
        <w:jc w:val="left"/>
        <w:textAlignment w:val="auto"/>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1.主要职能</w:t>
      </w:r>
      <w:r>
        <w:rPr>
          <w:rFonts w:hint="eastAsia" w:ascii="仿宋_GB2312" w:hAnsi="宋体" w:eastAsia="仿宋_GB2312"/>
          <w:bCs/>
          <w:sz w:val="32"/>
          <w:szCs w:val="32"/>
        </w:rPr>
        <w:br w:type="textWrapping"/>
      </w:r>
      <w:r>
        <w:rPr>
          <w:rFonts w:hint="eastAsia" w:ascii="仿宋_GB2312" w:hAnsi="宋体" w:eastAsia="仿宋_GB2312"/>
          <w:bCs/>
          <w:sz w:val="32"/>
          <w:szCs w:val="32"/>
        </w:rPr>
        <w:t>（1）开展救援、救灾的相关工作，建立红十字应急救援体系。在战争、武装冲突和自然灾害、事故灾难、公共卫生事件等突发事件中，对伤病人员和其他受害者提供紧急救援和人道救助。</w:t>
      </w:r>
      <w:r>
        <w:rPr>
          <w:rFonts w:hint="eastAsia" w:ascii="仿宋_GB2312" w:hAnsi="宋体" w:eastAsia="仿宋_GB2312"/>
          <w:bCs/>
          <w:sz w:val="32"/>
          <w:szCs w:val="32"/>
        </w:rPr>
        <w:br w:type="textWrapping"/>
      </w:r>
      <w:r>
        <w:rPr>
          <w:rFonts w:hint="eastAsia" w:ascii="仿宋_GB2312" w:hAnsi="宋体" w:eastAsia="仿宋_GB2312"/>
          <w:bCs/>
          <w:sz w:val="32"/>
          <w:szCs w:val="32"/>
        </w:rPr>
        <w:t>（2）开展应急救护培训，普及应急救护、防灾避险和卫生健康知识，组织志愿者参与现场救护。</w:t>
      </w:r>
      <w:r>
        <w:rPr>
          <w:rFonts w:hint="eastAsia" w:ascii="仿宋_GB2312" w:hAnsi="宋体" w:eastAsia="仿宋_GB2312"/>
          <w:bCs/>
          <w:sz w:val="32"/>
          <w:szCs w:val="32"/>
        </w:rPr>
        <w:br w:type="textWrapping"/>
      </w:r>
      <w:r>
        <w:rPr>
          <w:rFonts w:hint="eastAsia" w:ascii="仿宋_GB2312" w:hAnsi="宋体" w:eastAsia="仿宋_GB2312"/>
          <w:bCs/>
          <w:sz w:val="32"/>
          <w:szCs w:val="32"/>
        </w:rPr>
        <w:t>（3）参与、推动无偿献血、遗体和人体器官捐献工作，参与开展造血干细胞捐献的相关工作。</w:t>
      </w:r>
      <w:r>
        <w:rPr>
          <w:rFonts w:hint="eastAsia" w:ascii="仿宋_GB2312" w:hAnsi="宋体" w:eastAsia="仿宋_GB2312"/>
          <w:bCs/>
          <w:sz w:val="32"/>
          <w:szCs w:val="32"/>
        </w:rPr>
        <w:br w:type="textWrapping"/>
      </w:r>
      <w:r>
        <w:rPr>
          <w:rFonts w:hint="eastAsia" w:ascii="仿宋_GB2312" w:hAnsi="宋体" w:eastAsia="仿宋_GB2312"/>
          <w:bCs/>
          <w:sz w:val="32"/>
          <w:szCs w:val="32"/>
        </w:rPr>
        <w:t>（4）组织开展红十字志愿服务、红十字青少年工作。</w:t>
      </w:r>
      <w:r>
        <w:rPr>
          <w:rFonts w:hint="eastAsia" w:ascii="仿宋_GB2312" w:hAnsi="宋体" w:eastAsia="仿宋_GB2312"/>
          <w:bCs/>
          <w:sz w:val="32"/>
          <w:szCs w:val="32"/>
        </w:rPr>
        <w:br w:type="textWrapping"/>
      </w:r>
      <w:r>
        <w:rPr>
          <w:rFonts w:hint="eastAsia" w:ascii="仿宋_GB2312" w:hAnsi="宋体" w:eastAsia="仿宋_GB2312"/>
          <w:bCs/>
          <w:sz w:val="32"/>
          <w:szCs w:val="32"/>
        </w:rPr>
        <w:t>（5）参加国际人道主义救援工作。</w:t>
      </w:r>
      <w:r>
        <w:rPr>
          <w:rFonts w:hint="eastAsia" w:ascii="仿宋_GB2312" w:hAnsi="宋体" w:eastAsia="仿宋_GB2312"/>
          <w:bCs/>
          <w:sz w:val="32"/>
          <w:szCs w:val="32"/>
        </w:rPr>
        <w:br w:type="textWrapping"/>
      </w:r>
      <w:r>
        <w:rPr>
          <w:rFonts w:hint="eastAsia" w:ascii="仿宋_GB2312" w:hAnsi="宋体" w:eastAsia="仿宋_GB2312"/>
          <w:bCs/>
          <w:sz w:val="32"/>
          <w:szCs w:val="32"/>
        </w:rPr>
        <w:t>（6）宣传国际红十字和红新月运动的基本原则和日内瓦公约及其附加议定书。</w:t>
      </w:r>
      <w:r>
        <w:rPr>
          <w:rFonts w:hint="eastAsia" w:ascii="仿宋_GB2312" w:hAnsi="宋体" w:eastAsia="仿宋_GB2312"/>
          <w:bCs/>
          <w:sz w:val="32"/>
          <w:szCs w:val="32"/>
        </w:rPr>
        <w:br w:type="textWrapping"/>
      </w:r>
      <w:r>
        <w:rPr>
          <w:rFonts w:hint="eastAsia" w:ascii="仿宋_GB2312" w:hAnsi="宋体" w:eastAsia="仿宋_GB2312"/>
          <w:bCs/>
          <w:sz w:val="32"/>
          <w:szCs w:val="32"/>
        </w:rPr>
        <w:t>（7）依照国际红十字和红新月运动的基本原则，完成人民政府委托事宜。</w:t>
      </w:r>
      <w:r>
        <w:rPr>
          <w:rFonts w:hint="eastAsia" w:ascii="仿宋_GB2312" w:hAnsi="宋体" w:eastAsia="仿宋_GB2312"/>
          <w:bCs/>
          <w:sz w:val="32"/>
          <w:szCs w:val="32"/>
        </w:rPr>
        <w:br w:type="textWrapping"/>
      </w:r>
      <w:r>
        <w:rPr>
          <w:rFonts w:hint="eastAsia" w:ascii="仿宋_GB2312" w:hAnsi="宋体" w:eastAsia="仿宋_GB2312"/>
          <w:bCs/>
          <w:sz w:val="32"/>
          <w:szCs w:val="32"/>
        </w:rPr>
        <w:t>（8）依照日内瓦公约及其附加议定书的有关规定开展工作。</w:t>
      </w:r>
      <w:r>
        <w:rPr>
          <w:rFonts w:hint="eastAsia" w:ascii="仿宋_GB2312" w:hAnsi="宋体" w:eastAsia="仿宋_GB2312"/>
          <w:bCs/>
          <w:sz w:val="32"/>
          <w:szCs w:val="32"/>
        </w:rPr>
        <w:br w:type="textWrapping"/>
      </w:r>
      <w:r>
        <w:rPr>
          <w:rFonts w:hint="eastAsia" w:ascii="仿宋_GB2312" w:hAnsi="宋体" w:eastAsia="仿宋_GB2312"/>
          <w:bCs/>
          <w:sz w:val="32"/>
          <w:szCs w:val="32"/>
        </w:rPr>
        <w:t>（9）协助市委、市人民政府开展与其职责相关的其他人道主义服务活动。</w:t>
      </w:r>
      <w:r>
        <w:rPr>
          <w:rFonts w:hint="eastAsia" w:ascii="仿宋_GB2312" w:hAnsi="宋体" w:eastAsia="仿宋_GB2312"/>
          <w:bCs/>
          <w:sz w:val="32"/>
          <w:szCs w:val="32"/>
        </w:rPr>
        <w:br w:type="textWrapping"/>
      </w:r>
      <w:r>
        <w:rPr>
          <w:rFonts w:hint="eastAsia" w:ascii="仿宋_GB2312" w:hAnsi="宋体" w:eastAsia="仿宋_GB2312"/>
          <w:bCs/>
          <w:sz w:val="32"/>
          <w:szCs w:val="32"/>
        </w:rPr>
        <w:t>2.机构设置及人员情况</w:t>
      </w:r>
      <w:r>
        <w:rPr>
          <w:rFonts w:hint="eastAsia" w:ascii="仿宋_GB2312" w:hAnsi="宋体" w:eastAsia="仿宋_GB2312"/>
          <w:bCs/>
          <w:sz w:val="32"/>
          <w:szCs w:val="32"/>
        </w:rPr>
        <w:br w:type="textWrapping"/>
      </w:r>
      <w:r>
        <w:rPr>
          <w:rFonts w:hint="eastAsia" w:ascii="仿宋_GB2312" w:hAnsi="宋体" w:eastAsia="仿宋_GB2312"/>
          <w:bCs/>
          <w:sz w:val="32"/>
          <w:szCs w:val="32"/>
        </w:rPr>
        <w:t>我部门包括本级机关及0个直属事业单位，机关内设1个科室（办公室）。</w:t>
      </w:r>
      <w:r>
        <w:rPr>
          <w:rFonts w:hint="eastAsia" w:ascii="仿宋_GB2312" w:hAnsi="宋体" w:eastAsia="仿宋_GB2312"/>
          <w:bCs/>
          <w:sz w:val="32"/>
          <w:szCs w:val="32"/>
        </w:rPr>
        <w:br w:type="textWrapping"/>
      </w:r>
      <w:r>
        <w:rPr>
          <w:rFonts w:hint="eastAsia" w:ascii="仿宋_GB2312" w:hAnsi="宋体" w:eastAsia="仿宋_GB2312"/>
          <w:bCs/>
          <w:sz w:val="32"/>
          <w:szCs w:val="32"/>
        </w:rPr>
        <w:t>我部门编制数4，实有人数6人，其中：在职3人，减少1人；退休3人，增加1人；离休0人，增加0人。</w:t>
      </w:r>
      <w:bookmarkStart w:id="0" w:name="_Hlk43849111"/>
      <w:bookmarkEnd w:id="0"/>
    </w:p>
    <w:p>
      <w:pPr>
        <w:keepNext w:val="0"/>
        <w:keepLines w:val="0"/>
        <w:pageBreakBefore w:val="0"/>
        <w:kinsoku/>
        <w:wordWrap/>
        <w:overflowPunct/>
        <w:topLinePunct w:val="0"/>
        <w:autoSpaceDE/>
        <w:autoSpaceDN/>
        <w:bidi w:val="0"/>
        <w:adjustRightInd/>
        <w:spacing w:line="560" w:lineRule="exact"/>
        <w:jc w:val="left"/>
        <w:textAlignment w:val="auto"/>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1.年度总体目标</w:t>
      </w:r>
      <w:r>
        <w:rPr>
          <w:rFonts w:hint="eastAsia" w:ascii="仿宋_GB2312" w:hAnsi="宋体" w:eastAsia="仿宋_GB2312"/>
          <w:bCs/>
          <w:sz w:val="32"/>
          <w:szCs w:val="32"/>
        </w:rPr>
        <w:br w:type="textWrapping"/>
      </w:r>
      <w:r>
        <w:rPr>
          <w:rFonts w:hint="eastAsia" w:ascii="仿宋_GB2312" w:hAnsi="宋体" w:eastAsia="仿宋_GB2312"/>
          <w:bCs/>
          <w:sz w:val="32"/>
          <w:szCs w:val="32"/>
        </w:rPr>
        <w:t>目标1：救助大病患儿人数不少于5人。</w:t>
      </w:r>
      <w:r>
        <w:rPr>
          <w:rFonts w:hint="eastAsia" w:ascii="仿宋_GB2312" w:hAnsi="宋体" w:eastAsia="仿宋_GB2312"/>
          <w:bCs/>
          <w:sz w:val="32"/>
          <w:szCs w:val="32"/>
        </w:rPr>
        <w:br w:type="textWrapping"/>
      </w:r>
      <w:r>
        <w:rPr>
          <w:rFonts w:hint="eastAsia" w:ascii="仿宋_GB2312" w:hAnsi="宋体" w:eastAsia="仿宋_GB2312"/>
          <w:bCs/>
          <w:sz w:val="32"/>
          <w:szCs w:val="32"/>
        </w:rPr>
        <w:t>目标2：应急救护培训和知识普及人数不少于5000人。</w:t>
      </w:r>
      <w:r>
        <w:rPr>
          <w:rFonts w:hint="eastAsia" w:ascii="仿宋_GB2312" w:hAnsi="宋体" w:eastAsia="仿宋_GB2312"/>
          <w:bCs/>
          <w:sz w:val="32"/>
          <w:szCs w:val="32"/>
        </w:rPr>
        <w:br w:type="textWrapping"/>
      </w:r>
      <w:r>
        <w:rPr>
          <w:rFonts w:hint="eastAsia" w:ascii="仿宋_GB2312" w:hAnsi="宋体" w:eastAsia="仿宋_GB2312"/>
          <w:bCs/>
          <w:sz w:val="32"/>
          <w:szCs w:val="32"/>
        </w:rPr>
        <w:t>目标3：开展应急救护模拟演练不少于1次。</w:t>
      </w:r>
      <w:r>
        <w:rPr>
          <w:rFonts w:hint="eastAsia" w:ascii="仿宋_GB2312" w:hAnsi="宋体" w:eastAsia="仿宋_GB2312"/>
          <w:bCs/>
          <w:sz w:val="32"/>
          <w:szCs w:val="32"/>
        </w:rPr>
        <w:br w:type="textWrapping"/>
      </w:r>
      <w:r>
        <w:rPr>
          <w:rFonts w:hint="eastAsia" w:ascii="仿宋_GB2312" w:hAnsi="宋体" w:eastAsia="仿宋_GB2312"/>
          <w:bCs/>
          <w:sz w:val="32"/>
          <w:szCs w:val="32"/>
        </w:rPr>
        <w:t>目标4：组织献血人数不少于2000人。</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2.重点工作计划</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一是以宣传工作为先导，进一步提高红十字会的公信力。加强习近平新时代中国特色社会主义思想学习宣传，重点加强习近平总书记关于红十字事业的重要讲话精神的学习和宣传，坚持重点宣传和经常性宣传相结合，多方位、多层次、立体化宣传红十字精神，提高“红十字会法”的社会知晓率，提高红十字会的社会影响力，营造良好的社会舆论氛围，最大限度地争取各族群众的关心支持和积极参与。</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二是做好备灾、救灾、救助工作。贯彻落实《中国红十字会自然灾害和突发事件救助规则》精神，规范市红十字会备灾救灾库管理，做好物资储备工作。探索和完善市红十字会社会救助资金筹措长效机制，着力提升红十字会的筹资能力和救助实力，进一步做好备灾救灾工作，规范管理库尔勒市红十字应急救援队，切实发挥其在备灾救灾、应对突发事件的处置能力和全市性重大活动应急保障作用。开展应急救护模拟演练不少于1次。</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三是进一步推进红十字青少年工作。继续建立学校红十字会基层组织。结合学生健康教育，开展应急救护培训和社会服务活动，使青年学生了解红十字精神，奉献爱心，踊跃地加入红十字青少年组织。</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四是继续深入开展应急救护培训工作。认真落实上级主管部门关于开展应急救护培训的工作要求，协调有关部门，争取支持，有计划地对我市高危行业人员开展应急救护培训工作，继续把应急救护培训工作向乡镇场扩展，做到既有重点，又全面开展，以达到普及应急救护培训的目的。继续完善应急救护培训设备和教具配备，加强应急救护师资培训，提高师资授课水平。积极发挥新建成的库尔勒市生命健康安全教育基地作用，多种形式加强应急救护培训和学生应急救护知识技能普及行动，力争2024年再完成应急救护培训和知识普及5000人次。</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五是继续加大人道救助工作力度。结合库尔勒市实际情况，加大红十字十项基金七项医疗救助项目申请申报力度，加大等医疗救助项，救助大病患儿人数不少于5人，当好党和政府人道救助工作的助手。</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六是继续做好遗体、器官、造血干细胞、无偿献血的捐献工作。利用媒体和专题培训等渠道，加大遗体、器官、造血干细胞捐献工作的宣传力度，使广大市民了解支持此项工作，让更多的市民加入到志愿者队伍中来，奉献爱心，挽救生命。组织献血人数不少于2000人。</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七是加强组织建设，壮大红十字队伍。继续按照《中国红十字会章程》规定，做好基层组织、会员和志愿者队伍的发展，规范收取红十字会员单位和会员会费，积极推进红十字工作进社区，把红十字会应急救护、人道救助、志愿服务工作融入社区建设之中，纳入社区工作目标管理，促进社区精神文明建设。</w:t>
      </w:r>
    </w:p>
    <w:p>
      <w:pPr>
        <w:keepNext w:val="0"/>
        <w:keepLines w:val="0"/>
        <w:pageBreakBefore w:val="0"/>
        <w:kinsoku/>
        <w:wordWrap/>
        <w:overflowPunct/>
        <w:topLinePunct w:val="0"/>
        <w:autoSpaceDE/>
        <w:autoSpaceDN/>
        <w:bidi w:val="0"/>
        <w:adjustRightInd/>
        <w:spacing w:line="560" w:lineRule="exact"/>
        <w:jc w:val="left"/>
        <w:textAlignment w:val="auto"/>
        <w:rPr>
          <w:rFonts w:hint="eastAsia" w:ascii="黑体" w:hAnsi="黑体" w:eastAsia="黑体" w:cs="宋体"/>
          <w:b/>
          <w:color w:val="000000" w:themeColor="text1"/>
          <w:sz w:val="32"/>
          <w:szCs w:val="32"/>
          <w:lang w:bidi="ar"/>
          <w14:textFill>
            <w14:solidFill>
              <w14:schemeClr w14:val="tx1"/>
            </w14:solidFill>
          </w14:textFill>
        </w:rPr>
      </w:pPr>
      <w:bookmarkStart w:id="1" w:name="_GoBack"/>
      <w:bookmarkEnd w:id="1"/>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2024年我部门年初预算安排62.38万元，其中财政拨款62.38万元，其他资金0万元，主要用于基本工资、津贴补贴、奖金、机关事业单位基本养老保险缴费、职业年金缴费、职工基本医疗保险缴费、办公费、差旅费、维修（护）费、福利费、退休费，其他个人补助支出等。年中调整4.16万元，调整后全年预算58.22万元，预算调整率6.67%，调整预算的主要原因为一名在职人员退休，工资支出减少，导致全年预算数减少。</w:t>
      </w:r>
    </w:p>
    <w:p>
      <w:pPr>
        <w:keepNext w:val="0"/>
        <w:keepLines w:val="0"/>
        <w:pageBreakBefore w:val="0"/>
        <w:numPr>
          <w:numId w:val="0"/>
        </w:numPr>
        <w:kinsoku/>
        <w:wordWrap/>
        <w:overflowPunct/>
        <w:topLinePunct w:val="0"/>
        <w:autoSpaceDE/>
        <w:autoSpaceDN/>
        <w:bidi w:val="0"/>
        <w:adjustRightInd/>
        <w:snapToGrid w:val="0"/>
        <w:spacing w:line="560" w:lineRule="exact"/>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一、</w:t>
      </w: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（一）部门单位整体支出管理情况</w:t>
      </w:r>
      <w:r>
        <w:rPr>
          <w:rFonts w:hint="eastAsia" w:ascii="仿宋_GB2312" w:hAnsi="宋体" w:eastAsia="仿宋_GB2312"/>
          <w:bCs/>
          <w:sz w:val="32"/>
          <w:szCs w:val="32"/>
        </w:rPr>
        <w:br w:type="textWrapping"/>
      </w:r>
      <w:r>
        <w:rPr>
          <w:rFonts w:hint="eastAsia" w:ascii="仿宋_GB2312" w:hAnsi="宋体" w:eastAsia="仿宋_GB2312"/>
          <w:bCs/>
          <w:sz w:val="32"/>
          <w:szCs w:val="32"/>
        </w:rPr>
        <w:t>1.预算编制</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r>
        <w:rPr>
          <w:rFonts w:hint="eastAsia" w:ascii="仿宋_GB2312" w:hAnsi="宋体" w:eastAsia="仿宋_GB2312"/>
          <w:bCs/>
          <w:sz w:val="32"/>
          <w:szCs w:val="32"/>
        </w:rPr>
        <w:br w:type="textWrapping"/>
      </w:r>
      <w:r>
        <w:rPr>
          <w:rFonts w:hint="eastAsia" w:ascii="仿宋_GB2312" w:hAnsi="宋体" w:eastAsia="仿宋_GB2312"/>
          <w:bCs/>
          <w:sz w:val="32"/>
          <w:szCs w:val="32"/>
        </w:rPr>
        <w:t>2.预算执行</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库尔勒市财政批复预算后，我部门按要求及时制定并报批部门预算支出计划，严格落实预算执行定期分析机制，靠前抓好支出执行，坚持严肃财经纪律，硬化预算约束，持续树牢厉行节约理念，严控一般性支出，努力降低事业运行成本。</w:t>
      </w:r>
      <w:r>
        <w:rPr>
          <w:rFonts w:hint="eastAsia" w:ascii="仿宋_GB2312" w:hAnsi="宋体" w:eastAsia="仿宋_GB2312"/>
          <w:bCs/>
          <w:sz w:val="32"/>
          <w:szCs w:val="32"/>
        </w:rPr>
        <w:br w:type="textWrapping"/>
      </w:r>
      <w:r>
        <w:rPr>
          <w:rFonts w:hint="eastAsia" w:ascii="仿宋_GB2312" w:hAnsi="宋体" w:eastAsia="仿宋_GB2312"/>
          <w:bCs/>
          <w:sz w:val="32"/>
          <w:szCs w:val="32"/>
        </w:rPr>
        <w:t>3.绩效管理</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2024年，我部门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rPr>
          <w:rFonts w:hint="eastAsia" w:ascii="仿宋_GB2312" w:hAnsi="宋体" w:eastAsia="仿宋_GB2312"/>
          <w:bCs/>
          <w:sz w:val="32"/>
          <w:szCs w:val="32"/>
        </w:rPr>
        <w:br w:type="textWrapping"/>
      </w:r>
      <w:r>
        <w:rPr>
          <w:rFonts w:hint="eastAsia" w:ascii="仿宋_GB2312" w:hAnsi="宋体" w:eastAsia="仿宋_GB2312"/>
          <w:bCs/>
          <w:sz w:val="32"/>
          <w:szCs w:val="32"/>
        </w:rPr>
        <w:t>4.信息公开</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我部门已按要求在库尔勒市人民政府门户网站公开部门预算信息，同步公开绩效目标表；在库尔勒市人民政府门户网站公开部门决算信息，同步公开自评表及自评报告。</w:t>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（二）部门单位整体支出使用情况</w:t>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1.基本支出情况</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2024年基本支出53.22万元，包括工资福利支出47.11万元，商品和服务支出4.14万元，对个人和家庭的补助1.97万元，资本性支出0万元。其中：“三公”经费支出2.4万元，比上年增加0万元，主要原因是2023年及2024年我部门公务车辆编制数为1，数量不变；会议费支出0万元，比上年增加0万元，主要原因是无会议支出预算；培训费支出0.25万元，比上年减少0.11万元，主要原因是2024年预算工资基数较上年减少，导致计提培训费减少。</w:t>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2024年专项项目支出5万元，占总支出的8.59％，主要用于支付应急救护培训授课费2.48万元、应急救护证制作费1.24万元、制作应急救护反光马甲0.24万元、AED训练机1万元、应急救护师资培训交通费0.04万元。</w:t>
      </w:r>
      <w:r>
        <w:rPr>
          <w:rFonts w:hint="eastAsia" w:ascii="仿宋_GB2312" w:hAnsi="宋体" w:eastAsia="仿宋_GB2312"/>
          <w:bCs/>
          <w:sz w:val="32"/>
          <w:szCs w:val="32"/>
        </w:rPr>
        <w:br w:type="textWrapping"/>
      </w:r>
      <w:r>
        <w:rPr>
          <w:rFonts w:hint="eastAsia" w:ascii="仿宋_GB2312" w:hAnsi="宋体" w:eastAsia="仿宋_GB2312"/>
          <w:bCs/>
          <w:sz w:val="32"/>
          <w:szCs w:val="32"/>
        </w:rPr>
        <w:t>3.部门单位专项组织实施情况</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年初我部门下发的2023年下半年应急救护培训授课等经费专项工作计划，对项目的工作分工、任务分配、资金落实、完成时限等提出了明确、具体的要求，以确保项目保质、保量、按时完成。截至2024年12月31日，完成专项1个，未完成专项0个。</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为规范专项资金使用，提高专项资金使用效益，我部门主要采取四项措施。一是制订专项资金管理制度；二是专项资金建立了专账；三是制定了项目实施方案；四是认真组织项目验收。切实保证专项资金都做到了专款专用。</w:t>
      </w:r>
      <w:r>
        <w:rPr>
          <w:rFonts w:hint="eastAsia" w:ascii="仿宋_GB2312" w:hAnsi="宋体" w:eastAsia="仿宋_GB2312"/>
          <w:bCs/>
          <w:sz w:val="32"/>
          <w:szCs w:val="32"/>
        </w:rPr>
        <w:br w:type="textWrapping"/>
      </w:r>
      <w:r>
        <w:rPr>
          <w:rFonts w:hint="eastAsia" w:ascii="仿宋_GB2312" w:hAnsi="宋体" w:eastAsia="仿宋_GB2312"/>
          <w:bCs/>
          <w:sz w:val="32"/>
          <w:szCs w:val="32"/>
        </w:rPr>
        <w:t>（1）制定了《2023年下半年应急救护培训授课等经费》专项资金管理办法，各项资金使用审批流程均按规定办理。涉及“三重一大”内容，严格按照规定提请全体干部会议会审议决定，包括项目资金分配、重大项目确定、大额资金支付等。</w:t>
      </w:r>
      <w:r>
        <w:rPr>
          <w:rFonts w:hint="eastAsia" w:ascii="仿宋_GB2312" w:hAnsi="宋体" w:eastAsia="仿宋_GB2312"/>
          <w:bCs/>
          <w:sz w:val="32"/>
          <w:szCs w:val="32"/>
        </w:rPr>
        <w:br w:type="textWrapping"/>
      </w:r>
      <w:r>
        <w:rPr>
          <w:rFonts w:hint="eastAsia" w:ascii="仿宋_GB2312" w:hAnsi="宋体" w:eastAsia="仿宋_GB2312"/>
          <w:bCs/>
          <w:sz w:val="32"/>
          <w:szCs w:val="32"/>
        </w:rPr>
        <w:t>（2）建立《2023年下半年应急救护培训授课等经费》专项资金专账，做到有据可依，有据可查。</w:t>
      </w:r>
      <w:r>
        <w:rPr>
          <w:rFonts w:hint="eastAsia" w:ascii="仿宋_GB2312" w:hAnsi="宋体" w:eastAsia="仿宋_GB2312"/>
          <w:bCs/>
          <w:sz w:val="32"/>
          <w:szCs w:val="32"/>
        </w:rPr>
        <w:br w:type="textWrapping"/>
      </w:r>
      <w:r>
        <w:rPr>
          <w:rFonts w:hint="eastAsia" w:ascii="仿宋_GB2312" w:hAnsi="宋体" w:eastAsia="仿宋_GB2312"/>
          <w:bCs/>
          <w:sz w:val="32"/>
          <w:szCs w:val="32"/>
        </w:rPr>
        <w:t>（3）制定了《2023年下半年应急救护培训授课等经费》项目实施方案，确保项目顺利完成。</w:t>
      </w:r>
      <w:r>
        <w:rPr>
          <w:rFonts w:hint="eastAsia" w:ascii="仿宋_GB2312" w:hAnsi="宋体" w:eastAsia="仿宋_GB2312"/>
          <w:bCs/>
          <w:sz w:val="32"/>
          <w:szCs w:val="32"/>
        </w:rPr>
        <w:br w:type="textWrapping"/>
      </w:r>
      <w:r>
        <w:rPr>
          <w:rFonts w:hint="eastAsia" w:ascii="仿宋_GB2312" w:hAnsi="宋体" w:eastAsia="仿宋_GB2312"/>
          <w:bCs/>
          <w:sz w:val="32"/>
          <w:szCs w:val="32"/>
        </w:rPr>
        <w:t>（4）认真组织《2023年下半年应急救护培训授课等经费》项目验收，确保在规定时间内完成，达到预期的效益。</w:t>
      </w:r>
    </w:p>
    <w:p>
      <w:pPr>
        <w:keepNext w:val="0"/>
        <w:keepLines w:val="0"/>
        <w:pageBreakBefore w:val="0"/>
        <w:numPr>
          <w:numId w:val="0"/>
        </w:numPr>
        <w:kinsoku/>
        <w:wordWrap/>
        <w:overflowPunct/>
        <w:topLinePunct w:val="0"/>
        <w:autoSpaceDE/>
        <w:autoSpaceDN/>
        <w:bidi w:val="0"/>
        <w:adjustRightInd/>
        <w:snapToGrid w:val="0"/>
        <w:spacing w:line="560" w:lineRule="exact"/>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一、</w:t>
      </w: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keepNext w:val="0"/>
        <w:keepLines w:val="0"/>
        <w:pageBreakBefore w:val="0"/>
        <w:kinsoku/>
        <w:wordWrap/>
        <w:overflowPunct/>
        <w:topLinePunct w:val="0"/>
        <w:autoSpaceDE/>
        <w:autoSpaceDN/>
        <w:bidi w:val="0"/>
        <w:adjustRightInd/>
        <w:spacing w:line="560" w:lineRule="exact"/>
        <w:jc w:val="left"/>
        <w:textAlignment w:val="auto"/>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w:t>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2024年我部门总支出58.22万元，预算执行率100%，其中社会保障和就业支出52.61万元，卫生健康支出2.45万元，住房保障支出3.16万元。</w:t>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1.基本支出使用情况</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2024年，我部门基本支出53.22万元，占总支出的91.41％，其中社会保障和就业支出47.61万元，卫生健康支出2.45万元，住房保障支出3.16万元。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2.项目支出使用情况</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2024年，我部门项目支出5万元，占总支出的8.59％。其中：其他红十字事业支出5万元。</w:t>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（二）部门单位整体支出绩效指标完成情况分析</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年初我部门设置部门整体绩效目标中包括一级指标1个，二级指标1个，三级指标4个，指标完成情况分析如下：</w:t>
      </w:r>
      <w:r>
        <w:rPr>
          <w:rFonts w:hint="eastAsia" w:ascii="仿宋_GB2312" w:hAnsi="宋体" w:eastAsia="仿宋_GB2312"/>
          <w:bCs/>
          <w:sz w:val="32"/>
          <w:szCs w:val="32"/>
        </w:rPr>
        <w:br w:type="textWrapping"/>
      </w:r>
      <w:r>
        <w:rPr>
          <w:rFonts w:hint="eastAsia" w:ascii="仿宋_GB2312" w:hAnsi="宋体" w:eastAsia="仿宋_GB2312"/>
          <w:bCs/>
          <w:sz w:val="32"/>
          <w:szCs w:val="32"/>
        </w:rPr>
        <w:t>1.运行成本：无该项指标</w:t>
      </w:r>
      <w:r>
        <w:rPr>
          <w:rFonts w:hint="eastAsia" w:ascii="仿宋_GB2312" w:hAnsi="宋体" w:eastAsia="仿宋_GB2312"/>
          <w:bCs/>
          <w:sz w:val="32"/>
          <w:szCs w:val="32"/>
        </w:rPr>
        <w:br w:type="textWrapping"/>
      </w:r>
      <w:r>
        <w:rPr>
          <w:rFonts w:hint="eastAsia" w:ascii="仿宋_GB2312" w:hAnsi="宋体" w:eastAsia="仿宋_GB2312"/>
          <w:bCs/>
          <w:sz w:val="32"/>
          <w:szCs w:val="32"/>
        </w:rPr>
        <w:t>2.管理效率：无该项指标</w:t>
      </w:r>
      <w:r>
        <w:rPr>
          <w:rFonts w:hint="eastAsia" w:ascii="仿宋_GB2312" w:hAnsi="宋体" w:eastAsia="仿宋_GB2312"/>
          <w:bCs/>
          <w:sz w:val="32"/>
          <w:szCs w:val="32"/>
        </w:rPr>
        <w:br w:type="textWrapping"/>
      </w:r>
      <w:r>
        <w:rPr>
          <w:rFonts w:hint="eastAsia" w:ascii="仿宋_GB2312" w:hAnsi="宋体" w:eastAsia="仿宋_GB2312"/>
          <w:bCs/>
          <w:sz w:val="32"/>
          <w:szCs w:val="32"/>
        </w:rPr>
        <w:t>3.履职效能</w:t>
      </w:r>
      <w:r>
        <w:rPr>
          <w:rFonts w:hint="eastAsia" w:ascii="仿宋_GB2312" w:hAnsi="宋体" w:eastAsia="仿宋_GB2312"/>
          <w:bCs/>
          <w:sz w:val="32"/>
          <w:szCs w:val="32"/>
        </w:rPr>
        <w:br w:type="textWrapping"/>
      </w:r>
      <w:r>
        <w:rPr>
          <w:rFonts w:hint="eastAsia" w:ascii="仿宋_GB2312" w:hAnsi="宋体" w:eastAsia="仿宋_GB2312"/>
          <w:bCs/>
          <w:sz w:val="32"/>
          <w:szCs w:val="32"/>
        </w:rPr>
        <w:t>（1）数量指标</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指标1：救助大病患儿人数，指标值：&gt;=5人，年中监控完成值：11人，自评完成值：15人，指标完成率340%，偏差240%，偏差原因：因库尔勒市大病患儿符合手术指征人数增多，有效救助15名先心病患儿，经上级红会审定接受医疗救助后康复。改进措施：次年将结合实际情况，参考历史数据，合理确定目标值。指标成效分析：通过完成救助大病患儿工作，有效提升为民服务履职能力，达到人道救助工作成效显著的效益。</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指标2：应急救护培训和知识普及人数不少于5000人，指标值：&gt;=5000，年中监控完成值：2020，自评完成值：13360人，指标完成率267%，偏差167%，偏差原因：因组织开展应急救护知识进社区、进机关、进学校宣讲普及81场次，干部群众学生对红十字应急救护基本知识较为感兴趣，超额完成了普及人数。改进措施：次年将结合实际情况，参考历史数据，合理确定目标值。指标成效分析：通过完成应急救护培训和知识普及的工作，有效提升广大群众应急救护知识普及水平，达到提升自救互救的社会效益。</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指标3：应急救护模拟演练，指标值：&gt;=1次，年中监控完成值：0，自评完成值：1次，指标完成率0%，偏差0%，偏差原因：无。改进措施：无。指标成效分析：通过完成应急救护模拟演练工作，切实发挥红十字会在备灾救灾、应对突发事件和服务大型活动的能力和作用，有效提升紧急情况下应急反应速度和决策能力，达到迅速、有效开展救援工作，最大限度减少人员伤亡、财产损失的社会效益。</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指标4：组织献血人数，指标值：&gt;=2000人，年中监控完成值：1000人，自评完成值：7000人，指标完成率350%，偏差250%，偏差原因：因全市7000余名干部职工群众参加集中无偿献血，献血量260余万毫升，超额完成献血人数指标。改进措施：次年将结合实际情况，参考历史数据，合理确定目标值。指标成效分析：通过完成无偿献血工作，帮助急需输血的患者提供血液，达到有效提升各类医疗救治的顺利进行的社会效益。</w:t>
      </w:r>
      <w:r>
        <w:rPr>
          <w:rFonts w:hint="eastAsia" w:ascii="仿宋_GB2312" w:hAnsi="宋体" w:eastAsia="仿宋_GB2312"/>
          <w:bCs/>
          <w:sz w:val="32"/>
          <w:szCs w:val="32"/>
        </w:rPr>
        <w:br w:type="textWrapping"/>
      </w:r>
      <w:r>
        <w:rPr>
          <w:rFonts w:hint="eastAsia" w:ascii="仿宋_GB2312" w:hAnsi="宋体" w:eastAsia="仿宋_GB2312"/>
          <w:bCs/>
          <w:sz w:val="32"/>
          <w:szCs w:val="32"/>
        </w:rPr>
        <w:t>4.社会效益：无该项指标</w:t>
      </w:r>
      <w:r>
        <w:rPr>
          <w:rFonts w:hint="eastAsia" w:ascii="仿宋_GB2312" w:hAnsi="宋体" w:eastAsia="仿宋_GB2312"/>
          <w:bCs/>
          <w:sz w:val="32"/>
          <w:szCs w:val="32"/>
        </w:rPr>
        <w:br w:type="textWrapping"/>
      </w:r>
      <w:r>
        <w:rPr>
          <w:rFonts w:hint="eastAsia" w:ascii="仿宋_GB2312" w:hAnsi="宋体" w:eastAsia="仿宋_GB2312"/>
          <w:bCs/>
          <w:sz w:val="32"/>
          <w:szCs w:val="32"/>
        </w:rPr>
        <w:t>5.可持续发展能力：无该项指标</w:t>
      </w:r>
      <w:r>
        <w:rPr>
          <w:rFonts w:hint="eastAsia" w:ascii="仿宋_GB2312" w:hAnsi="宋体" w:eastAsia="仿宋_GB2312"/>
          <w:bCs/>
          <w:sz w:val="32"/>
          <w:szCs w:val="32"/>
        </w:rPr>
        <w:br w:type="textWrapping"/>
      </w:r>
      <w:r>
        <w:rPr>
          <w:rFonts w:hint="eastAsia" w:ascii="仿宋_GB2312" w:hAnsi="宋体" w:eastAsia="仿宋_GB2312"/>
          <w:bCs/>
          <w:sz w:val="32"/>
          <w:szCs w:val="32"/>
        </w:rPr>
        <w:t>6.服务对象满意度：无该项指标</w:t>
      </w:r>
    </w:p>
    <w:p>
      <w:pPr>
        <w:keepNext w:val="0"/>
        <w:keepLines w:val="0"/>
        <w:pageBreakBefore w:val="0"/>
        <w:numPr>
          <w:numId w:val="0"/>
        </w:numPr>
        <w:kinsoku/>
        <w:wordWrap/>
        <w:overflowPunct/>
        <w:topLinePunct w:val="0"/>
        <w:autoSpaceDE/>
        <w:autoSpaceDN/>
        <w:bidi w:val="0"/>
        <w:adjustRightInd/>
        <w:snapToGrid w:val="0"/>
        <w:spacing w:line="560" w:lineRule="exact"/>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一、</w:t>
      </w:r>
      <w:r>
        <w:rPr>
          <w:rFonts w:hint="eastAsia" w:ascii="黑体" w:hAnsi="黑体" w:eastAsia="黑体" w:cs="宋体"/>
          <w:b/>
          <w:color w:val="000000" w:themeColor="text1"/>
          <w:sz w:val="32"/>
          <w:szCs w:val="32"/>
          <w:lang w:bidi="ar"/>
          <w14:textFill>
            <w14:solidFill>
              <w14:schemeClr w14:val="tx1"/>
            </w14:solidFill>
          </w14:textFill>
        </w:rPr>
        <w:t>评价结论：</w:t>
      </w:r>
    </w:p>
    <w:p>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keepNext w:val="0"/>
        <w:keepLines w:val="0"/>
        <w:pageBreakBefore w:val="0"/>
        <w:numPr>
          <w:numId w:val="0"/>
        </w:numPr>
        <w:kinsoku/>
        <w:wordWrap/>
        <w:overflowPunct/>
        <w:topLinePunct w:val="0"/>
        <w:autoSpaceDE/>
        <w:autoSpaceDN/>
        <w:bidi w:val="0"/>
        <w:adjustRightInd/>
        <w:snapToGrid w:val="0"/>
        <w:spacing w:line="560" w:lineRule="exact"/>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1、</w:t>
      </w: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我部门绩效指标设置不够合理，如果目标值过高难以实现，使绩效评价失去激励作用。如果目标值过低，无法体现项目的实际效益，指标设置的科学性、合理性有待进一步提高。</w:t>
      </w:r>
    </w:p>
    <w:p>
      <w:pPr>
        <w:keepNext w:val="0"/>
        <w:keepLines w:val="0"/>
        <w:pageBreakBefore w:val="0"/>
        <w:numPr>
          <w:numId w:val="0"/>
        </w:numPr>
        <w:kinsoku/>
        <w:wordWrap/>
        <w:overflowPunct/>
        <w:topLinePunct w:val="0"/>
        <w:autoSpaceDE/>
        <w:autoSpaceDN/>
        <w:bidi w:val="0"/>
        <w:adjustRightInd/>
        <w:snapToGrid w:val="0"/>
        <w:spacing w:line="560" w:lineRule="exact"/>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2、</w:t>
      </w:r>
      <w:r>
        <w:rPr>
          <w:rFonts w:hint="eastAsia" w:ascii="黑体" w:hAnsi="黑体" w:eastAsia="黑体" w:cs="宋体"/>
          <w:b/>
          <w:color w:val="000000" w:themeColor="text1"/>
          <w:sz w:val="32"/>
          <w:szCs w:val="32"/>
          <w:lang w:bidi="ar"/>
          <w14:textFill>
            <w14:solidFill>
              <w14:schemeClr w14:val="tx1"/>
            </w14:solidFill>
          </w14:textFill>
        </w:rPr>
        <w:t>改进措施和建议：</w:t>
      </w:r>
    </w:p>
    <w:p>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合理设置年度任务，结合实际情况，参考历史数据，合理确定目标值，使目标值既具有挑战性，又具有可实现性。积极学习绩效管理制度，参加上级财政部门组织的各类绩效培训。</w:t>
      </w:r>
    </w:p>
    <w:p>
      <w:pPr>
        <w:keepNext w:val="0"/>
        <w:keepLines w:val="0"/>
        <w:pageBreakBefore w:val="0"/>
        <w:kinsoku/>
        <w:wordWrap/>
        <w:overflowPunct/>
        <w:topLinePunct w:val="0"/>
        <w:autoSpaceDE/>
        <w:autoSpaceDN/>
        <w:bidi w:val="0"/>
        <w:adjustRightInd/>
        <w:spacing w:line="560" w:lineRule="exact"/>
        <w:ind w:firstLine="420" w:firstLineChars="200"/>
        <w:textAlignment w:val="auto"/>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2533D12"/>
    <w:rsid w:val="1438599A"/>
    <w:rsid w:val="200F4073"/>
    <w:rsid w:val="24B86128"/>
    <w:rsid w:val="51C70EA9"/>
    <w:rsid w:val="54F842B6"/>
    <w:rsid w:val="64F5745B"/>
    <w:rsid w:val="656071F2"/>
    <w:rsid w:val="69207685"/>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17</TotalTime>
  <ScaleCrop>false</ScaleCrop>
  <LinksUpToDate>false</LinksUpToDate>
  <CharactersWithSpaces>384</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lenovo</cp:lastModifiedBy>
  <dcterms:modified xsi:type="dcterms:W3CDTF">2025-08-20T12:44:37Z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4E2A216151A24EE5A190066F518526B7</vt:lpwstr>
  </property>
</Properties>
</file>