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库尔勒市红十字会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库尔勒市红十字会2024年度，实有人数6人，其中：在职人员3人，减少1人；离休人员0人，较上年无变化；退休人员3人，增加1人。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库尔勒市红十字会无下属预算单位，下设个，分别是：</w:t>
      </w:r>
      <w:r>
        <w:rPr>
          <w:rFonts w:hint="eastAsia" w:ascii="仿宋_GB2312" w:eastAsia="仿宋_GB2312"/>
          <w:b w:val="0"/>
          <w:sz w:val="32"/>
          <w:szCs w:val="32"/>
          <w:lang w:val="en-US" w:eastAsia="zh-CN"/>
        </w:rPr>
        <w:t>办公室</w:t>
      </w:r>
      <w:r>
        <w:rPr>
          <w:rFonts w:ascii="仿宋_GB2312" w:eastAsia="仿宋_GB2312"/>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2024年度收入总计58.22万元，其中：本年收入合计58.22万元，使用非财政拨款结余（含专用结余）0.00万元，年初结转和结余0.00万元。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2024年度支出总计58.22万元，其中：本年支出合计58.22万元，结余分配0.00万元，年末结转和结余0.00万元。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收入支出总体与上年相比，减少19.31万元，下降24.91%，主要原因是：</w:t>
      </w:r>
      <w:r>
        <w:rPr>
          <w:rFonts w:hint="eastAsia" w:ascii="仿宋_GB2312" w:eastAsia="仿宋_GB2312"/>
          <w:b w:val="0"/>
          <w:sz w:val="32"/>
          <w:szCs w:val="32"/>
        </w:rPr>
        <w:t>本年度减少了应急救护培训授课费和教具采购经费，同时新增退休人员</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本年收入58.22万元，其中：财政拨款收入58.22万元,占100.00%；上级补助收入0.00万元,占0.00%；事业收入0.00万元，占0.00%；经营收入0.00万元,占0.00%；附属单位上缴收入0.00万元，占0.00%；其他收入0.00万元，占0.00%。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本年支出58.22万元，其中：基本支出53.22万元，占91.41%；项目支出5.00万元，占8.59%；上缴上级支出0.00万元，占0.00%；经营支出0.00万元，占0.00%；对附属单位补助支出0.00万元，占0.00%。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2024年度财政拨款收入总计58.22万元，其中：年初财政拨款结转和结余0.00万元，本年财政拨款收入58.22万元。财政拨款支出总计58.22万元，其中：年末财政拨款结转和结余0.00万元，本年财政拨款支出58.22万元。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财政拨款收入支出总体与上年相比，减少19.31万元，下降24.91%，主要原因是：</w:t>
      </w:r>
      <w:r>
        <w:rPr>
          <w:rFonts w:hint="eastAsia" w:ascii="仿宋_GB2312" w:eastAsia="仿宋_GB2312"/>
          <w:b w:val="0"/>
          <w:sz w:val="32"/>
          <w:szCs w:val="32"/>
        </w:rPr>
        <w:t>本年度减少了应急救护培训授课费和教具采购经费，同时新增退休人员</w:t>
      </w:r>
      <w:r>
        <w:rPr>
          <w:rFonts w:ascii="仿宋_GB2312" w:eastAsia="仿宋_GB2312"/>
          <w:b w:val="0"/>
          <w:sz w:val="32"/>
          <w:szCs w:val="32"/>
        </w:rPr>
        <w:t>。与年初预算相比，年初预算数62.38万元，决算数58.22万元，预决算差异率-6.67%，主要原因是：</w:t>
      </w:r>
      <w:r>
        <w:rPr>
          <w:rFonts w:hint="eastAsia" w:ascii="仿宋_GB2312" w:eastAsia="仿宋_GB2312"/>
          <w:b w:val="0"/>
          <w:sz w:val="32"/>
          <w:szCs w:val="32"/>
        </w:rPr>
        <w:t>本年度减少了应急救护培训授课费和教具采购经费，同时新增退休人员</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2024年度一般公共预算财政拨款支出58.22万元，占本年支出合计的100.00%。与上年相比，减少19.31万元，下降24.91%，主要原因是：</w:t>
      </w:r>
      <w:r>
        <w:rPr>
          <w:rFonts w:hint="eastAsia" w:ascii="仿宋_GB2312" w:eastAsia="仿宋_GB2312"/>
          <w:b w:val="0"/>
          <w:sz w:val="32"/>
          <w:szCs w:val="32"/>
        </w:rPr>
        <w:t>本年度减少了应急救护培训授课费和教具采购经费，同时新增退休人员</w:t>
      </w:r>
      <w:r>
        <w:rPr>
          <w:rFonts w:ascii="仿宋_GB2312" w:eastAsia="仿宋_GB2312"/>
          <w:b w:val="0"/>
          <w:sz w:val="32"/>
          <w:szCs w:val="32"/>
        </w:rPr>
        <w:t>。与年初预算相比，年初预算数62.38万元，决算数58.22万元，预决算差异率-6.67%，主要原因是：</w:t>
      </w:r>
      <w:r>
        <w:rPr>
          <w:rFonts w:hint="eastAsia" w:ascii="仿宋_GB2312" w:eastAsia="仿宋_GB2312"/>
          <w:b w:val="0"/>
          <w:sz w:val="32"/>
          <w:szCs w:val="32"/>
        </w:rPr>
        <w:t>本年度减少了应急救护培训授课费和教具采购经费，同时新增退休人员</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社会保障和就业支出（类）52.61万元，占90.36%。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卫生健康支出（类）2.45万元，占4.21%。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住房保障支出（类）3.16万元，占5.43%。</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教育支出（类）进修及培训（款）培训支出（项）：支出决算数为0.00万元，比上年决算减少0.36万元，下降100.00%，主要原因是：</w:t>
      </w:r>
      <w:r>
        <w:rPr>
          <w:rFonts w:hint="eastAsia" w:ascii="仿宋_GB2312" w:eastAsia="仿宋_GB2312"/>
          <w:b w:val="0"/>
          <w:sz w:val="32"/>
          <w:szCs w:val="32"/>
          <w:lang w:val="en-US" w:eastAsia="zh-CN"/>
        </w:rPr>
        <w:t>本年度应急救护培训较上年度减少。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社会保障和就业支出（类）行政事业单位养老支出（款）行政单位离退休（项）：支出决算数为1.97万元，比上年决算增加0.75万元，增长61.48%，主要原因是：</w:t>
      </w:r>
      <w:r>
        <w:rPr>
          <w:rFonts w:hint="eastAsia" w:ascii="仿宋_GB2312" w:eastAsia="仿宋_GB2312"/>
          <w:b w:val="0"/>
          <w:sz w:val="32"/>
          <w:szCs w:val="32"/>
          <w:lang w:val="en-US" w:eastAsia="zh-CN"/>
        </w:rPr>
        <w:t>本年度新增退休人员1名。</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社会保障和就业支出（类）行政事业单位养老支出（款）机关事业单位基本养老保险缴费支出（项）：支出决算数为3.94万元，比上年决算减少1.66万元，下降29.64%，主要原因是：</w:t>
      </w:r>
      <w:r>
        <w:rPr>
          <w:rFonts w:hint="eastAsia" w:ascii="仿宋_GB2312" w:eastAsia="仿宋_GB2312"/>
          <w:b w:val="0"/>
          <w:sz w:val="32"/>
          <w:szCs w:val="32"/>
          <w:lang w:val="en-US" w:eastAsia="zh-CN"/>
        </w:rPr>
        <w:t>本年度新增退休人员1名。</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社会保障和就业支出（类）行政事业单位养老支出（款）机关事业单位职业年金缴费支出（项）：支出决算数为5.69万元，比上年决算增加0.12万元，增长2.15%，主要原因是：</w:t>
      </w:r>
      <w:r>
        <w:rPr>
          <w:rFonts w:hint="eastAsia" w:ascii="仿宋_GB2312" w:eastAsia="仿宋_GB2312"/>
          <w:b w:val="0"/>
          <w:sz w:val="32"/>
          <w:szCs w:val="32"/>
          <w:lang w:val="en-US" w:eastAsia="zh-CN"/>
        </w:rPr>
        <w:t>本年度人员工资基数调整，导致公积金基数调增。</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社会保障和就业支出（类）就业补助（款）公益性岗位补贴（项）：支出决算数为0.00万元，比上年决算减少3.22万元，下降100.00%，主要原因是：</w:t>
      </w:r>
      <w:r>
        <w:rPr>
          <w:rFonts w:hint="eastAsia" w:ascii="仿宋_GB2312" w:eastAsia="仿宋_GB2312"/>
          <w:b w:val="0"/>
          <w:sz w:val="32"/>
          <w:szCs w:val="32"/>
          <w:lang w:val="en-US" w:eastAsia="zh-CN"/>
        </w:rPr>
        <w:t>因本年度决算口径调整，将公益性岗位补贴调整至行政运行。</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b w:val="0"/>
          <w:sz w:val="32"/>
          <w:szCs w:val="32"/>
          <w:lang w:val="en-US" w:eastAsia="zh-CN"/>
        </w:rPr>
      </w:pPr>
      <w:r>
        <w:rPr>
          <w:rFonts w:ascii="仿宋_GB2312" w:eastAsia="仿宋_GB2312"/>
          <w:b w:val="0"/>
          <w:sz w:val="32"/>
          <w:szCs w:val="32"/>
        </w:rPr>
        <w:t>社会保障和就业支出（类）红十字事业（款）行政运行（项）：支出决算数为36.00万元，比上年决算减少16.72万元，下降31.71%，主要原因是：</w:t>
      </w:r>
      <w:r>
        <w:rPr>
          <w:rFonts w:hint="eastAsia" w:ascii="仿宋_GB2312" w:eastAsia="仿宋_GB2312"/>
          <w:b w:val="0"/>
          <w:sz w:val="32"/>
          <w:szCs w:val="32"/>
          <w:lang w:val="en-US" w:eastAsia="zh-CN"/>
        </w:rPr>
        <w:t>本年度应急救护培训减少，同时新增退休人员1名。</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社会保障和就业支出（类）红十字事业（款）其他红十字事业支出（项）：支出决算数为5.00万元，比上年决算增加5.00万元，增长100.00%，主要原因是：</w:t>
      </w:r>
      <w:r>
        <w:rPr>
          <w:rFonts w:hint="eastAsia" w:ascii="仿宋_GB2312" w:eastAsia="仿宋_GB2312"/>
          <w:b w:val="0"/>
          <w:sz w:val="32"/>
          <w:szCs w:val="32"/>
          <w:lang w:val="en-US" w:eastAsia="zh-CN"/>
        </w:rPr>
        <w:t>本年度办公费较上年度增加，且在其他红十字事业支出填列。</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卫生健康支出（类）行政事业单位医疗（款）行政单位医疗（项）：支出决算数为1.74万元，比上年决算减少1.09万元，下降38.52%，主要原因是：</w:t>
      </w:r>
      <w:r>
        <w:rPr>
          <w:rFonts w:hint="eastAsia" w:ascii="仿宋_GB2312" w:eastAsia="仿宋_GB2312"/>
          <w:b w:val="0"/>
          <w:sz w:val="32"/>
          <w:szCs w:val="32"/>
          <w:lang w:val="en-US" w:eastAsia="zh-CN"/>
        </w:rPr>
        <w:t>本年度新增退休人员1名。</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卫生健康支出（类）行政事业单位医疗（款）公务员医疗补助（项）：支出决算数为0.72万元，比上年决算减少0.78万元，下降52.00%，主要原因是：</w:t>
      </w:r>
      <w:r>
        <w:rPr>
          <w:rFonts w:hint="eastAsia" w:ascii="仿宋_GB2312" w:eastAsia="仿宋_GB2312"/>
          <w:b w:val="0"/>
          <w:sz w:val="32"/>
          <w:szCs w:val="32"/>
          <w:lang w:val="en-US" w:eastAsia="zh-CN"/>
        </w:rPr>
        <w:t>本年度新增退休人员1名。</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住房保障支出（类）住房改革支出（款）住房公积金（项）：支出决算数为3.16万元，比上年决算减少1.36万元，下降30.09%，主要原因是：</w:t>
      </w:r>
      <w:r>
        <w:rPr>
          <w:rFonts w:hint="eastAsia" w:ascii="仿宋_GB2312" w:eastAsia="仿宋_GB2312"/>
          <w:b w:val="0"/>
          <w:sz w:val="32"/>
          <w:szCs w:val="32"/>
          <w:lang w:val="en-US" w:eastAsia="zh-CN"/>
        </w:rPr>
        <w:t>本年度新增退休人员1名。</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53.22万元，其中：人员经费49.08万元，包括：基本工资、津贴补贴、奖金、机关事业单位基本养老保险缴费、职业年金缴费、职工基本医疗保险缴费、公务员医疗补助缴费、其他社会保障缴费、住房公积金、其他工资福利支出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公用经费4.14万元，包括：办公费、邮电费、培训费、工会经费、福利费和公务用车运行维护费。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2024年度财政拨款“三公”经费支出2.40万元，比上年增加1.29万元，增长116.22%，主要原因是：</w:t>
      </w:r>
      <w:r>
        <w:rPr>
          <w:rFonts w:hint="eastAsia" w:ascii="仿宋_GB2312" w:eastAsia="仿宋_GB2312"/>
          <w:b w:val="0"/>
          <w:sz w:val="32"/>
          <w:szCs w:val="32"/>
          <w:lang w:val="en-US" w:eastAsia="zh-CN"/>
        </w:rPr>
        <w:t>本年度公务用车出勤次数较上年度增加，导致公务用车油费增加</w:t>
      </w:r>
      <w:r>
        <w:rPr>
          <w:rFonts w:ascii="仿宋_GB2312" w:eastAsia="仿宋_GB2312"/>
          <w:b w:val="0"/>
          <w:sz w:val="32"/>
          <w:szCs w:val="32"/>
        </w:rPr>
        <w:t>。其中：因公出国（境）费支出0.00万元,占0.00%，与上年相比无变化，主要原因是：</w:t>
      </w:r>
      <w:r>
        <w:rPr>
          <w:rFonts w:hint="eastAsia" w:ascii="仿宋_GB2312" w:eastAsia="仿宋_GB2312"/>
          <w:color w:val="auto"/>
          <w:sz w:val="32"/>
          <w:szCs w:val="32"/>
          <w:highlight w:val="none"/>
          <w:lang w:val="zh-CN" w:eastAsia="zh-CN"/>
        </w:rPr>
        <w:t>本年无因公出国（境）费支出</w:t>
      </w:r>
      <w:r>
        <w:rPr>
          <w:rFonts w:ascii="仿宋_GB2312" w:eastAsia="仿宋_GB2312"/>
          <w:b w:val="0"/>
          <w:sz w:val="32"/>
          <w:szCs w:val="32"/>
        </w:rPr>
        <w:t>；公务用车购置及运行维护费支出2.40万元，占100.00%，比上年增加1.29万元，增长116.22%，主要原因是：</w:t>
      </w:r>
      <w:r>
        <w:rPr>
          <w:rFonts w:hint="eastAsia" w:ascii="仿宋_GB2312" w:eastAsia="仿宋_GB2312"/>
          <w:b w:val="0"/>
          <w:sz w:val="32"/>
          <w:szCs w:val="32"/>
          <w:lang w:val="en-US" w:eastAsia="zh-CN"/>
        </w:rPr>
        <w:t>本年度公务用车出勤次数较上年度增加，导致公务用车油费增加</w:t>
      </w:r>
      <w:r>
        <w:rPr>
          <w:rFonts w:ascii="仿宋_GB2312" w:eastAsia="仿宋_GB2312"/>
          <w:b w:val="0"/>
          <w:sz w:val="32"/>
          <w:szCs w:val="32"/>
        </w:rPr>
        <w:t>；公务接待费支出0.00万元，占0.00%，与上年相比无变化，主要原因是：</w:t>
      </w:r>
      <w:r>
        <w:rPr>
          <w:rFonts w:hint="eastAsia" w:ascii="仿宋_GB2312" w:eastAsia="仿宋_GB2312"/>
          <w:color w:val="auto"/>
          <w:sz w:val="32"/>
          <w:szCs w:val="32"/>
          <w:highlight w:val="none"/>
          <w:lang w:val="zh-CN" w:eastAsia="zh-CN"/>
        </w:rPr>
        <w:t>本年无公务接待支出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color w:val="auto"/>
          <w:sz w:val="32"/>
          <w:szCs w:val="32"/>
          <w:highlight w:val="none"/>
          <w:lang w:val="en-US" w:eastAsia="zh-CN"/>
        </w:rPr>
        <w:t>本年度未安排</w:t>
      </w:r>
      <w:r>
        <w:rPr>
          <w:rFonts w:hint="eastAsia" w:ascii="仿宋_GB2312" w:eastAsia="仿宋_GB2312"/>
          <w:color w:val="auto"/>
          <w:sz w:val="32"/>
          <w:szCs w:val="32"/>
          <w:highlight w:val="none"/>
        </w:rPr>
        <w:t>因公出国（境）费支出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无开支内容</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公务用车购置及运行维护费2.40万元，其中：公务用车购置费0.00万元，公务用车运行维护费2.40万元。公务用车运行维护费开支内容包括</w:t>
      </w:r>
      <w:r>
        <w:rPr>
          <w:rFonts w:hint="eastAsia" w:ascii="仿宋_GB2312" w:eastAsia="仿宋_GB2312"/>
          <w:color w:val="auto"/>
          <w:sz w:val="32"/>
          <w:szCs w:val="32"/>
          <w:highlight w:val="none"/>
          <w:lang w:val="zh-CN" w:eastAsia="zh-CN"/>
        </w:rPr>
        <w:t>公务用车保险费、燃油费</w:t>
      </w:r>
      <w:r>
        <w:rPr>
          <w:rFonts w:ascii="仿宋_GB2312" w:eastAsia="仿宋_GB2312"/>
          <w:b w:val="0"/>
          <w:sz w:val="32"/>
          <w:szCs w:val="32"/>
        </w:rPr>
        <w:t>。公务用车购置数0辆，公务用车保有量1辆。国有资产占用情况中固定资产车辆1辆，与公务用车保有量差异原因是：</w:t>
      </w:r>
      <w:r>
        <w:rPr>
          <w:rFonts w:hint="eastAsia" w:ascii="仿宋_GB2312" w:eastAsia="仿宋_GB2312"/>
          <w:b w:val="0"/>
          <w:sz w:val="32"/>
          <w:szCs w:val="32"/>
          <w:lang w:val="en-US" w:eastAsia="zh-CN"/>
        </w:rPr>
        <w:t>与公务用车保有量无差异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color w:val="auto"/>
          <w:sz w:val="32"/>
          <w:szCs w:val="32"/>
          <w:highlight w:val="none"/>
          <w:lang w:val="en-US" w:eastAsia="zh-CN"/>
        </w:rPr>
        <w:t>本年度未安排</w:t>
      </w:r>
      <w:r>
        <w:rPr>
          <w:rFonts w:hint="eastAsia" w:ascii="仿宋_GB2312" w:eastAsia="仿宋_GB2312"/>
          <w:color w:val="auto"/>
          <w:sz w:val="32"/>
          <w:szCs w:val="32"/>
          <w:highlight w:val="none"/>
        </w:rPr>
        <w:t>公务接待费支出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无开支内容</w:t>
      </w:r>
      <w:r>
        <w:rPr>
          <w:rFonts w:ascii="仿宋_GB2312" w:eastAsia="仿宋_GB2312"/>
          <w:b w:val="0"/>
          <w:sz w:val="32"/>
          <w:szCs w:val="32"/>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与全年预算相比，财政拨款“三公”经费支出全年预算数2.40万元，决算数2.40万元，预决算差异率0.00%，主要原因是：</w:t>
      </w:r>
      <w:r>
        <w:rPr>
          <w:rFonts w:hint="eastAsia" w:ascii="仿宋_GB2312" w:eastAsia="仿宋_GB2312"/>
          <w:b w:val="0"/>
          <w:sz w:val="32"/>
          <w:szCs w:val="32"/>
          <w:lang w:val="en-US" w:eastAsia="zh-CN"/>
        </w:rPr>
        <w:t>我单位严格控制三公经费支出，预决算保持一致</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rPr>
        <w:t>因公出国（境）费</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rPr>
        <w:t>公务用车购置费</w:t>
      </w:r>
      <w:r>
        <w:rPr>
          <w:rFonts w:ascii="仿宋_GB2312" w:eastAsia="仿宋_GB2312"/>
          <w:b w:val="0"/>
          <w:sz w:val="32"/>
          <w:szCs w:val="32"/>
        </w:rPr>
        <w:t>。公务用车运行维护费全年预算数2.40万元，决算数2.40万元，预决算差异率0.00%，主要原因是：</w:t>
      </w:r>
      <w:r>
        <w:rPr>
          <w:rFonts w:hint="eastAsia" w:ascii="仿宋_GB2312" w:eastAsia="仿宋_GB2312"/>
          <w:b w:val="0"/>
          <w:sz w:val="32"/>
          <w:szCs w:val="32"/>
          <w:lang w:val="en-US" w:eastAsia="zh-CN"/>
        </w:rPr>
        <w:t>我单位严格控制三公经费支出，预决算保持一致</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rPr>
        <w:t>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2024年度库尔勒市红十字会单位机关运行经费支出4.14万元，比上年减少4.51万元，下降52.14%，主要原因是：</w:t>
      </w:r>
      <w:r>
        <w:rPr>
          <w:rFonts w:hint="eastAsia" w:ascii="仿宋_GB2312" w:eastAsia="仿宋_GB2312"/>
          <w:b w:val="0"/>
          <w:sz w:val="32"/>
          <w:szCs w:val="32"/>
          <w:lang w:val="en-US" w:eastAsia="zh-CN"/>
        </w:rPr>
        <w:t>本年度新增退休人员1名</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2024年度政府采购支出总额4.43万元，其中：政府采购货物支出2.16万元、政府采购工程支出0.00万元、政府采购服务支出2.27万元。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授予中小企业合同金额4.14万元，占政府采购支出总额的93.45%，其中：授予小微企业合同金额3.88万元，占政府采购支出总额的87.58%。</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15.00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lang w:val="en-US" w:eastAsia="zh-CN"/>
        </w:rPr>
        <w:t>公务用车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val="0"/>
        <w:kinsoku/>
        <w:wordWrap/>
        <w:overflowPunct/>
        <w:topLinePunct w:val="0"/>
        <w:autoSpaceDE/>
        <w:autoSpaceDN/>
        <w:bidi w:val="0"/>
        <w:adjustRightInd/>
        <w:spacing w:line="360" w:lineRule="auto"/>
        <w:jc w:val="left"/>
        <w:textAlignment w:val="auto"/>
        <w:rPr>
          <w:rFonts w:ascii="仿宋_GB2312" w:eastAsia="仿宋_GB2312" w:hAnsiTheme="minorHAnsi" w:cstheme="minorBidi"/>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58.22</w:t>
      </w:r>
      <w:r>
        <w:rPr>
          <w:rFonts w:ascii="仿宋_GB2312" w:eastAsia="仿宋_GB2312"/>
          <w:b w:val="0"/>
          <w:sz w:val="32"/>
          <w:szCs w:val="32"/>
        </w:rPr>
        <w:t>万元，实际执行总额</w:t>
      </w:r>
      <w:r>
        <w:rPr>
          <w:rFonts w:hint="eastAsia" w:ascii="仿宋_GB2312" w:eastAsia="仿宋_GB2312"/>
          <w:b w:val="0"/>
          <w:sz w:val="32"/>
          <w:szCs w:val="32"/>
          <w:lang w:val="en-US" w:eastAsia="zh-CN"/>
        </w:rPr>
        <w:t>58.22</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0</w:t>
      </w:r>
      <w:bookmarkStart w:id="0" w:name="_GoBack"/>
      <w:bookmarkEnd w:id="0"/>
      <w:r>
        <w:rPr>
          <w:rFonts w:ascii="仿宋_GB2312" w:eastAsia="仿宋_GB2312"/>
          <w:b w:val="0"/>
          <w:sz w:val="32"/>
          <w:szCs w:val="32"/>
        </w:rPr>
        <w:t>个，全年预算数</w:t>
      </w:r>
      <w:r>
        <w:rPr>
          <w:rFonts w:hint="eastAsia" w:ascii="仿宋_GB2312" w:eastAsia="仿宋_GB2312"/>
          <w:b w:val="0"/>
          <w:sz w:val="32"/>
          <w:szCs w:val="32"/>
          <w:lang w:val="en-US" w:eastAsia="zh-CN"/>
        </w:rPr>
        <w:t>0</w:t>
      </w:r>
      <w:r>
        <w:rPr>
          <w:rFonts w:ascii="仿宋_GB2312" w:eastAsia="仿宋_GB2312"/>
          <w:b w:val="0"/>
          <w:sz w:val="32"/>
          <w:szCs w:val="32"/>
        </w:rPr>
        <w:t>万元，全年执行数</w:t>
      </w:r>
      <w:r>
        <w:rPr>
          <w:rFonts w:hint="eastAsia" w:ascii="仿宋_GB2312" w:eastAsia="仿宋_GB2312"/>
          <w:b w:val="0"/>
          <w:sz w:val="32"/>
          <w:szCs w:val="32"/>
          <w:lang w:val="en-US" w:eastAsia="zh-CN"/>
        </w:rPr>
        <w:t>0</w:t>
      </w:r>
      <w:r>
        <w:rPr>
          <w:rFonts w:ascii="仿宋_GB2312" w:eastAsia="仿宋_GB2312"/>
          <w:b w:val="0"/>
          <w:sz w:val="32"/>
          <w:szCs w:val="32"/>
        </w:rPr>
        <w:t>万元。预算绩效管理取得的成效：</w:t>
      </w:r>
      <w:r>
        <w:rPr>
          <w:rFonts w:hint="eastAsia" w:ascii="仿宋_GB2312" w:eastAsia="仿宋_GB2312" w:hAnsiTheme="minorHAnsi" w:cstheme="minorBidi"/>
          <w:b w:val="0"/>
          <w:sz w:val="32"/>
          <w:szCs w:val="32"/>
          <w:lang w:val="en-US" w:eastAsia="zh-CN"/>
        </w:rPr>
        <w:t>通过绩效评价分析部门整体支出对单位基本运转及单位职能履职的保障作用，总结经验做法，找出资金使用和管理中的薄弱环节，进一步加强预算管理，提高财政资金使用效益</w:t>
      </w:r>
      <w:r>
        <w:rPr>
          <w:rFonts w:ascii="仿宋_GB2312" w:eastAsia="仿宋_GB2312"/>
          <w:b w:val="0"/>
          <w:sz w:val="32"/>
          <w:szCs w:val="32"/>
        </w:rPr>
        <w:t>。发现的问题及原因：</w:t>
      </w:r>
      <w:r>
        <w:rPr>
          <w:rFonts w:hint="eastAsia" w:ascii="仿宋_GB2312" w:eastAsia="仿宋_GB2312" w:hAnsiTheme="minorHAnsi" w:cstheme="minorBidi"/>
          <w:b w:val="0"/>
          <w:sz w:val="32"/>
          <w:szCs w:val="32"/>
          <w:lang w:eastAsia="zh-CN"/>
        </w:rPr>
        <w:t>一是</w:t>
      </w:r>
      <w:r>
        <w:rPr>
          <w:rFonts w:hint="eastAsia" w:ascii="仿宋_GB2312" w:eastAsia="仿宋_GB2312" w:hAnsiTheme="minorHAnsi" w:cstheme="minorBidi"/>
          <w:b w:val="0"/>
          <w:sz w:val="32"/>
          <w:szCs w:val="32"/>
        </w:rPr>
        <w:t>在日常绩效工作中存在着一定程度的“重分配、轻管理、重支出、轻绩效”的情况，造成该问题的主要原因是自身绩效理念较薄弱，单位绩效目标编制仍有缺失，需要进一步加强对资金绩效管理的重视程度。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eastAsia="仿宋_GB2312" w:hAnsiTheme="minorHAnsi" w:cstheme="minorBidi"/>
          <w:b w:val="0"/>
          <w:sz w:val="32"/>
          <w:szCs w:val="32"/>
          <w:lang w:eastAsia="zh-CN"/>
        </w:rPr>
        <w:t>二是</w:t>
      </w:r>
      <w:r>
        <w:rPr>
          <w:rFonts w:hint="eastAsia" w:ascii="仿宋_GB2312" w:eastAsia="仿宋_GB2312" w:hAnsiTheme="minorHAnsi" w:cstheme="minorBidi"/>
          <w:b w:val="0"/>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r>
        <w:rPr>
          <w:rFonts w:ascii="仿宋_GB2312" w:eastAsia="仿宋_GB2312" w:hAnsiTheme="minorHAnsi" w:cstheme="minorBidi"/>
          <w:b w:val="0"/>
          <w:sz w:val="32"/>
          <w:szCs w:val="32"/>
        </w:rPr>
        <w:t>。下一步改进措施：</w:t>
      </w:r>
      <w:r>
        <w:rPr>
          <w:rFonts w:hint="eastAsia" w:ascii="仿宋_GB2312" w:eastAsia="仿宋_GB2312" w:hAnsiTheme="minorHAnsi" w:cstheme="minorBidi"/>
          <w:b w:val="0"/>
          <w:sz w:val="32"/>
          <w:szCs w:val="32"/>
          <w:lang w:eastAsia="zh-CN"/>
        </w:rPr>
        <w:t>一是</w:t>
      </w:r>
      <w:r>
        <w:rPr>
          <w:rFonts w:hint="eastAsia" w:ascii="仿宋_GB2312" w:eastAsia="仿宋_GB2312" w:hAnsiTheme="minorHAnsi" w:cstheme="minorBidi"/>
          <w:b w:val="0"/>
          <w:sz w:val="32"/>
          <w:szCs w:val="32"/>
        </w:rPr>
        <w:t>建立绩效评价与内控体系和管理会计有机结合共同推进的工作机制，财政支出绩效评价和行政事业单位内部控制，都是以《预算法》为根本依据，围绕“预算”开展工作；单位层面和业务层面的风险点与控制，提高管理绩效的水平，有效保证绩效项目资金及时落实到位，保质保量完成各项工作。</w:t>
      </w:r>
    </w:p>
    <w:p>
      <w:pPr>
        <w:keepNext w:val="0"/>
        <w:keepLines w:val="0"/>
        <w:pageBreakBefore w:val="0"/>
        <w:widowControl w:val="0"/>
        <w:kinsoku/>
        <w:wordWrap/>
        <w:overflowPunct/>
        <w:topLinePunct w:val="0"/>
        <w:autoSpaceDE/>
        <w:autoSpaceDN/>
        <w:bidi w:val="0"/>
        <w:adjustRightInd/>
        <w:spacing w:line="360" w:lineRule="auto"/>
        <w:jc w:val="left"/>
        <w:textAlignment w:val="auto"/>
        <w:rPr>
          <w:rFonts w:ascii="仿宋_GB2312" w:eastAsia="仿宋_GB2312"/>
          <w:sz w:val="32"/>
          <w:szCs w:val="32"/>
        </w:rPr>
      </w:pPr>
      <w:r>
        <w:rPr>
          <w:rFonts w:hint="eastAsia" w:ascii="仿宋_GB2312" w:eastAsia="仿宋_GB2312" w:hAnsiTheme="minorHAnsi" w:cstheme="minorBidi"/>
          <w:b w:val="0"/>
          <w:sz w:val="32"/>
          <w:szCs w:val="32"/>
          <w:lang w:eastAsia="zh-CN"/>
        </w:rPr>
        <w:t>二是</w:t>
      </w:r>
      <w:r>
        <w:rPr>
          <w:rFonts w:hint="eastAsia" w:ascii="仿宋_GB2312" w:eastAsia="仿宋_GB2312" w:hAnsiTheme="minorHAnsi" w:cstheme="minorBidi"/>
          <w:b w:val="0"/>
          <w:sz w:val="32"/>
          <w:szCs w:val="32"/>
        </w:rPr>
        <w:t>按照财政支出功能分类，制定绩效监控评价指标分类，提高单位各部门绩效工作意识，各部门相互协作，进一步提高单位绩效评价和绩效管理水平</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rPr>
          <w:rFonts w:ascii="仿宋_GB2312" w:eastAsia="仿宋_GB2312"/>
          <w:b w:val="0"/>
          <w:sz w:val="32"/>
          <w:szCs w:val="32"/>
        </w:rPr>
        <w:t>九、《财政拨款“三公”经费支出决算表》</w:t>
      </w:r>
    </w:p>
    <w:p>
      <w:pPr>
        <w:pStyle w:val="2"/>
        <w:sectPr>
          <w:pgSz w:w="12240" w:h="15840"/>
          <w:pgMar w:top="1440" w:right="1800" w:bottom="1440" w:left="1800" w:header="720" w:footer="720" w:gutter="0"/>
          <w:cols w:space="720" w:num="1"/>
        </w:sectPr>
      </w:pPr>
      <w:r>
        <w:drawing>
          <wp:anchor distT="0" distB="0" distL="114300" distR="114300" simplePos="0" relativeHeight="251659264" behindDoc="0" locked="0" layoutInCell="1" allowOverlap="1">
            <wp:simplePos x="0" y="0"/>
            <wp:positionH relativeFrom="column">
              <wp:posOffset>-119380</wp:posOffset>
            </wp:positionH>
            <wp:positionV relativeFrom="paragraph">
              <wp:posOffset>715645</wp:posOffset>
            </wp:positionV>
            <wp:extent cx="5796915" cy="5743575"/>
            <wp:effectExtent l="0" t="0" r="13335" b="952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96915" cy="5743575"/>
                    </a:xfrm>
                    <a:prstGeom prst="rect">
                      <a:avLst/>
                    </a:prstGeom>
                    <a:noFill/>
                    <a:ln>
                      <a:noFill/>
                    </a:ln>
                  </pic:spPr>
                </pic:pic>
              </a:graphicData>
            </a:graphic>
          </wp:anchor>
        </w:drawing>
      </w:r>
    </w:p>
    <w:p>
      <w:pPr>
        <w:pStyle w:val="2"/>
        <w:sectPr>
          <w:pgSz w:w="12240" w:h="15840"/>
          <w:pgMar w:top="1440" w:right="1800" w:bottom="1440" w:left="1800" w:header="720" w:footer="720" w:gutter="0"/>
          <w:cols w:space="720" w:num="1"/>
        </w:sectPr>
      </w:pPr>
      <w:r>
        <w:drawing>
          <wp:anchor distT="0" distB="0" distL="114300" distR="114300" simplePos="0" relativeHeight="251660288" behindDoc="0" locked="0" layoutInCell="1" allowOverlap="1">
            <wp:simplePos x="0" y="0"/>
            <wp:positionH relativeFrom="column">
              <wp:posOffset>-8255</wp:posOffset>
            </wp:positionH>
            <wp:positionV relativeFrom="paragraph">
              <wp:posOffset>204470</wp:posOffset>
            </wp:positionV>
            <wp:extent cx="5713730" cy="5274945"/>
            <wp:effectExtent l="0" t="0" r="1270" b="190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713730" cy="5274945"/>
                    </a:xfrm>
                    <a:prstGeom prst="rect">
                      <a:avLst/>
                    </a:prstGeom>
                    <a:noFill/>
                    <a:ln>
                      <a:noFill/>
                    </a:ln>
                  </pic:spPr>
                </pic:pic>
              </a:graphicData>
            </a:graphic>
          </wp:anchor>
        </w:drawing>
      </w:r>
    </w:p>
    <w:p>
      <w:pPr>
        <w:pStyle w:val="2"/>
        <w:sectPr>
          <w:pgSz w:w="12240" w:h="15840"/>
          <w:pgMar w:top="1440" w:right="1800" w:bottom="1440" w:left="1800" w:header="720" w:footer="720" w:gutter="0"/>
          <w:cols w:space="720" w:num="1"/>
        </w:sectPr>
      </w:pPr>
      <w:r>
        <w:drawing>
          <wp:anchor distT="0" distB="0" distL="114300" distR="114300" simplePos="0" relativeHeight="251661312" behindDoc="0" locked="0" layoutInCell="1" allowOverlap="1">
            <wp:simplePos x="0" y="0"/>
            <wp:positionH relativeFrom="column">
              <wp:posOffset>-132080</wp:posOffset>
            </wp:positionH>
            <wp:positionV relativeFrom="paragraph">
              <wp:posOffset>328295</wp:posOffset>
            </wp:positionV>
            <wp:extent cx="5807710" cy="4763135"/>
            <wp:effectExtent l="0" t="0" r="2540" b="1841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807710" cy="4763135"/>
                    </a:xfrm>
                    <a:prstGeom prst="rect">
                      <a:avLst/>
                    </a:prstGeom>
                    <a:noFill/>
                    <a:ln>
                      <a:noFill/>
                    </a:ln>
                  </pic:spPr>
                </pic:pic>
              </a:graphicData>
            </a:graphic>
          </wp:anchor>
        </w:drawing>
      </w:r>
    </w:p>
    <w:p>
      <w:pPr>
        <w:pStyle w:val="2"/>
        <w:sectPr>
          <w:pgSz w:w="12240" w:h="15840"/>
          <w:pgMar w:top="1440" w:right="1800" w:bottom="1440" w:left="1800" w:header="720" w:footer="720" w:gutter="0"/>
          <w:cols w:space="720" w:num="1"/>
        </w:sectPr>
      </w:pPr>
      <w:r>
        <w:drawing>
          <wp:anchor distT="0" distB="0" distL="114300" distR="114300" simplePos="0" relativeHeight="251662336" behindDoc="0" locked="0" layoutInCell="1" allowOverlap="1">
            <wp:simplePos x="0" y="0"/>
            <wp:positionH relativeFrom="column">
              <wp:posOffset>-8255</wp:posOffset>
            </wp:positionH>
            <wp:positionV relativeFrom="paragraph">
              <wp:posOffset>466725</wp:posOffset>
            </wp:positionV>
            <wp:extent cx="5664200" cy="5555615"/>
            <wp:effectExtent l="0" t="0" r="12700" b="698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664200" cy="5555615"/>
                    </a:xfrm>
                    <a:prstGeom prst="rect">
                      <a:avLst/>
                    </a:prstGeom>
                    <a:noFill/>
                    <a:ln>
                      <a:noFill/>
                    </a:ln>
                  </pic:spPr>
                </pic:pic>
              </a:graphicData>
            </a:graphic>
          </wp:anchor>
        </w:drawing>
      </w:r>
    </w:p>
    <w:p>
      <w:pPr>
        <w:pStyle w:val="2"/>
        <w:sectPr>
          <w:pgSz w:w="12240" w:h="15840"/>
          <w:pgMar w:top="1440" w:right="1800" w:bottom="1440" w:left="1800" w:header="720" w:footer="720" w:gutter="0"/>
          <w:cols w:space="720" w:num="1"/>
        </w:sectPr>
      </w:pPr>
      <w:r>
        <w:drawing>
          <wp:anchor distT="0" distB="0" distL="114300" distR="114300" simplePos="0" relativeHeight="251663360" behindDoc="0" locked="0" layoutInCell="1" allowOverlap="1">
            <wp:simplePos x="0" y="0"/>
            <wp:positionH relativeFrom="column">
              <wp:posOffset>-145415</wp:posOffset>
            </wp:positionH>
            <wp:positionV relativeFrom="paragraph">
              <wp:posOffset>342265</wp:posOffset>
            </wp:positionV>
            <wp:extent cx="5840095" cy="5220335"/>
            <wp:effectExtent l="0" t="0" r="8255" b="1841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840095" cy="5220335"/>
                    </a:xfrm>
                    <a:prstGeom prst="rect">
                      <a:avLst/>
                    </a:prstGeom>
                    <a:noFill/>
                    <a:ln>
                      <a:noFill/>
                    </a:ln>
                  </pic:spPr>
                </pic:pic>
              </a:graphicData>
            </a:graphic>
          </wp:anchor>
        </w:drawing>
      </w:r>
    </w:p>
    <w:p>
      <w:pPr>
        <w:pStyle w:val="2"/>
        <w:sectPr>
          <w:pgSz w:w="12240" w:h="15840"/>
          <w:pgMar w:top="1440" w:right="1800" w:bottom="1440" w:left="1800" w:header="720" w:footer="720" w:gutter="0"/>
          <w:cols w:space="720" w:num="1"/>
        </w:sectPr>
      </w:pPr>
      <w:r>
        <w:drawing>
          <wp:anchor distT="0" distB="0" distL="114300" distR="114300" simplePos="0" relativeHeight="251664384" behindDoc="0" locked="0" layoutInCell="1" allowOverlap="1">
            <wp:simplePos x="0" y="0"/>
            <wp:positionH relativeFrom="column">
              <wp:posOffset>-49530</wp:posOffset>
            </wp:positionH>
            <wp:positionV relativeFrom="paragraph">
              <wp:posOffset>218440</wp:posOffset>
            </wp:positionV>
            <wp:extent cx="5758180" cy="5902960"/>
            <wp:effectExtent l="0" t="0" r="13970" b="254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758180" cy="5902960"/>
                    </a:xfrm>
                    <a:prstGeom prst="rect">
                      <a:avLst/>
                    </a:prstGeom>
                    <a:noFill/>
                    <a:ln>
                      <a:noFill/>
                    </a:ln>
                  </pic:spPr>
                </pic:pic>
              </a:graphicData>
            </a:graphic>
          </wp:anchor>
        </w:drawing>
      </w:r>
    </w:p>
    <w:p>
      <w:pPr>
        <w:pStyle w:val="2"/>
        <w:sectPr>
          <w:pgSz w:w="12240" w:h="15840"/>
          <w:pgMar w:top="1440" w:right="1800" w:bottom="1440" w:left="1800" w:header="720" w:footer="720" w:gutter="0"/>
          <w:cols w:space="720" w:num="1"/>
        </w:sectPr>
      </w:pPr>
      <w:r>
        <w:drawing>
          <wp:inline distT="0" distB="0" distL="114300" distR="114300">
            <wp:extent cx="5483860" cy="1986280"/>
            <wp:effectExtent l="0" t="0" r="2540" b="1397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0"/>
                    <a:stretch>
                      <a:fillRect/>
                    </a:stretch>
                  </pic:blipFill>
                  <pic:spPr>
                    <a:xfrm>
                      <a:off x="0" y="0"/>
                      <a:ext cx="5483860" cy="1986280"/>
                    </a:xfrm>
                    <a:prstGeom prst="rect">
                      <a:avLst/>
                    </a:prstGeom>
                    <a:noFill/>
                    <a:ln>
                      <a:noFill/>
                    </a:ln>
                  </pic:spPr>
                </pic:pic>
              </a:graphicData>
            </a:graphic>
          </wp:inline>
        </w:drawing>
      </w:r>
    </w:p>
    <w:p>
      <w:pPr>
        <w:pStyle w:val="2"/>
        <w:sectPr>
          <w:pgSz w:w="12240" w:h="15840"/>
          <w:pgMar w:top="1440" w:right="1800" w:bottom="1440" w:left="1800" w:header="720" w:footer="720" w:gutter="0"/>
          <w:cols w:space="720" w:num="1"/>
        </w:sectPr>
      </w:pPr>
      <w:r>
        <w:drawing>
          <wp:inline distT="0" distB="0" distL="114300" distR="114300">
            <wp:extent cx="5483860" cy="1986280"/>
            <wp:effectExtent l="0" t="0" r="2540" b="1397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1"/>
                    <a:stretch>
                      <a:fillRect/>
                    </a:stretch>
                  </pic:blipFill>
                  <pic:spPr>
                    <a:xfrm>
                      <a:off x="0" y="0"/>
                      <a:ext cx="5483860" cy="1986280"/>
                    </a:xfrm>
                    <a:prstGeom prst="rect">
                      <a:avLst/>
                    </a:prstGeom>
                    <a:noFill/>
                    <a:ln>
                      <a:noFill/>
                    </a:ln>
                  </pic:spPr>
                </pic:pic>
              </a:graphicData>
            </a:graphic>
          </wp:inline>
        </w:drawing>
      </w:r>
    </w:p>
    <w:p>
      <w:pPr>
        <w:pStyle w:val="2"/>
      </w:pPr>
      <w:r>
        <w:drawing>
          <wp:anchor distT="0" distB="0" distL="114300" distR="114300" simplePos="0" relativeHeight="251665408" behindDoc="0" locked="0" layoutInCell="1" allowOverlap="1">
            <wp:simplePos x="0" y="0"/>
            <wp:positionH relativeFrom="column">
              <wp:posOffset>33020</wp:posOffset>
            </wp:positionH>
            <wp:positionV relativeFrom="paragraph">
              <wp:posOffset>328295</wp:posOffset>
            </wp:positionV>
            <wp:extent cx="5558155" cy="1637665"/>
            <wp:effectExtent l="0" t="0" r="4445" b="635"/>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558155" cy="1637665"/>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rsids>
    <w:rsidRoot w:val="00000000"/>
    <w:rsid w:val="08532920"/>
    <w:rsid w:val="0BCD7D13"/>
    <w:rsid w:val="6639032E"/>
    <w:rsid w:val="679B08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spacing w:before="61"/>
      <w:ind w:left="117"/>
    </w:pPr>
    <w:rPr>
      <w:szCs w:val="30"/>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2025-08-15T09:46:00Z</dcterms:created>
  <dc:creator>Administrator</dc:creator>
  <cp:lastModifiedBy>lenovo</cp:lastModifiedBy>
  <dcterms:modified xsi:type="dcterms:W3CDTF">2025-08-20T12:30:44Z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4CC5363B64244B49A4D860DC3338F997</vt:lpwstr>
  </property>
</Properties>
</file>