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eastAsia="zh-CN"/>
        </w:rPr>
        <w:t>《</w:t>
      </w:r>
      <w:r>
        <w:rPr>
          <w:rFonts w:hint="eastAsia" w:eastAsia="方正小标宋_GBK" w:cs="Times New Roman"/>
          <w:kern w:val="0"/>
          <w:sz w:val="48"/>
          <w:szCs w:val="48"/>
          <w:lang w:val="en-US" w:eastAsia="zh-CN"/>
        </w:rPr>
        <w:t>关于调整下达2024年自治区科技计划专项资金</w:t>
      </w:r>
      <w:r>
        <w:rPr>
          <w:rFonts w:hint="eastAsia" w:ascii="方正仿宋_GBK" w:hAnsi="方正仿宋_GBK" w:eastAsia="方正仿宋_GBK" w:cs="方正仿宋_GBK"/>
          <w:kern w:val="0"/>
          <w:sz w:val="48"/>
          <w:szCs w:val="48"/>
          <w:lang w:val="en-US" w:eastAsia="zh-CN"/>
        </w:rPr>
        <w:t>[</w:t>
      </w:r>
      <w:r>
        <w:rPr>
          <w:rFonts w:hint="eastAsia" w:eastAsia="方正小标宋_GBK" w:cs="Times New Roman"/>
          <w:kern w:val="0"/>
          <w:sz w:val="48"/>
          <w:szCs w:val="48"/>
          <w:lang w:val="en-US" w:eastAsia="zh-CN"/>
        </w:rPr>
        <w:t>第三批</w:t>
      </w:r>
      <w:r>
        <w:rPr>
          <w:rFonts w:hint="eastAsia" w:ascii="方正仿宋_GBK" w:hAnsi="方正仿宋_GBK" w:eastAsia="方正仿宋_GBK" w:cs="方正仿宋_GBK"/>
          <w:kern w:val="0"/>
          <w:sz w:val="48"/>
          <w:szCs w:val="48"/>
          <w:lang w:val="en-US" w:eastAsia="zh-CN"/>
        </w:rPr>
        <w:t>]</w:t>
      </w:r>
      <w:r>
        <w:rPr>
          <w:rFonts w:hint="eastAsia" w:eastAsia="方正小标宋_GBK" w:cs="Times New Roman"/>
          <w:kern w:val="0"/>
          <w:sz w:val="48"/>
          <w:szCs w:val="48"/>
          <w:lang w:val="en-US" w:eastAsia="zh-CN"/>
        </w:rPr>
        <w:t>的通知</w:t>
      </w:r>
      <w:r>
        <w:rPr>
          <w:rFonts w:hint="eastAsia" w:eastAsia="方正小标宋_GBK" w:cs="Times New Roman"/>
          <w:kern w:val="0"/>
          <w:sz w:val="48"/>
          <w:szCs w:val="48"/>
          <w:lang w:eastAsia="zh-CN"/>
        </w:rPr>
        <w:t>》</w:t>
      </w:r>
      <w:r>
        <w:rPr>
          <w:rFonts w:hint="default" w:ascii="Times New Roman" w:hAnsi="Times New Roman" w:eastAsia="方正小标宋_GBK" w:cs="Times New Roman"/>
          <w:kern w:val="0"/>
          <w:sz w:val="48"/>
          <w:szCs w:val="48"/>
        </w:rPr>
        <w:t>项目支出绩效评价报告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0"/>
        <w:rPr>
          <w:rFonts w:hint="default" w:ascii="Times New Roman" w:hAnsi="Times New Roman" w:cs="Times New Roman"/>
        </w:rPr>
      </w:pPr>
    </w:p>
    <w:p>
      <w:pPr>
        <w:spacing w:line="540" w:lineRule="exact"/>
        <w:rPr>
          <w:rFonts w:hint="default" w:ascii="Times New Roman" w:hAnsi="Times New Roman" w:eastAsia="仿宋_GB2312" w:cs="Times New Roman"/>
          <w:kern w:val="0"/>
          <w:sz w:val="30"/>
          <w:szCs w:val="30"/>
        </w:rPr>
      </w:pPr>
    </w:p>
    <w:p>
      <w:pPr>
        <w:spacing w:line="700" w:lineRule="exact"/>
        <w:ind w:left="3236" w:leftChars="684" w:hanging="1800" w:hangingChars="5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项目名称：关于调整下达2024年自治区科技计划专项资金[第三批]的通知</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库尔勒市科学技术局</w:t>
      </w:r>
    </w:p>
    <w:p>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库尔勒市科学技术局</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侯建祝</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29</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6"/>
          <w:rFonts w:hint="default" w:ascii="Times New Roman" w:hAnsi="Times New Roman" w:eastAsia="黑体" w:cs="Times New Roman"/>
          <w:b w:val="0"/>
          <w:spacing w:val="-4"/>
          <w:sz w:val="32"/>
          <w:szCs w:val="32"/>
        </w:rPr>
      </w:pPr>
    </w:p>
    <w:p>
      <w:pPr>
        <w:spacing w:line="540" w:lineRule="exact"/>
        <w:rPr>
          <w:rStyle w:val="16"/>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560" w:lineRule="exact"/>
        <w:ind w:firstLine="620" w:firstLineChars="200"/>
        <w:rPr>
          <w:rStyle w:val="16"/>
          <w:rFonts w:hint="default" w:ascii="Times New Roman" w:hAnsi="Times New Roman" w:eastAsia="黑体" w:cs="Times New Roman"/>
          <w:b w:val="0"/>
          <w:bCs/>
          <w:spacing w:val="-4"/>
          <w:sz w:val="32"/>
          <w:szCs w:val="32"/>
          <w:highlight w:val="yellow"/>
          <w:lang w:eastAsia="zh-CN"/>
        </w:rPr>
      </w:pPr>
      <w:r>
        <w:rPr>
          <w:rFonts w:hint="eastAsia" w:eastAsia="方正仿宋_GBK"/>
          <w:sz w:val="31"/>
          <w:szCs w:val="31"/>
          <w:lang w:eastAsia="zh-CN"/>
        </w:rPr>
        <w:t>充分利用国家与自治区鼓励建设农业科技园区的各项政策，按照一二三产业融合、现代服务业引领现代农业发展的理念，以市场为导向，以体制机制创新为动力，以农业农村科技创新创业为切入点，核心区建设按照“一区两园一基地”的格局进行布局，规划面积33355亩，“一区”指库尔勒农业科技园区，“两园”指香梨休闲旅游与种植试验园和梨果深加工与仓储物流园，“一基地”指香梨研发基地，着力实现园区“科技研发、示范引领、生态休闲和技能培训”四大功能，促进</w:t>
      </w:r>
      <w:r>
        <w:rPr>
          <w:rFonts w:hint="eastAsia" w:eastAsia="方正仿宋_GBK"/>
          <w:sz w:val="31"/>
          <w:szCs w:val="31"/>
          <w:lang w:val="en-US" w:eastAsia="zh-CN"/>
        </w:rPr>
        <w:t>农业科技园区</w:t>
      </w:r>
      <w:r>
        <w:rPr>
          <w:rFonts w:hint="eastAsia" w:eastAsia="方正仿宋_GBK"/>
          <w:sz w:val="31"/>
          <w:szCs w:val="31"/>
          <w:lang w:eastAsia="zh-CN"/>
        </w:rPr>
        <w:t>科技成果转化，引进新品种、新技术，建立科技示范基地。</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pacing w:line="560" w:lineRule="exact"/>
        <w:ind w:firstLine="600" w:firstLineChars="200"/>
        <w:rPr>
          <w:rFonts w:hint="default" w:eastAsia="方正仿宋_GBK"/>
          <w:sz w:val="31"/>
          <w:szCs w:val="31"/>
          <w:lang w:val="en-US" w:eastAsia="zh-CN"/>
        </w:rPr>
      </w:pPr>
      <w:r>
        <w:rPr>
          <w:rFonts w:hint="default" w:ascii="Times New Roman" w:hAnsi="Times New Roman" w:eastAsia="仿宋_GB2312" w:cs="Times New Roman"/>
          <w:sz w:val="30"/>
          <w:szCs w:val="30"/>
          <w:highlight w:val="none"/>
          <w:lang w:val="en-US" w:eastAsia="zh-CN"/>
        </w:rPr>
        <w:t>项目主要内容：</w:t>
      </w:r>
      <w:r>
        <w:rPr>
          <w:rFonts w:hint="eastAsia" w:eastAsia="方正仿宋_GBK"/>
          <w:sz w:val="31"/>
          <w:szCs w:val="31"/>
          <w:lang w:eastAsia="zh-CN"/>
        </w:rPr>
        <w:t>引导“优势产业、优化资本、优秀人才、优良技术、优质服务”向园区集聚，努力打造战略性新兴产业带动农业发展的新模式，</w:t>
      </w:r>
      <w:r>
        <w:rPr>
          <w:rFonts w:hint="eastAsia" w:eastAsia="方正仿宋_GBK"/>
          <w:sz w:val="31"/>
          <w:szCs w:val="31"/>
          <w:lang w:val="en-US" w:eastAsia="zh-CN"/>
        </w:rPr>
        <w:t>奖励园区核心区建设单位3个，保障园区正常运转数量1个，</w:t>
      </w:r>
      <w:r>
        <w:rPr>
          <w:rFonts w:hint="eastAsia" w:eastAsia="方正仿宋_GBK"/>
          <w:sz w:val="31"/>
          <w:szCs w:val="31"/>
          <w:lang w:eastAsia="zh-CN"/>
        </w:rPr>
        <w:t>推动传统农业向绿色、生态、创意、精品、高值农业转变</w:t>
      </w:r>
      <w:r>
        <w:rPr>
          <w:rFonts w:hint="eastAsia" w:eastAsia="方正仿宋_GBK"/>
          <w:sz w:val="31"/>
          <w:szCs w:val="31"/>
          <w:lang w:val="en-US" w:eastAsia="zh-CN"/>
        </w:rPr>
        <w:t>。</w:t>
      </w:r>
    </w:p>
    <w:p>
      <w:pPr>
        <w:spacing w:line="560" w:lineRule="exact"/>
        <w:ind w:firstLine="640" w:firstLineChars="200"/>
        <w:rPr>
          <w:rFonts w:hint="default" w:ascii="Times New Roman" w:hAnsi="Times New Roman" w:cs="Times New Roman"/>
          <w:lang w:val="en-US"/>
        </w:rPr>
      </w:pPr>
      <w:r>
        <w:rPr>
          <w:rFonts w:hint="default" w:ascii="Times New Roman" w:hAnsi="Times New Roman" w:eastAsia="仿宋_GB2312" w:cs="Times New Roman"/>
          <w:sz w:val="32"/>
          <w:szCs w:val="32"/>
        </w:rPr>
        <w:t>项目实施情况：</w:t>
      </w:r>
      <w:r>
        <w:rPr>
          <w:rFonts w:hint="eastAsia" w:eastAsia="方正仿宋_GBK"/>
          <w:sz w:val="31"/>
          <w:szCs w:val="31"/>
          <w:lang w:val="en-US" w:eastAsia="zh-CN"/>
        </w:rPr>
        <w:t>奖励园区核心区建设单位3个10万元，其中，库尔勒市香梨研究中心5万元用于核心区香梨产业研发基地建设，新阿瓦缇娜农业集团有限责任公司2万元用于核心区和示范区香梨产业科技成果转化，库尔勒上库高新技术产业开发区3万元用于核心区和示范区香梨产业科技成果转化；保障园区正常运转数量1个5万元，用于农业科技园区领导小组办公室日常运行。</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13.77</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13.77</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13.77</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13.77</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13.77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方正仿宋_GBK"/>
          <w:sz w:val="31"/>
          <w:szCs w:val="31"/>
          <w:lang w:val="en-US" w:eastAsia="zh-CN"/>
        </w:rPr>
        <w:t>奖励园区核心区建设单位3个10万元和保障园区正常运转1个3.77万元</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20" w:firstLineChars="200"/>
        <w:rPr>
          <w:rFonts w:hint="default" w:ascii="Times New Roman" w:hAnsi="Times New Roman" w:eastAsia="黑体" w:cs="Times New Roman"/>
          <w:b w:val="0"/>
          <w:bCs/>
          <w:lang w:eastAsia="zh-CN"/>
        </w:rPr>
      </w:pPr>
      <w:r>
        <w:rPr>
          <w:rFonts w:hint="eastAsia" w:eastAsia="方正仿宋_GBK"/>
          <w:sz w:val="31"/>
          <w:szCs w:val="31"/>
          <w:lang w:val="en-US" w:eastAsia="zh-CN"/>
        </w:rPr>
        <w:t>目标1：奖励园区核心区建设单位数量3个，保障园区正常运转数量1；目标2：通过此项目的实施有效提高传统农业向绿色、生态、创意、精品、高值农业转变。</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pPr>
        <w:spacing w:line="560" w:lineRule="exact"/>
        <w:ind w:firstLine="620" w:firstLineChars="200"/>
        <w:rPr>
          <w:rFonts w:hint="default" w:eastAsia="方正仿宋_GBK"/>
          <w:sz w:val="31"/>
          <w:szCs w:val="31"/>
          <w:lang w:val="en-US" w:eastAsia="zh-CN"/>
        </w:rPr>
      </w:pPr>
      <w:r>
        <w:rPr>
          <w:rFonts w:hint="eastAsia" w:eastAsia="方正仿宋_GBK"/>
          <w:sz w:val="31"/>
          <w:szCs w:val="31"/>
          <w:lang w:val="en-US" w:eastAsia="zh-CN"/>
        </w:rPr>
        <w:t>前期通过对园区建设单位进行充分调研，计划对园区建设单位进行奖励和维持园区正常运转，确定奖励目标。</w:t>
      </w:r>
      <w:r>
        <w:rPr>
          <w:rFonts w:hint="eastAsia" w:eastAsia="方正仿宋_GBK"/>
          <w:sz w:val="31"/>
          <w:szCs w:val="31"/>
          <w:highlight w:val="none"/>
          <w:lang w:val="en-US" w:eastAsia="zh-CN"/>
        </w:rPr>
        <w:t>中期对园区</w:t>
      </w:r>
      <w:r>
        <w:rPr>
          <w:rFonts w:hint="eastAsia" w:eastAsia="方正仿宋_GBK"/>
          <w:sz w:val="31"/>
          <w:szCs w:val="31"/>
          <w:lang w:val="en-US" w:eastAsia="zh-CN"/>
        </w:rPr>
        <w:t>核心区3个建设单位进行奖励，库尔勒市香梨研究中心5万元用于核心区香梨产业研发基地建设，新阿瓦缇娜农业集团有限责任公司2万元用于核心区和示范区香梨产业科技成果转化，库尔勒上库高新技术产业开发区3万元用于核心区和示范区香梨产业科技成果转化；保障园区农业科技园区领导小组办公室日常运行1个5万元。后期对园区奖励对象资金使用情况进行检查，确保资金合规使用。</w:t>
      </w:r>
    </w:p>
    <w:p>
      <w:pPr>
        <w:spacing w:line="560" w:lineRule="exact"/>
        <w:ind w:firstLine="620" w:firstLineChars="200"/>
        <w:rPr>
          <w:rFonts w:hint="eastAsia" w:eastAsia="方正仿宋_GBK"/>
          <w:sz w:val="31"/>
          <w:szCs w:val="31"/>
          <w:lang w:val="en-US" w:eastAsia="zh-CN"/>
        </w:rPr>
      </w:pPr>
      <w:r>
        <w:rPr>
          <w:rFonts w:hint="eastAsia" w:eastAsia="方正仿宋_GBK"/>
          <w:sz w:val="31"/>
          <w:szCs w:val="31"/>
          <w:lang w:val="en-US" w:eastAsia="zh-CN"/>
        </w:rPr>
        <w:t>项目通过奖励园区核心区建设单位和保障园区正常运转，有效提高了传统农业向绿色、生态、创意、精品、高值农业转变。</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kern w:val="0"/>
          <w:sz w:val="36"/>
          <w:szCs w:val="36"/>
        </w:rPr>
        <w:t>关于调整下达2024年自治区科技计划专项资金[第三批]的通知</w:t>
      </w:r>
      <w:r>
        <w:rPr>
          <w:rFonts w:hint="eastAsia" w:eastAsia="仿宋_GB2312" w:cs="Times New Roman"/>
          <w:sz w:val="32"/>
          <w:szCs w:val="32"/>
          <w:highlight w:val="none"/>
          <w:lang w:val="en-US" w:eastAsia="zh-CN"/>
        </w:rPr>
        <w:t>》要求</w:t>
      </w:r>
      <w:r>
        <w:rPr>
          <w:rFonts w:hint="default" w:ascii="Times New Roman" w:hAnsi="Times New Roman" w:eastAsia="仿宋_GB2312" w:cs="Times New Roman"/>
          <w:sz w:val="32"/>
          <w:szCs w:val="32"/>
          <w:highlight w:val="none"/>
          <w:lang w:val="en-US" w:eastAsia="zh-CN"/>
        </w:rPr>
        <w:t>，确保</w:t>
      </w:r>
      <w:r>
        <w:rPr>
          <w:rFonts w:hint="eastAsia" w:eastAsia="仿宋_GB2312" w:cs="Times New Roman"/>
          <w:sz w:val="32"/>
          <w:szCs w:val="32"/>
          <w:highlight w:val="none"/>
          <w:lang w:val="en-US" w:eastAsia="zh-CN"/>
        </w:rPr>
        <w:t>资金使用目标的</w:t>
      </w:r>
      <w:r>
        <w:rPr>
          <w:rFonts w:hint="default" w:ascii="Times New Roman" w:hAnsi="Times New Roman" w:eastAsia="仿宋_GB2312" w:cs="Times New Roman"/>
          <w:sz w:val="32"/>
          <w:szCs w:val="32"/>
          <w:highlight w:val="none"/>
          <w:lang w:val="en-US" w:eastAsia="zh-CN"/>
        </w:rPr>
        <w:t>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w:t>
      </w:r>
      <w:r>
        <w:rPr>
          <w:rFonts w:hint="eastAsia" w:eastAsia="仿宋_GB2312" w:cs="Times New Roman"/>
          <w:sz w:val="32"/>
          <w:szCs w:val="32"/>
          <w:highlight w:val="none"/>
          <w:lang w:val="en-US" w:eastAsia="zh-CN"/>
        </w:rPr>
        <w:t>数量指标、质量指标、时效指标、</w:t>
      </w:r>
      <w:r>
        <w:rPr>
          <w:rFonts w:hint="default" w:ascii="Times New Roman" w:hAnsi="Times New Roman" w:eastAsia="仿宋_GB2312" w:cs="Times New Roman"/>
          <w:sz w:val="32"/>
          <w:szCs w:val="32"/>
          <w:highlight w:val="none"/>
          <w:lang w:val="en-US" w:eastAsia="zh-CN"/>
        </w:rPr>
        <w:t>经济</w:t>
      </w:r>
      <w:r>
        <w:rPr>
          <w:rFonts w:hint="eastAsia" w:eastAsia="仿宋_GB2312" w:cs="Times New Roman"/>
          <w:sz w:val="32"/>
          <w:szCs w:val="32"/>
          <w:highlight w:val="none"/>
          <w:lang w:val="en-US" w:eastAsia="zh-CN"/>
        </w:rPr>
        <w:t>成本</w:t>
      </w:r>
      <w:r>
        <w:rPr>
          <w:rFonts w:hint="default" w:ascii="Times New Roman" w:hAnsi="Times New Roman" w:eastAsia="仿宋_GB2312" w:cs="Times New Roman"/>
          <w:sz w:val="32"/>
          <w:szCs w:val="32"/>
          <w:highlight w:val="none"/>
          <w:lang w:val="en-US" w:eastAsia="zh-CN"/>
        </w:rPr>
        <w:t>效益、社会效益、</w:t>
      </w:r>
      <w:r>
        <w:rPr>
          <w:rFonts w:hint="eastAsia" w:eastAsia="仿宋_GB2312" w:cs="Times New Roman"/>
          <w:sz w:val="32"/>
          <w:szCs w:val="32"/>
          <w:highlight w:val="none"/>
          <w:lang w:val="en-US" w:eastAsia="zh-CN"/>
        </w:rPr>
        <w:t>满意度指标</w:t>
      </w:r>
      <w:r>
        <w:rPr>
          <w:rFonts w:hint="default" w:ascii="Times New Roman" w:hAnsi="Times New Roman" w:eastAsia="仿宋_GB2312" w:cs="Times New Roman"/>
          <w:sz w:val="32"/>
          <w:szCs w:val="32"/>
          <w:highlight w:val="none"/>
          <w:lang w:val="en-US" w:eastAsia="zh-CN"/>
        </w:rPr>
        <w:t>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w:t>
      </w:r>
      <w:r>
        <w:rPr>
          <w:rFonts w:hint="default" w:ascii="Times New Roman" w:hAnsi="Times New Roman" w:eastAsia="仿宋_GB2312" w:cs="Times New Roman"/>
          <w:sz w:val="32"/>
          <w:szCs w:val="32"/>
          <w:highlight w:val="none"/>
          <w:lang w:val="en-US" w:eastAsia="zh-CN"/>
        </w:rPr>
        <w:t>涵盖了</w:t>
      </w:r>
      <w:r>
        <w:rPr>
          <w:rFonts w:hint="eastAsia" w:eastAsia="仿宋_GB2312" w:cs="Times New Roman"/>
          <w:sz w:val="32"/>
          <w:szCs w:val="32"/>
          <w:highlight w:val="none"/>
          <w:lang w:val="en-US" w:eastAsia="zh-CN"/>
        </w:rPr>
        <w:t>数量指标、质量指标、时效指标、</w:t>
      </w:r>
      <w:r>
        <w:rPr>
          <w:rFonts w:hint="default" w:ascii="Times New Roman" w:hAnsi="Times New Roman" w:eastAsia="仿宋_GB2312" w:cs="Times New Roman"/>
          <w:sz w:val="32"/>
          <w:szCs w:val="32"/>
          <w:highlight w:val="none"/>
          <w:lang w:val="en-US" w:eastAsia="zh-CN"/>
        </w:rPr>
        <w:t>经济</w:t>
      </w:r>
      <w:r>
        <w:rPr>
          <w:rFonts w:hint="eastAsia" w:eastAsia="仿宋_GB2312" w:cs="Times New Roman"/>
          <w:sz w:val="32"/>
          <w:szCs w:val="32"/>
          <w:highlight w:val="none"/>
          <w:lang w:val="en-US" w:eastAsia="zh-CN"/>
        </w:rPr>
        <w:t>成本</w:t>
      </w:r>
      <w:r>
        <w:rPr>
          <w:rFonts w:hint="default" w:ascii="Times New Roman" w:hAnsi="Times New Roman" w:eastAsia="仿宋_GB2312" w:cs="Times New Roman"/>
          <w:sz w:val="32"/>
          <w:szCs w:val="32"/>
          <w:highlight w:val="none"/>
          <w:lang w:val="en-US" w:eastAsia="zh-CN"/>
        </w:rPr>
        <w:t>效益、社会效益、</w:t>
      </w:r>
      <w:r>
        <w:rPr>
          <w:rFonts w:hint="eastAsia" w:eastAsia="仿宋_GB2312" w:cs="Times New Roman"/>
          <w:sz w:val="32"/>
          <w:szCs w:val="32"/>
          <w:highlight w:val="none"/>
          <w:lang w:val="en-US" w:eastAsia="zh-CN"/>
        </w:rPr>
        <w:t>满意度指标</w:t>
      </w:r>
      <w:r>
        <w:rPr>
          <w:rFonts w:hint="default" w:ascii="Times New Roman" w:hAnsi="Times New Roman" w:eastAsia="仿宋_GB2312" w:cs="Times New Roman"/>
          <w:sz w:val="32"/>
          <w:szCs w:val="32"/>
          <w:highlight w:val="none"/>
          <w:lang w:val="en-US" w:eastAsia="zh-CN"/>
        </w:rPr>
        <w:t>等多个维度，</w:t>
      </w:r>
      <w:r>
        <w:rPr>
          <w:rFonts w:hint="default" w:ascii="Times New Roman" w:hAnsi="Times New Roman" w:eastAsia="仿宋_GB2312" w:cs="Times New Roman"/>
          <w:sz w:val="32"/>
          <w:szCs w:val="32"/>
          <w:highlight w:val="none"/>
        </w:rPr>
        <w:t>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通过前期的充分调研，确保项目绩效目标设置合理准确，</w:t>
      </w:r>
      <w:r>
        <w:rPr>
          <w:rFonts w:hint="default" w:ascii="Times New Roman" w:hAnsi="Times New Roman" w:eastAsia="仿宋_GB2312" w:cs="Times New Roman"/>
          <w:sz w:val="32"/>
          <w:szCs w:val="32"/>
          <w:highlight w:val="none"/>
        </w:rPr>
        <w:t>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库尔勒市科学技术局</w:t>
      </w:r>
      <w:r>
        <w:rPr>
          <w:rFonts w:hint="default" w:ascii="Times New Roman" w:hAnsi="Times New Roman" w:eastAsia="仿宋_GB2312" w:cs="Times New Roman"/>
          <w:sz w:val="32"/>
          <w:szCs w:val="32"/>
          <w:highlight w:val="none"/>
        </w:rPr>
        <w:t>在项目审批、预算安排、政策调整等</w:t>
      </w:r>
      <w:r>
        <w:rPr>
          <w:rFonts w:hint="eastAsia" w:eastAsia="仿宋_GB2312" w:cs="Times New Roman"/>
          <w:sz w:val="32"/>
          <w:szCs w:val="32"/>
          <w:highlight w:val="none"/>
          <w:lang w:val="en-US" w:eastAsia="zh-CN"/>
        </w:rPr>
        <w:t>方面</w:t>
      </w:r>
      <w:r>
        <w:rPr>
          <w:rFonts w:hint="default" w:ascii="Times New Roman" w:hAnsi="Times New Roman" w:eastAsia="仿宋_GB2312" w:cs="Times New Roman"/>
          <w:sz w:val="32"/>
          <w:szCs w:val="32"/>
          <w:highlight w:val="none"/>
        </w:rPr>
        <w:t>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关于调整下达2024年自治区科技计划专项资金[第三批]的通知</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及其预算执行情况。该项目由库尔勒市科技局负责实施，旨在奖励园区核心区建设单位</w:t>
      </w:r>
      <w:r>
        <w:rPr>
          <w:rFonts w:hint="eastAsia" w:ascii="Times New Roman" w:hAnsi="Times New Roman" w:eastAsia="仿宋_GB2312" w:cs="Times New Roman"/>
          <w:b w:val="0"/>
          <w:bCs w:val="0"/>
          <w:highlight w:val="none"/>
          <w:lang w:val="en-US" w:eastAsia="zh-CN"/>
        </w:rPr>
        <w:t>和</w:t>
      </w:r>
      <w:r>
        <w:rPr>
          <w:rFonts w:hint="default" w:ascii="Times New Roman" w:hAnsi="Times New Roman" w:eastAsia="仿宋_GB2312" w:cs="Times New Roman"/>
          <w:b w:val="0"/>
          <w:bCs w:val="0"/>
          <w:highlight w:val="none"/>
        </w:rPr>
        <w:t>保障园区正常运转</w:t>
      </w:r>
      <w:r>
        <w:rPr>
          <w:rFonts w:hint="eastAsia" w:ascii="Times New Roman" w:hAnsi="Times New Roman" w:eastAsia="仿宋_GB2312" w:cs="Times New Roman"/>
          <w:b w:val="0"/>
          <w:bCs w:val="0"/>
          <w:highlight w:val="none"/>
          <w:lang w:eastAsia="zh-CN"/>
        </w:rPr>
        <w:t>，促进农业科技园区科技成果转化，引进新品种、新技术，建立科技示范基地。</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13.77</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社会影响：</w:t>
      </w:r>
      <w:r>
        <w:rPr>
          <w:rFonts w:hint="default" w:ascii="Times New Roman" w:hAnsi="Times New Roman" w:eastAsia="仿宋_GB2312" w:cs="Times New Roman"/>
          <w:b w:val="0"/>
          <w:bCs w:val="0"/>
          <w:highlight w:val="none"/>
          <w:lang w:eastAsia="zh-CN"/>
        </w:rPr>
        <w:t>考察项目对</w:t>
      </w:r>
      <w:r>
        <w:rPr>
          <w:rFonts w:hint="eastAsia" w:ascii="Times New Roman" w:hAnsi="Times New Roman" w:eastAsia="仿宋_GB2312" w:cs="Times New Roman"/>
          <w:b w:val="0"/>
          <w:bCs w:val="0"/>
          <w:highlight w:val="none"/>
          <w:lang w:val="en-US" w:eastAsia="zh-CN"/>
        </w:rPr>
        <w:t>数量指标、质量指标、时效指标、</w:t>
      </w:r>
      <w:r>
        <w:rPr>
          <w:rFonts w:hint="default" w:ascii="Times New Roman" w:hAnsi="Times New Roman" w:eastAsia="仿宋_GB2312" w:cs="Times New Roman"/>
          <w:b w:val="0"/>
          <w:bCs w:val="0"/>
          <w:highlight w:val="none"/>
          <w:lang w:val="en-US" w:eastAsia="zh-CN"/>
        </w:rPr>
        <w:t>经济</w:t>
      </w:r>
      <w:r>
        <w:rPr>
          <w:rFonts w:hint="eastAsia" w:ascii="Times New Roman" w:hAnsi="Times New Roman" w:eastAsia="仿宋_GB2312" w:cs="Times New Roman"/>
          <w:b w:val="0"/>
          <w:bCs w:val="0"/>
          <w:highlight w:val="none"/>
          <w:lang w:val="en-US" w:eastAsia="zh-CN"/>
        </w:rPr>
        <w:t>成本</w:t>
      </w:r>
      <w:r>
        <w:rPr>
          <w:rFonts w:hint="default" w:ascii="Times New Roman" w:hAnsi="Times New Roman" w:eastAsia="仿宋_GB2312" w:cs="Times New Roman"/>
          <w:b w:val="0"/>
          <w:bCs w:val="0"/>
          <w:highlight w:val="none"/>
          <w:lang w:val="en-US" w:eastAsia="zh-CN"/>
        </w:rPr>
        <w:t>效益、社会效益、</w:t>
      </w:r>
      <w:r>
        <w:rPr>
          <w:rFonts w:hint="eastAsia" w:ascii="Times New Roman" w:hAnsi="Times New Roman" w:eastAsia="仿宋_GB2312" w:cs="Times New Roman"/>
          <w:b w:val="0"/>
          <w:bCs w:val="0"/>
          <w:highlight w:val="none"/>
          <w:lang w:val="en-US" w:eastAsia="zh-CN"/>
        </w:rPr>
        <w:t>满意度指标</w:t>
      </w:r>
      <w:r>
        <w:rPr>
          <w:rFonts w:hint="default" w:ascii="Times New Roman" w:hAnsi="Times New Roman" w:eastAsia="仿宋_GB2312" w:cs="Times New Roman"/>
          <w:b w:val="0"/>
          <w:bCs w:val="0"/>
          <w:highlight w:val="none"/>
          <w:lang w:eastAsia="zh-CN"/>
        </w:rPr>
        <w:t>。</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w:t>
      </w:r>
      <w:r>
        <w:rPr>
          <w:rFonts w:hint="default" w:ascii="Times New Roman" w:hAnsi="Times New Roman" w:eastAsia="仿宋_GB2312" w:cs="Times New Roman"/>
          <w:color w:val="000000"/>
          <w:spacing w:val="17"/>
          <w:sz w:val="32"/>
          <w:szCs w:val="32"/>
          <w:highlight w:val="none"/>
        </w:rPr>
        <w:t>因素分析法</w:t>
      </w:r>
      <w:r>
        <w:rPr>
          <w:rFonts w:hint="default" w:ascii="Times New Roman" w:hAnsi="Times New Roman" w:eastAsia="仿宋_GB2312" w:cs="Times New Roman"/>
          <w:color w:val="000000"/>
          <w:spacing w:val="17"/>
          <w:sz w:val="32"/>
          <w:szCs w:val="32"/>
        </w:rPr>
        <w:t>，具体评价方法如下：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r>
        <w:rPr>
          <w:rFonts w:hint="eastAsia" w:eastAsia="仿宋_GB2312" w:cs="Times New Roman"/>
          <w:color w:val="000000"/>
          <w:spacing w:val="17"/>
          <w:sz w:val="32"/>
          <w:szCs w:val="32"/>
          <w:highlight w:val="none"/>
          <w:lang w:val="en-US" w:eastAsia="zh-CN"/>
        </w:rPr>
        <w:t>具体原因是可以根据不同的评价对象和评价目的，综合考虑各绩效指标的综合影响程度，有助于及时发现问题，采取相应的措施进行改进。</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default"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rPr>
        <w:t>计划标准。指以预先制定的目标、计划、预算、定额等作为评价标准。</w:t>
      </w:r>
      <w:r>
        <w:rPr>
          <w:rFonts w:hint="eastAsia" w:ascii="Times New Roman" w:hAnsi="Times New Roman" w:eastAsia="仿宋_GB2312" w:cs="Times New Roman"/>
          <w:b w:val="0"/>
          <w:bCs w:val="0"/>
          <w:lang w:val="en-US" w:eastAsia="zh-CN"/>
        </w:rPr>
        <w:t>具体原因是在前期充分调研分析的基础上，绩效指标标准清晰具体，减少率评价过程中的主观性和随意性。</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w:t>
      </w:r>
      <w:r>
        <w:rPr>
          <w:rFonts w:hint="eastAsia" w:eastAsia="仿宋_GB2312" w:cs="Times New Roman"/>
          <w:sz w:val="32"/>
          <w:szCs w:val="32"/>
          <w:highlight w:val="none"/>
          <w:lang w:val="en-US" w:eastAsia="zh-CN"/>
        </w:rPr>
        <w:t>组长由项目主要负责人侯建祝担任，成员包括财务负责人迪丽努尔，业务科室人员宋世龙、王悦霖等人</w:t>
      </w:r>
      <w:r>
        <w:rPr>
          <w:rFonts w:hint="default" w:ascii="Times New Roman" w:hAnsi="Times New Roman" w:eastAsia="仿宋_GB2312" w:cs="Times New Roman"/>
          <w:sz w:val="32"/>
          <w:szCs w:val="32"/>
          <w:highlight w:val="none"/>
        </w:rPr>
        <w:t>，确保从多角度、全方位对项目绩效进行评价。同时，明确了评价工作的目标、范围、重点及时间安排，制定了详细的工作计划，为评价工作的顺利开展奠定了坚实基础。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w:t>
      </w:r>
      <w:r>
        <w:rPr>
          <w:rFonts w:hint="eastAsia" w:eastAsia="仿宋_GB2312" w:cs="Times New Roman"/>
          <w:sz w:val="32"/>
          <w:szCs w:val="32"/>
          <w:highlight w:val="none"/>
          <w:lang w:val="en-US" w:eastAsia="zh-CN"/>
        </w:rPr>
        <w:t>各单位项目绩效</w:t>
      </w:r>
      <w:r>
        <w:rPr>
          <w:rFonts w:hint="default" w:ascii="Times New Roman" w:hAnsi="Times New Roman" w:eastAsia="仿宋_GB2312" w:cs="Times New Roman"/>
          <w:sz w:val="32"/>
          <w:szCs w:val="32"/>
          <w:highlight w:val="none"/>
          <w:lang w:eastAsia="zh-CN"/>
        </w:rPr>
        <w:t>表、</w:t>
      </w:r>
      <w:r>
        <w:rPr>
          <w:rFonts w:hint="eastAsia" w:eastAsia="仿宋_GB2312" w:cs="Times New Roman"/>
          <w:sz w:val="32"/>
          <w:szCs w:val="32"/>
          <w:highlight w:val="none"/>
          <w:lang w:val="en-US" w:eastAsia="zh-CN"/>
        </w:rPr>
        <w:t>调查问卷</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工作资料</w:t>
      </w:r>
      <w:r>
        <w:rPr>
          <w:rFonts w:hint="default" w:ascii="Times New Roman" w:hAnsi="Times New Roman" w:eastAsia="仿宋_GB2312" w:cs="Times New Roman"/>
          <w:sz w:val="32"/>
          <w:szCs w:val="32"/>
          <w:highlight w:val="none"/>
          <w:lang w:eastAsia="zh-CN"/>
        </w:rPr>
        <w:t>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b w:val="0"/>
          <w:bCs w:val="0"/>
          <w:kern w:val="28"/>
          <w:sz w:val="32"/>
          <w:szCs w:val="32"/>
          <w:lang w:val="en-US" w:eastAsia="zh-CN" w:bidi="ar-SA"/>
        </w:rPr>
        <w:t>《</w:t>
      </w:r>
      <w:r>
        <w:rPr>
          <w:rFonts w:hint="default" w:ascii="Times New Roman" w:hAnsi="Times New Roman" w:eastAsia="仿宋_GB2312" w:cs="Times New Roman"/>
          <w:b w:val="0"/>
          <w:bCs w:val="0"/>
          <w:kern w:val="28"/>
          <w:sz w:val="32"/>
          <w:szCs w:val="32"/>
          <w:lang w:val="en-US" w:eastAsia="zh-CN" w:bidi="ar-SA"/>
        </w:rPr>
        <w:t>关于调整下达2024年自治区科技计划专项资金[第三批]的通知</w:t>
      </w:r>
      <w:r>
        <w:rPr>
          <w:rFonts w:hint="eastAsia" w:ascii="Times New Roman" w:hAnsi="Times New Roman" w:eastAsia="仿宋_GB2312" w:cs="Times New Roman"/>
          <w:b w:val="0"/>
          <w:bCs w:val="0"/>
          <w:kern w:val="28"/>
          <w:sz w:val="32"/>
          <w:szCs w:val="32"/>
          <w:lang w:val="en-US" w:eastAsia="zh-CN" w:bidi="ar-SA"/>
        </w:rPr>
        <w:t>》</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奖励园区核心区建设单位数量</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保障园区正常运转数量</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val="en-US" w:eastAsia="zh-CN"/>
        </w:rPr>
        <w:t>提高传统农业向绿色、生态、创意、精品、高值农业转变</w:t>
      </w:r>
      <w:r>
        <w:rPr>
          <w:rFonts w:hint="default" w:ascii="Times New Roman" w:hAnsi="Times New Roman" w:eastAsia="仿宋_GB2312" w:cs="Times New Roman"/>
          <w:sz w:val="32"/>
          <w:szCs w:val="32"/>
          <w:highlight w:val="none"/>
        </w:rPr>
        <w:t>取得了显著的成效，如示范推广香梨标准化生产和提质增效示范基地建设</w:t>
      </w:r>
      <w:r>
        <w:rPr>
          <w:rFonts w:hint="eastAsia" w:eastAsia="仿宋_GB2312" w:cs="Times New Roman"/>
          <w:sz w:val="32"/>
          <w:szCs w:val="32"/>
          <w:highlight w:val="none"/>
          <w:lang w:val="en-US" w:eastAsia="zh-CN"/>
        </w:rPr>
        <w:t>6万亩、香梨优质果率提高至80%</w:t>
      </w:r>
      <w:r>
        <w:rPr>
          <w:rFonts w:hint="default" w:ascii="Times New Roman" w:hAnsi="Times New Roman" w:eastAsia="仿宋_GB2312" w:cs="Times New Roman"/>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库尔勒市科学技术局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w:t>
      </w:r>
      <w:r>
        <w:rPr>
          <w:rFonts w:hint="default" w:ascii="Times New Roman" w:hAnsi="Times New Roman" w:eastAsia="仿宋_GB2312" w:cs="Times New Roman"/>
          <w:sz w:val="32"/>
          <w:szCs w:val="32"/>
          <w:highlight w:val="none"/>
          <w:lang w:val="en-US" w:eastAsia="zh-CN"/>
        </w:rPr>
        <w:t>经济</w:t>
      </w:r>
      <w:r>
        <w:rPr>
          <w:rFonts w:hint="eastAsia" w:eastAsia="仿宋_GB2312" w:cs="Times New Roman"/>
          <w:sz w:val="32"/>
          <w:szCs w:val="32"/>
          <w:highlight w:val="none"/>
          <w:lang w:val="en-US" w:eastAsia="zh-CN"/>
        </w:rPr>
        <w:t>成本</w:t>
      </w:r>
      <w:r>
        <w:rPr>
          <w:rFonts w:hint="default" w:ascii="Times New Roman" w:hAnsi="Times New Roman" w:eastAsia="仿宋_GB2312" w:cs="Times New Roman"/>
          <w:sz w:val="32"/>
          <w:szCs w:val="32"/>
          <w:highlight w:val="none"/>
          <w:lang w:val="en-US" w:eastAsia="zh-CN"/>
        </w:rPr>
        <w:t>效益、社会效益</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val="en-US" w:eastAsia="zh-CN"/>
        </w:rPr>
        <w:t>奖励园区核心区建设单位和保障园区正常运转、提高</w:t>
      </w:r>
      <w:r>
        <w:rPr>
          <w:rFonts w:hint="eastAsia" w:eastAsia="仿宋_GB2312" w:cs="Times New Roman"/>
          <w:color w:val="auto"/>
          <w:sz w:val="32"/>
          <w:szCs w:val="32"/>
          <w:highlight w:val="none"/>
          <w:lang w:val="en-US" w:eastAsia="zh-CN"/>
        </w:rPr>
        <w:t>传统农业向绿色、生态、创意、精品、高值农业转变</w:t>
      </w:r>
      <w:r>
        <w:rPr>
          <w:rFonts w:hint="default" w:ascii="Times New Roman" w:hAnsi="Times New Roman" w:eastAsia="仿宋_GB2312" w:cs="Times New Roman"/>
          <w:sz w:val="32"/>
          <w:szCs w:val="32"/>
          <w:highlight w:val="none"/>
        </w:rPr>
        <w:t>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b w:val="0"/>
          <w:bCs w:val="0"/>
          <w:kern w:val="28"/>
          <w:sz w:val="32"/>
          <w:szCs w:val="32"/>
          <w:highlight w:val="none"/>
          <w:lang w:val="en-US" w:eastAsia="zh-CN" w:bidi="ar-SA"/>
        </w:rPr>
        <w:t>《</w:t>
      </w:r>
      <w:r>
        <w:rPr>
          <w:rFonts w:hint="default" w:ascii="Times New Roman" w:hAnsi="Times New Roman" w:eastAsia="仿宋_GB2312" w:cs="Times New Roman"/>
          <w:b w:val="0"/>
          <w:bCs w:val="0"/>
          <w:kern w:val="28"/>
          <w:sz w:val="32"/>
          <w:szCs w:val="32"/>
          <w:highlight w:val="none"/>
          <w:lang w:val="en-US" w:eastAsia="zh-CN" w:bidi="ar-SA"/>
        </w:rPr>
        <w:t>关于调整下达2024年自治区科技计</w:t>
      </w:r>
      <w:r>
        <w:rPr>
          <w:rFonts w:hint="default" w:ascii="Times New Roman" w:hAnsi="Times New Roman" w:eastAsia="仿宋_GB2312" w:cs="Times New Roman"/>
          <w:b w:val="0"/>
          <w:bCs w:val="0"/>
          <w:kern w:val="28"/>
          <w:sz w:val="32"/>
          <w:szCs w:val="32"/>
          <w:lang w:val="en-US" w:eastAsia="zh-CN" w:bidi="ar-SA"/>
        </w:rPr>
        <w:t>划专项资金[第三批]的通知</w:t>
      </w:r>
      <w:r>
        <w:rPr>
          <w:rFonts w:hint="eastAsia" w:ascii="Times New Roman" w:hAnsi="Times New Roman" w:eastAsia="仿宋_GB2312" w:cs="Times New Roman"/>
          <w:b w:val="0"/>
          <w:bCs w:val="0"/>
          <w:kern w:val="28"/>
          <w:sz w:val="32"/>
          <w:szCs w:val="32"/>
          <w:lang w:val="en-US" w:eastAsia="zh-CN" w:bidi="ar-SA"/>
        </w:rPr>
        <w:t>》</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w:t>
      </w:r>
      <w:r>
        <w:rPr>
          <w:rFonts w:hint="eastAsia" w:eastAsia="仿宋_GB2312" w:cs="Times New Roman"/>
          <w:sz w:val="32"/>
          <w:szCs w:val="32"/>
          <w:lang w:val="en-US" w:eastAsia="zh-CN"/>
        </w:rPr>
        <w:t>《新疆维吾尔自治区财政科研项目资金管理办法》</w:t>
      </w:r>
      <w:r>
        <w:rPr>
          <w:rFonts w:hint="default" w:ascii="Times New Roman" w:hAnsi="Times New Roman" w:eastAsia="仿宋_GB2312" w:cs="Times New Roman"/>
          <w:sz w:val="32"/>
          <w:szCs w:val="32"/>
          <w:lang w:val="en-US" w:eastAsia="zh-CN"/>
        </w:rPr>
        <w:t>，符合行业规划要求，围绕本年度工作重点和工作计划制定经费预算，属于公共财政支持范围。本项目与部门内部其他相关项目不重复。部门发展规划及职能文件等归档完整。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eastAsia" w:eastAsia="仿宋_GB2312" w:cs="Times New Roman"/>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本项</w:t>
      </w:r>
      <w:r>
        <w:rPr>
          <w:rFonts w:hint="default" w:ascii="Times New Roman" w:hAnsi="Times New Roman" w:eastAsia="仿宋_GB2312" w:cs="Times New Roman"/>
          <w:sz w:val="32"/>
          <w:szCs w:val="32"/>
          <w:highlight w:val="none"/>
          <w:lang w:val="en-US" w:eastAsia="zh-CN"/>
        </w:rPr>
        <w:t>目总投资</w:t>
      </w:r>
      <w:r>
        <w:rPr>
          <w:rFonts w:hint="eastAsia" w:eastAsia="仿宋_GB2312" w:cs="Times New Roman"/>
          <w:sz w:val="32"/>
          <w:szCs w:val="32"/>
          <w:highlight w:val="none"/>
          <w:lang w:val="en-US" w:eastAsia="zh-CN"/>
        </w:rPr>
        <w:t>13.77</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13.77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w:t>
      </w:r>
      <w:r>
        <w:rPr>
          <w:rFonts w:hint="eastAsia" w:eastAsia="仿宋_GB2312" w:cs="Times New Roman"/>
          <w:sz w:val="32"/>
          <w:szCs w:val="32"/>
          <w:highlight w:val="none"/>
          <w:lang w:val="en-US" w:eastAsia="zh-CN"/>
        </w:rPr>
        <w:t>资金使用</w:t>
      </w:r>
      <w:r>
        <w:rPr>
          <w:rFonts w:hint="default" w:ascii="Times New Roman" w:hAnsi="Times New Roman" w:eastAsia="仿宋_GB2312" w:cs="Times New Roman"/>
          <w:sz w:val="32"/>
          <w:szCs w:val="32"/>
          <w:highlight w:val="none"/>
          <w:lang w:eastAsia="zh-CN"/>
        </w:rPr>
        <w:t>符合《新疆维吾尔自治区财政科研项目资金管理办法》，确保了资金的合规性。在资金使用过程中，我们建立了完善的财务管理体系，对资金的流动进行了全程监控与记录。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本项目管理制度覆盖从立项到验收的全过程，明确了项目评价指标和考核指标，各方职责分工明确、流程规范、监督有效。</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eastAsia" w:eastAsia="仿宋_GB2312" w:cs="Times New Roman"/>
          <w:sz w:val="32"/>
          <w:szCs w:val="32"/>
          <w:lang w:val="en-US" w:eastAsia="zh-CN"/>
        </w:rPr>
        <w:t>库尔勒市科学技术局</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个三级指标构成，权重分为</w:t>
      </w:r>
      <w:r>
        <w:rPr>
          <w:rFonts w:hint="eastAsia"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奖励园区核心区建设单位数量</w:t>
      </w:r>
      <w:r>
        <w:rPr>
          <w:rFonts w:hint="default" w:ascii="Times New Roman" w:hAnsi="Times New Roman" w:eastAsia="仿宋_GB2312" w:cs="Times New Roman"/>
          <w:sz w:val="32"/>
          <w:szCs w:val="32"/>
          <w:highlight w:val="none"/>
        </w:rPr>
        <w:t>，指标值：</w:t>
      </w:r>
      <w:r>
        <w:rPr>
          <w:rFonts w:hint="default" w:ascii="Times New Roman" w:hAnsi="Times New Roman" w:eastAsia="微软雅黑" w:cs="Times New Roman"/>
          <w:sz w:val="32"/>
          <w:szCs w:val="32"/>
          <w:highlight w:val="none"/>
        </w:rPr>
        <w:t>&gt;</w:t>
      </w:r>
      <w:r>
        <w:rPr>
          <w:rFonts w:hint="default" w:ascii="Times New Roman" w:hAnsi="Times New Roman" w:eastAsia="仿宋_GB2312" w:cs="Times New Roman"/>
          <w:sz w:val="32"/>
          <w:szCs w:val="32"/>
          <w:highlight w:val="none"/>
          <w:lang w:val="en-US" w:eastAsia="zh-CN"/>
        </w:rPr>
        <w:t>=3</w:t>
      </w:r>
      <w:r>
        <w:rPr>
          <w:rFonts w:hint="eastAsia" w:ascii="仿宋_GB2312" w:hAnsi="仿宋_GB2312" w:eastAsia="仿宋_GB2312" w:cs="仿宋_GB2312"/>
          <w:sz w:val="32"/>
          <w:szCs w:val="32"/>
          <w:highlight w:val="none"/>
          <w:lang w:val="en-US" w:eastAsia="zh-CN"/>
        </w:rPr>
        <w:t>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3个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保障园区正常运转数量</w:t>
      </w:r>
      <w:r>
        <w:rPr>
          <w:rFonts w:hint="default" w:ascii="Times New Roman" w:hAnsi="Times New Roman" w:eastAsia="仿宋_GB2312" w:cs="Times New Roman"/>
          <w:sz w:val="32"/>
          <w:szCs w:val="32"/>
          <w:highlight w:val="none"/>
        </w:rPr>
        <w:t>，指标值：</w:t>
      </w:r>
      <w:r>
        <w:rPr>
          <w:rFonts w:hint="default" w:ascii="Times New Roman" w:hAnsi="Times New Roman" w:eastAsia="微软雅黑" w:cs="Times New Roman"/>
          <w:sz w:val="32"/>
          <w:szCs w:val="32"/>
          <w:highlight w:val="none"/>
        </w:rPr>
        <w:t>&gt;</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1</w:t>
      </w:r>
      <w:r>
        <w:rPr>
          <w:rFonts w:hint="eastAsia" w:ascii="仿宋_GB2312" w:hAnsi="仿宋_GB2312" w:eastAsia="仿宋_GB2312" w:cs="仿宋_GB2312"/>
          <w:sz w:val="32"/>
          <w:szCs w:val="32"/>
          <w:highlight w:val="none"/>
          <w:lang w:val="en-US" w:eastAsia="zh-CN"/>
        </w:rPr>
        <w:t>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资金使用合规率</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资金支付及时率</w:t>
      </w:r>
      <w:r>
        <w:rPr>
          <w:rFonts w:hint="default" w:ascii="Times New Roman" w:hAnsi="Times New Roman" w:eastAsia="仿宋_GB2312" w:cs="Times New Roman"/>
          <w:sz w:val="32"/>
          <w:szCs w:val="32"/>
          <w:highlight w:val="none"/>
        </w:rPr>
        <w:t>，指标值：</w:t>
      </w:r>
      <w:r>
        <w:rPr>
          <w:rFonts w:hint="eastAsia" w:ascii="微软雅黑" w:hAnsi="微软雅黑" w:eastAsia="微软雅黑" w:cs="微软雅黑"/>
          <w:sz w:val="32"/>
          <w:szCs w:val="32"/>
          <w:highlight w:val="none"/>
        </w:rPr>
        <w:t>&gt;</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numPr>
          <w:ilvl w:val="0"/>
          <w:numId w:val="0"/>
        </w:numPr>
        <w:shd w:val="clear"/>
        <w:spacing w:line="600" w:lineRule="exact"/>
        <w:ind w:left="403" w:leftChars="0" w:firstLine="320" w:firstLineChars="100"/>
        <w:outlineLvl w:val="0"/>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④</w:t>
      </w:r>
      <w:r>
        <w:rPr>
          <w:rFonts w:hint="eastAsia" w:ascii="Times New Roman" w:hAnsi="Times New Roman" w:eastAsia="仿宋_GB2312" w:cs="Times New Roman"/>
          <w:sz w:val="32"/>
          <w:szCs w:val="32"/>
          <w:highlight w:val="none"/>
          <w:lang w:val="en-US" w:eastAsia="zh-CN"/>
        </w:rPr>
        <w:t>经济成本</w:t>
      </w:r>
      <w:r>
        <w:rPr>
          <w:rFonts w:hint="default" w:ascii="Times New Roman" w:hAnsi="Times New Roman" w:eastAsia="仿宋_GB2312" w:cs="Times New Roman"/>
          <w:sz w:val="32"/>
          <w:szCs w:val="32"/>
          <w:highlight w:val="none"/>
        </w:rPr>
        <w:t>指标：</w:t>
      </w:r>
    </w:p>
    <w:p>
      <w:pPr>
        <w:shd w:val="clear"/>
        <w:spacing w:line="600" w:lineRule="exact"/>
        <w:ind w:firstLine="640" w:firstLineChars="200"/>
        <w:outlineLvl w:val="0"/>
        <w:rPr>
          <w:rFonts w:hint="eastAsia" w:eastAsia="仿宋_GB2312" w:cs="Times New Roman"/>
          <w:sz w:val="32"/>
          <w:szCs w:val="32"/>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奖励园区核心区建设单位成本</w:t>
      </w:r>
      <w:r>
        <w:rPr>
          <w:rFonts w:hint="default" w:ascii="Times New Roman" w:hAnsi="Times New Roman" w:eastAsia="仿宋_GB2312" w:cs="Times New Roman"/>
          <w:sz w:val="32"/>
          <w:szCs w:val="32"/>
          <w:highlight w:val="none"/>
        </w:rPr>
        <w:t>，指标值：</w:t>
      </w:r>
      <w:r>
        <w:rPr>
          <w:rFonts w:hint="eastAsia" w:ascii="微软雅黑" w:hAnsi="微软雅黑" w:eastAsia="微软雅黑" w:cs="微软雅黑"/>
          <w:sz w:val="32"/>
          <w:szCs w:val="32"/>
          <w:highlight w:val="none"/>
        </w:rPr>
        <w:t>&lt;</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10万元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保障园区正常运转成本</w:t>
      </w:r>
      <w:r>
        <w:rPr>
          <w:rFonts w:hint="default" w:ascii="Times New Roman" w:hAnsi="Times New Roman" w:eastAsia="仿宋_GB2312" w:cs="Times New Roman"/>
          <w:sz w:val="32"/>
          <w:szCs w:val="32"/>
          <w:highlight w:val="none"/>
        </w:rPr>
        <w:t>，指标值：</w:t>
      </w:r>
      <w:r>
        <w:rPr>
          <w:rFonts w:hint="eastAsia" w:ascii="微软雅黑" w:hAnsi="微软雅黑" w:eastAsia="微软雅黑" w:cs="微软雅黑"/>
          <w:sz w:val="32"/>
          <w:szCs w:val="32"/>
          <w:highlight w:val="none"/>
        </w:rPr>
        <w:t>&lt;</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3.77万元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3，77万元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此项权重分值为40分，得分为40分。</w:t>
      </w:r>
    </w:p>
    <w:p>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个三级指标构成，权重分为</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w:t>
      </w:r>
      <w:r>
        <w:rPr>
          <w:rFonts w:hint="default" w:ascii="Times New Roman" w:hAnsi="Times New Roman" w:eastAsia="仿宋_GB2312" w:cs="Times New Roman"/>
          <w:sz w:val="32"/>
          <w:szCs w:val="32"/>
          <w:lang w:val="en-US" w:eastAsia="zh-CN"/>
        </w:rPr>
        <w:t>指标完</w:t>
      </w:r>
      <w:bookmarkStart w:id="3" w:name="_GoBack"/>
      <w:bookmarkEnd w:id="3"/>
      <w:r>
        <w:rPr>
          <w:rFonts w:hint="default" w:ascii="Times New Roman" w:hAnsi="Times New Roman" w:eastAsia="仿宋_GB2312" w:cs="Times New Roman"/>
          <w:sz w:val="32"/>
          <w:szCs w:val="32"/>
          <w:lang w:val="en-US" w:eastAsia="zh-CN"/>
        </w:rPr>
        <w:t>成情况如下：</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提高传统农业向绿色、生态、创意、精品、高值农业转变</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有所提高</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达成目标</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园区建设单位满意度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此项权重分值为20分，得分为20分。</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19"/>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《关于调整下达2024年自治区科技计划专项资金[第三批]的通知》</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13.77</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13.77</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13.77</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p>
    <w:p>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严格按照相应的业务管理制度，规范各项经费开支，资金拨付要有完整的审批程序和手续。</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default" w:ascii="Times New Roman" w:hAnsi="Times New Roman" w:eastAsia="仿宋_GB2312" w:cs="Times New Roman"/>
          <w:sz w:val="32"/>
          <w:szCs w:val="32"/>
        </w:rPr>
      </w:pPr>
    </w:p>
    <w:p>
      <w:pPr>
        <w:pStyle w:val="13"/>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《关于调整下达2024年自治区科技计划专项资金[第三批]的通知》</w:t>
      </w:r>
      <w:r>
        <w:rPr>
          <w:rFonts w:hint="eastAsia" w:ascii="仿宋_GB2312" w:hAnsi="仿宋_GB2312" w:eastAsia="仿宋_GB2312" w:cs="仿宋_GB2312"/>
          <w:b/>
          <w:bCs/>
          <w:sz w:val="28"/>
          <w:szCs w:val="40"/>
        </w:rPr>
        <w:t>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rPr>
              <w:t>关于调整下达2024年自治区科技计划专项资金[第三批]的通知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库尔勒市科学技术局</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库尔勒市科学技术局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项目资金</w:t>
            </w:r>
            <w:r>
              <w:rPr>
                <w:rFonts w:hint="default" w:ascii="Times New Roman" w:hAnsi="Times New Roman" w:eastAsia="仿宋_GB2312" w:cs="Times New Roman"/>
                <w:i w:val="0"/>
                <w:iCs w:val="0"/>
                <w:color w:val="000000"/>
                <w:kern w:val="0"/>
                <w:sz w:val="18"/>
                <w:szCs w:val="18"/>
                <w:u w:val="none"/>
                <w:lang w:val="en-US" w:eastAsia="zh-CN" w:bidi="ar"/>
              </w:rPr>
              <w:br w:type="textWrapping"/>
            </w:r>
            <w:r>
              <w:rPr>
                <w:rFonts w:hint="default" w:ascii="Times New Roman" w:hAnsi="Times New Roman" w:eastAsia="仿宋_GB2312" w:cs="Times New Roman"/>
                <w:i w:val="0"/>
                <w:iCs w:val="0"/>
                <w:color w:val="000000"/>
                <w:kern w:val="0"/>
                <w:sz w:val="18"/>
                <w:szCs w:val="18"/>
                <w:u w:val="none"/>
                <w:lang w:val="en-US" w:eastAsia="zh-CN" w:bidi="ar"/>
              </w:rPr>
              <w:t>（万元）</w:t>
            </w: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全年预算数</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13.77</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13.77</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13.77</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4</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100%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13.77</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13.77</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13.77</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82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0</w:t>
            </w:r>
          </w:p>
        </w:tc>
        <w:tc>
          <w:tcPr>
            <w:tcW w:w="73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0</w:t>
            </w:r>
          </w:p>
        </w:tc>
        <w:tc>
          <w:tcPr>
            <w:tcW w:w="60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0</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目标1：奖励园区核心区建设单位数量3个，保障园区正常运转数量1个；</w:t>
            </w:r>
          </w:p>
          <w:p>
            <w:pPr>
              <w:jc w:val="left"/>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目标2：通过此项目的实施有效提高传统农业向绿色、生态、创意、精品、高值农业转变。</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奖励园区核心区建设单位数量3个，保障园区正常运转数量1个；通过此此项目的实施有效提高传统农业向绿色、生态、创意、精品、高值农业转变。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二级指标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上年完成值</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指标分值权重</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指标赋分规则</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佐证资料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产出指标</w:t>
            </w:r>
          </w:p>
        </w:tc>
        <w:tc>
          <w:tcPr>
            <w:tcW w:w="462"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数量指标</w:t>
            </w:r>
          </w:p>
        </w:tc>
        <w:tc>
          <w:tcPr>
            <w:tcW w:w="364" w:type="pct"/>
            <w:tcBorders>
              <w:top w:val="single" w:color="000000" w:sz="4" w:space="0"/>
              <w:left w:val="nil"/>
              <w:bottom w:val="single" w:color="000000" w:sz="4" w:space="0"/>
              <w:right w:val="single" w:color="000000" w:sz="4" w:space="0"/>
            </w:tcBorders>
            <w:shd w:val="clear" w:color="auto" w:fill="auto"/>
            <w:vAlign w:val="center"/>
          </w:tcPr>
          <w:p>
            <w:pPr>
              <w:jc w:val="left"/>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奖励园区核心区建设单位数量</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微软雅黑" w:hAnsi="微软雅黑" w:eastAsia="微软雅黑" w:cs="微软雅黑"/>
                <w:i w:val="0"/>
                <w:iCs w:val="0"/>
                <w:color w:val="000000"/>
                <w:sz w:val="18"/>
                <w:szCs w:val="18"/>
                <w:u w:val="none"/>
              </w:rPr>
              <w:t>&gt;</w:t>
            </w:r>
            <w:r>
              <w:rPr>
                <w:rFonts w:hint="eastAsia" w:ascii="Times New Roman" w:hAnsi="Times New Roman" w:eastAsia="仿宋_GB2312" w:cs="Times New Roman"/>
                <w:i w:val="0"/>
                <w:iCs w:val="0"/>
                <w:color w:val="000000"/>
                <w:sz w:val="18"/>
                <w:szCs w:val="18"/>
                <w:u w:val="none"/>
                <w:lang w:val="en-US" w:eastAsia="zh-CN"/>
              </w:rPr>
              <w:t>=3个</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3个</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46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保障园区正常运转数量</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微软雅黑" w:hAnsi="微软雅黑" w:eastAsia="微软雅黑" w:cs="微软雅黑"/>
                <w:i w:val="0"/>
                <w:iCs w:val="0"/>
                <w:color w:val="000000"/>
                <w:sz w:val="18"/>
                <w:szCs w:val="18"/>
                <w:u w:val="none"/>
              </w:rPr>
              <w:t>&gt;</w:t>
            </w:r>
            <w:r>
              <w:rPr>
                <w:rFonts w:hint="eastAsia" w:ascii="Times New Roman" w:hAnsi="Times New Roman" w:eastAsia="仿宋_GB2312" w:cs="Times New Roman"/>
                <w:i w:val="0"/>
                <w:iCs w:val="0"/>
                <w:color w:val="000000"/>
                <w:sz w:val="18"/>
                <w:szCs w:val="18"/>
                <w:u w:val="none"/>
                <w:lang w:val="en-US" w:eastAsia="zh-CN"/>
              </w:rPr>
              <w:t>=</w:t>
            </w:r>
            <w:r>
              <w:rPr>
                <w:rFonts w:hint="eastAsia" w:eastAsia="仿宋_GB2312" w:cs="Times New Roman"/>
                <w:i w:val="0"/>
                <w:iCs w:val="0"/>
                <w:color w:val="000000"/>
                <w:sz w:val="18"/>
                <w:szCs w:val="18"/>
                <w:u w:val="none"/>
                <w:lang w:val="en-US" w:eastAsia="zh-CN"/>
              </w:rPr>
              <w:t>1</w:t>
            </w:r>
            <w:r>
              <w:rPr>
                <w:rFonts w:hint="eastAsia" w:ascii="Times New Roman" w:hAnsi="Times New Roman" w:eastAsia="仿宋_GB2312" w:cs="Times New Roman"/>
                <w:i w:val="0"/>
                <w:iCs w:val="0"/>
                <w:color w:val="000000"/>
                <w:sz w:val="18"/>
                <w:szCs w:val="18"/>
                <w:u w:val="none"/>
                <w:lang w:val="en-US" w:eastAsia="zh-CN"/>
              </w:rPr>
              <w:t>个</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eastAsia="仿宋_GB2312" w:cs="Times New Roman"/>
                <w:i w:val="0"/>
                <w:iCs w:val="0"/>
                <w:color w:val="000000"/>
                <w:sz w:val="18"/>
                <w:szCs w:val="18"/>
                <w:u w:val="none"/>
                <w:lang w:val="en-US" w:eastAsia="zh-CN"/>
              </w:rPr>
              <w:t>1</w:t>
            </w:r>
            <w:r>
              <w:rPr>
                <w:rFonts w:hint="eastAsia" w:ascii="Times New Roman" w:hAnsi="Times New Roman" w:eastAsia="仿宋_GB2312" w:cs="Times New Roman"/>
                <w:i w:val="0"/>
                <w:iCs w:val="0"/>
                <w:color w:val="000000"/>
                <w:sz w:val="18"/>
                <w:szCs w:val="18"/>
                <w:u w:val="none"/>
                <w:lang w:val="en-US" w:eastAsia="zh-CN"/>
              </w:rPr>
              <w:t>个</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资金使用合规率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eastAsia="仿宋_GB2312" w:cs="Times New Roman"/>
                <w:i w:val="0"/>
                <w:iCs w:val="0"/>
                <w:color w:val="000000"/>
                <w:sz w:val="18"/>
                <w:szCs w:val="18"/>
                <w:u w:val="none"/>
                <w:lang w:val="en-US" w:eastAsia="zh-CN"/>
              </w:rPr>
              <w:t>原始凭证</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eastAsia="仿宋_GB2312" w:cs="Times New Roman"/>
                <w:i w:val="0"/>
                <w:iCs w:val="0"/>
                <w:color w:val="000000"/>
                <w:sz w:val="18"/>
                <w:szCs w:val="18"/>
                <w:u w:val="none"/>
                <w:lang w:val="en-US" w:eastAsia="zh-CN"/>
              </w:rPr>
              <w:t>1</w:t>
            </w:r>
            <w:r>
              <w:rPr>
                <w:rFonts w:hint="eastAsia" w:ascii="Times New Roman" w:hAnsi="Times New Roman" w:eastAsia="仿宋_GB2312" w:cs="Times New Roman"/>
                <w:i w:val="0"/>
                <w:iCs w:val="0"/>
                <w:color w:val="000000"/>
                <w:sz w:val="18"/>
                <w:szCs w:val="18"/>
                <w:u w:val="none"/>
                <w:lang w:val="en-US" w:eastAsia="zh-CN"/>
              </w:rPr>
              <w:t>个</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462"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时效指标</w:t>
            </w:r>
          </w:p>
        </w:tc>
        <w:tc>
          <w:tcPr>
            <w:tcW w:w="364"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left"/>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资金支付及时率</w:t>
            </w:r>
          </w:p>
        </w:tc>
        <w:tc>
          <w:tcPr>
            <w:tcW w:w="402"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rPr>
            </w:pPr>
            <w:r>
              <w:rPr>
                <w:rFonts w:hint="eastAsia" w:ascii="微软雅黑" w:hAnsi="微软雅黑" w:eastAsia="微软雅黑" w:cs="微软雅黑"/>
                <w:i w:val="0"/>
                <w:iCs w:val="0"/>
                <w:color w:val="000000"/>
                <w:sz w:val="18"/>
                <w:szCs w:val="18"/>
                <w:u w:val="none"/>
              </w:rPr>
              <w:t>&gt;</w:t>
            </w:r>
            <w:r>
              <w:rPr>
                <w:rFonts w:hint="eastAsia" w:ascii="Times New Roman" w:hAnsi="Times New Roman" w:eastAsia="仿宋_GB2312" w:cs="Times New Roman"/>
                <w:i w:val="0"/>
                <w:iCs w:val="0"/>
                <w:color w:val="000000"/>
                <w:sz w:val="18"/>
                <w:szCs w:val="18"/>
                <w:u w:val="none"/>
                <w:lang w:val="en-US" w:eastAsia="zh-CN"/>
              </w:rPr>
              <w:t>=</w:t>
            </w:r>
            <w:r>
              <w:rPr>
                <w:rFonts w:hint="eastAsia" w:eastAsia="仿宋_GB2312" w:cs="Times New Roman"/>
                <w:i w:val="0"/>
                <w:iCs w:val="0"/>
                <w:color w:val="000000"/>
                <w:sz w:val="18"/>
                <w:szCs w:val="18"/>
                <w:u w:val="none"/>
                <w:lang w:val="en-US" w:eastAsia="zh-CN"/>
              </w:rPr>
              <w:t>95%</w:t>
            </w:r>
          </w:p>
        </w:tc>
        <w:tc>
          <w:tcPr>
            <w:tcW w:w="410"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计划标准</w:t>
            </w:r>
          </w:p>
        </w:tc>
        <w:tc>
          <w:tcPr>
            <w:tcW w:w="325"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w:t>
            </w:r>
          </w:p>
        </w:tc>
        <w:tc>
          <w:tcPr>
            <w:tcW w:w="295"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10</w:t>
            </w:r>
          </w:p>
        </w:tc>
        <w:tc>
          <w:tcPr>
            <w:tcW w:w="311"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按照完成比例赋分</w:t>
            </w:r>
          </w:p>
        </w:tc>
        <w:tc>
          <w:tcPr>
            <w:tcW w:w="274"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eastAsia="仿宋_GB2312" w:cs="Times New Roman"/>
                <w:i w:val="0"/>
                <w:iCs w:val="0"/>
                <w:color w:val="000000"/>
                <w:sz w:val="18"/>
                <w:szCs w:val="18"/>
                <w:u w:val="none"/>
                <w:lang w:val="en-US" w:eastAsia="zh-CN"/>
              </w:rPr>
              <w:t>原始凭证</w:t>
            </w:r>
          </w:p>
        </w:tc>
        <w:tc>
          <w:tcPr>
            <w:tcW w:w="364"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微软雅黑" w:hAnsi="微软雅黑" w:eastAsia="微软雅黑" w:cs="微软雅黑"/>
                <w:i w:val="0"/>
                <w:iCs w:val="0"/>
                <w:color w:val="000000"/>
                <w:sz w:val="18"/>
                <w:szCs w:val="18"/>
                <w:u w:val="none"/>
              </w:rPr>
              <w:t>&gt;</w:t>
            </w:r>
            <w:r>
              <w:rPr>
                <w:rFonts w:hint="eastAsia" w:ascii="Times New Roman" w:hAnsi="Times New Roman" w:eastAsia="仿宋_GB2312" w:cs="Times New Roman"/>
                <w:i w:val="0"/>
                <w:iCs w:val="0"/>
                <w:color w:val="000000"/>
                <w:sz w:val="18"/>
                <w:szCs w:val="18"/>
                <w:u w:val="none"/>
                <w:lang w:val="en-US" w:eastAsia="zh-CN"/>
              </w:rPr>
              <w:t>=</w:t>
            </w:r>
            <w:r>
              <w:rPr>
                <w:rFonts w:hint="eastAsia" w:eastAsia="仿宋_GB2312" w:cs="Times New Roman"/>
                <w:i w:val="0"/>
                <w:iCs w:val="0"/>
                <w:color w:val="000000"/>
                <w:sz w:val="18"/>
                <w:szCs w:val="18"/>
                <w:u w:val="none"/>
                <w:lang w:val="en-US" w:eastAsia="zh-CN"/>
              </w:rPr>
              <w:t>95%</w:t>
            </w:r>
          </w:p>
        </w:tc>
        <w:tc>
          <w:tcPr>
            <w:tcW w:w="292"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100%</w:t>
            </w:r>
          </w:p>
        </w:tc>
        <w:tc>
          <w:tcPr>
            <w:tcW w:w="263"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w:t>
            </w:r>
          </w:p>
        </w:tc>
        <w:tc>
          <w:tcPr>
            <w:tcW w:w="454"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455" w:type="pct"/>
            <w:vMerge w:val="restart"/>
            <w:tcBorders>
              <w:top w:val="single" w:color="000000" w:sz="4" w:space="0"/>
              <w:left w:val="single" w:color="000000" w:sz="4" w:space="0"/>
              <w:right w:val="single" w:color="auto"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仿宋_GB2312" w:cs="Times New Roman"/>
                <w:i w:val="0"/>
                <w:iCs w:val="0"/>
                <w:color w:val="000000"/>
                <w:sz w:val="18"/>
                <w:szCs w:val="18"/>
                <w:u w:val="none"/>
                <w:lang w:val="en-US" w:eastAsia="zh-CN"/>
              </w:rPr>
              <w:t>成本指标</w:t>
            </w:r>
          </w:p>
        </w:tc>
        <w:tc>
          <w:tcPr>
            <w:tcW w:w="462" w:type="pct"/>
            <w:vMerge w:val="restart"/>
            <w:tcBorders>
              <w:top w:val="single" w:color="auto" w:sz="4" w:space="0"/>
              <w:left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18"/>
                <w:szCs w:val="18"/>
                <w:highlight w:val="red"/>
                <w:u w:val="none"/>
                <w:lang w:val="en-US" w:eastAsia="zh-CN" w:bidi="ar"/>
              </w:rPr>
            </w:pPr>
            <w:r>
              <w:rPr>
                <w:rFonts w:hint="default" w:ascii="Times New Roman" w:hAnsi="Times New Roman" w:eastAsia="仿宋_GB2312" w:cs="Times New Roman"/>
                <w:i w:val="0"/>
                <w:iCs w:val="0"/>
                <w:color w:val="000000"/>
                <w:kern w:val="0"/>
                <w:sz w:val="18"/>
                <w:szCs w:val="18"/>
                <w:highlight w:val="none"/>
                <w:u w:val="none"/>
                <w:lang w:val="en-US" w:eastAsia="zh-CN" w:bidi="ar"/>
              </w:rPr>
              <w:t>经济成本指标</w:t>
            </w:r>
          </w:p>
        </w:tc>
        <w:tc>
          <w:tcPr>
            <w:tcW w:w="364" w:type="pct"/>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奖励园区核心区建设单位</w:t>
            </w:r>
            <w:r>
              <w:rPr>
                <w:rFonts w:hint="eastAsia" w:eastAsia="仿宋_GB2312" w:cs="Times New Roman"/>
                <w:i w:val="0"/>
                <w:iCs w:val="0"/>
                <w:color w:val="000000"/>
                <w:sz w:val="18"/>
                <w:szCs w:val="18"/>
                <w:u w:val="none"/>
                <w:lang w:val="en-US" w:eastAsia="zh-CN"/>
              </w:rPr>
              <w:t>成本</w:t>
            </w:r>
          </w:p>
        </w:tc>
        <w:tc>
          <w:tcPr>
            <w:tcW w:w="40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微软雅黑" w:cs="仿宋_GB2312"/>
                <w:i w:val="0"/>
                <w:iCs w:val="0"/>
                <w:color w:val="000000"/>
                <w:sz w:val="18"/>
                <w:szCs w:val="18"/>
                <w:u w:val="none"/>
                <w:lang w:val="en-US" w:eastAsia="zh-CN"/>
              </w:rPr>
            </w:pPr>
            <w:r>
              <w:rPr>
                <w:rFonts w:hint="eastAsia" w:ascii="微软雅黑" w:hAnsi="微软雅黑" w:eastAsia="微软雅黑" w:cs="微软雅黑"/>
                <w:i w:val="0"/>
                <w:iCs w:val="0"/>
                <w:color w:val="000000"/>
                <w:sz w:val="18"/>
                <w:szCs w:val="18"/>
                <w:u w:val="none"/>
              </w:rPr>
              <w:t>&lt;=</w:t>
            </w:r>
            <w:r>
              <w:rPr>
                <w:rFonts w:hint="eastAsia" w:ascii="Times New Roman" w:hAnsi="Times New Roman" w:eastAsia="仿宋_GB2312" w:cs="Times New Roman"/>
                <w:i w:val="0"/>
                <w:iCs w:val="0"/>
                <w:color w:val="000000"/>
                <w:sz w:val="18"/>
                <w:szCs w:val="18"/>
                <w:u w:val="none"/>
                <w:lang w:val="en-US" w:eastAsia="zh-CN"/>
              </w:rPr>
              <w:t>10万元</w:t>
            </w:r>
          </w:p>
        </w:tc>
        <w:tc>
          <w:tcPr>
            <w:tcW w:w="410"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计划标准</w:t>
            </w:r>
          </w:p>
        </w:tc>
        <w:tc>
          <w:tcPr>
            <w:tcW w:w="325"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w:t>
            </w:r>
          </w:p>
        </w:tc>
        <w:tc>
          <w:tcPr>
            <w:tcW w:w="295"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w:t>
            </w:r>
          </w:p>
        </w:tc>
        <w:tc>
          <w:tcPr>
            <w:tcW w:w="311"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按照完成比例赋分</w:t>
            </w:r>
          </w:p>
        </w:tc>
        <w:tc>
          <w:tcPr>
            <w:tcW w:w="274"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eastAsia="仿宋_GB2312" w:cs="Times New Roman"/>
                <w:i w:val="0"/>
                <w:iCs w:val="0"/>
                <w:color w:val="000000"/>
                <w:sz w:val="18"/>
                <w:szCs w:val="18"/>
                <w:u w:val="none"/>
                <w:lang w:val="en-US" w:eastAsia="zh-CN"/>
              </w:rPr>
              <w:t>原始凭证</w:t>
            </w:r>
          </w:p>
        </w:tc>
        <w:tc>
          <w:tcPr>
            <w:tcW w:w="364"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微软雅黑" w:cs="仿宋_GB2312"/>
                <w:i w:val="0"/>
                <w:iCs w:val="0"/>
                <w:color w:val="000000"/>
                <w:kern w:val="2"/>
                <w:sz w:val="18"/>
                <w:szCs w:val="18"/>
                <w:u w:val="none"/>
                <w:lang w:val="en-US" w:eastAsia="zh-CN" w:bidi="ar-SA"/>
              </w:rPr>
            </w:pPr>
            <w:r>
              <w:rPr>
                <w:rFonts w:hint="eastAsia" w:ascii="微软雅黑" w:hAnsi="微软雅黑" w:eastAsia="微软雅黑" w:cs="微软雅黑"/>
                <w:i w:val="0"/>
                <w:iCs w:val="0"/>
                <w:color w:val="000000"/>
                <w:sz w:val="18"/>
                <w:szCs w:val="18"/>
                <w:u w:val="none"/>
              </w:rPr>
              <w:t>&lt;=</w:t>
            </w:r>
            <w:r>
              <w:rPr>
                <w:rFonts w:hint="eastAsia" w:ascii="Times New Roman" w:hAnsi="Times New Roman" w:eastAsia="仿宋_GB2312" w:cs="Times New Roman"/>
                <w:i w:val="0"/>
                <w:iCs w:val="0"/>
                <w:color w:val="000000"/>
                <w:sz w:val="18"/>
                <w:szCs w:val="18"/>
                <w:u w:val="none"/>
                <w:lang w:val="en-US" w:eastAsia="zh-CN"/>
              </w:rPr>
              <w:t>10万元</w:t>
            </w:r>
          </w:p>
        </w:tc>
        <w:tc>
          <w:tcPr>
            <w:tcW w:w="29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100%</w:t>
            </w:r>
          </w:p>
        </w:tc>
        <w:tc>
          <w:tcPr>
            <w:tcW w:w="26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w:t>
            </w:r>
          </w:p>
        </w:tc>
        <w:tc>
          <w:tcPr>
            <w:tcW w:w="454" w:type="pct"/>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455" w:type="pct"/>
            <w:vMerge w:val="continue"/>
            <w:tcBorders>
              <w:left w:val="single" w:color="000000" w:sz="4" w:space="0"/>
              <w:bottom w:val="single" w:color="000000" w:sz="4" w:space="0"/>
              <w:right w:val="single" w:color="auto"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p>
        </w:tc>
        <w:tc>
          <w:tcPr>
            <w:tcW w:w="462" w:type="pct"/>
            <w:vMerge w:val="continue"/>
            <w:tcBorders>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18"/>
                <w:szCs w:val="18"/>
                <w:highlight w:val="none"/>
                <w:u w:val="none"/>
                <w:lang w:val="en-US" w:eastAsia="zh-CN" w:bidi="ar"/>
              </w:rPr>
            </w:pPr>
          </w:p>
        </w:tc>
        <w:tc>
          <w:tcPr>
            <w:tcW w:w="364" w:type="pct"/>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保障园区正常运转</w:t>
            </w:r>
            <w:r>
              <w:rPr>
                <w:rFonts w:hint="eastAsia" w:eastAsia="仿宋_GB2312" w:cs="Times New Roman"/>
                <w:i w:val="0"/>
                <w:iCs w:val="0"/>
                <w:color w:val="000000"/>
                <w:sz w:val="18"/>
                <w:szCs w:val="18"/>
                <w:u w:val="none"/>
                <w:lang w:val="en-US" w:eastAsia="zh-CN"/>
              </w:rPr>
              <w:t>成本</w:t>
            </w:r>
          </w:p>
        </w:tc>
        <w:tc>
          <w:tcPr>
            <w:tcW w:w="40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微软雅黑" w:hAnsi="微软雅黑" w:eastAsia="微软雅黑" w:cs="微软雅黑"/>
                <w:i w:val="0"/>
                <w:iCs w:val="0"/>
                <w:color w:val="000000"/>
                <w:sz w:val="18"/>
                <w:szCs w:val="18"/>
                <w:u w:val="none"/>
              </w:rPr>
              <w:t>&lt;=</w:t>
            </w:r>
            <w:r>
              <w:rPr>
                <w:rFonts w:hint="eastAsia" w:ascii="Times New Roman" w:hAnsi="Times New Roman" w:eastAsia="仿宋_GB2312" w:cs="Times New Roman"/>
                <w:i w:val="0"/>
                <w:iCs w:val="0"/>
                <w:color w:val="000000"/>
                <w:sz w:val="18"/>
                <w:szCs w:val="18"/>
                <w:u w:val="none"/>
                <w:lang w:val="en-US" w:eastAsia="zh-CN"/>
              </w:rPr>
              <w:t>3.77万元</w:t>
            </w:r>
          </w:p>
        </w:tc>
        <w:tc>
          <w:tcPr>
            <w:tcW w:w="410"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计划标准</w:t>
            </w:r>
          </w:p>
        </w:tc>
        <w:tc>
          <w:tcPr>
            <w:tcW w:w="325"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w:t>
            </w:r>
          </w:p>
        </w:tc>
        <w:tc>
          <w:tcPr>
            <w:tcW w:w="295"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w:t>
            </w:r>
          </w:p>
        </w:tc>
        <w:tc>
          <w:tcPr>
            <w:tcW w:w="311"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按照完成比例赋分</w:t>
            </w:r>
          </w:p>
        </w:tc>
        <w:tc>
          <w:tcPr>
            <w:tcW w:w="274"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eastAsia="仿宋_GB2312" w:cs="Times New Roman"/>
                <w:i w:val="0"/>
                <w:iCs w:val="0"/>
                <w:color w:val="000000"/>
                <w:sz w:val="18"/>
                <w:szCs w:val="18"/>
                <w:u w:val="none"/>
                <w:lang w:val="en-US" w:eastAsia="zh-CN"/>
              </w:rPr>
              <w:t>原始凭证</w:t>
            </w:r>
          </w:p>
        </w:tc>
        <w:tc>
          <w:tcPr>
            <w:tcW w:w="364"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微软雅黑" w:hAnsi="微软雅黑" w:eastAsia="微软雅黑" w:cs="微软雅黑"/>
                <w:i w:val="0"/>
                <w:iCs w:val="0"/>
                <w:color w:val="000000"/>
                <w:sz w:val="18"/>
                <w:szCs w:val="18"/>
                <w:u w:val="none"/>
              </w:rPr>
              <w:t>&lt;=</w:t>
            </w:r>
            <w:r>
              <w:rPr>
                <w:rFonts w:hint="eastAsia" w:ascii="Times New Roman" w:hAnsi="Times New Roman" w:eastAsia="仿宋_GB2312" w:cs="Times New Roman"/>
                <w:i w:val="0"/>
                <w:iCs w:val="0"/>
                <w:color w:val="000000"/>
                <w:sz w:val="18"/>
                <w:szCs w:val="18"/>
                <w:u w:val="none"/>
                <w:lang w:val="en-US" w:eastAsia="zh-CN"/>
              </w:rPr>
              <w:t>3.77万元</w:t>
            </w:r>
          </w:p>
        </w:tc>
        <w:tc>
          <w:tcPr>
            <w:tcW w:w="29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100%</w:t>
            </w:r>
          </w:p>
        </w:tc>
        <w:tc>
          <w:tcPr>
            <w:tcW w:w="26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w:t>
            </w:r>
          </w:p>
        </w:tc>
        <w:tc>
          <w:tcPr>
            <w:tcW w:w="454" w:type="pct"/>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效益指标</w:t>
            </w:r>
          </w:p>
        </w:tc>
        <w:tc>
          <w:tcPr>
            <w:tcW w:w="462"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经济效益指标</w:t>
            </w:r>
          </w:p>
        </w:tc>
        <w:tc>
          <w:tcPr>
            <w:tcW w:w="364"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402"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410"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325"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295"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311"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274"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364"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292"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263"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454"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社会效益指标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val="en-US" w:eastAsia="zh-CN"/>
              </w:rPr>
              <w:t>提高传统农业向绿色、生态、创意、精品、高值农业转变</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有效提高</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20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按评判等级赋分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达成目标</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eastAsia="仿宋_GB2312" w:cs="Times New Roman"/>
                <w:i w:val="0"/>
                <w:iCs w:val="0"/>
                <w:color w:val="000000"/>
                <w:kern w:val="2"/>
                <w:sz w:val="18"/>
                <w:szCs w:val="18"/>
                <w:u w:val="none"/>
                <w:lang w:val="en-US" w:eastAsia="zh-CN" w:bidi="ar-SA"/>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生态效益指标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1"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满意度指标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园区建设单位满意度</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val="en-US" w:eastAsia="zh-CN"/>
              </w:rPr>
              <w: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满意度赋分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val="en-US" w:eastAsia="zh-CN"/>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eastAsia" w:ascii="Times New Roman" w:hAnsi="Times New Roman" w:eastAsia="仿宋_GB2312" w:cs="Times New Roman"/>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r>
              <w:rPr>
                <w:rFonts w:hint="eastAsia" w:ascii="Times New Roman" w:hAnsi="Times New Roman" w:eastAsia="仿宋_GB2312" w:cs="Times New Roman"/>
                <w:i w:val="0"/>
                <w:iCs w:val="0"/>
                <w:color w:val="000000"/>
                <w:sz w:val="18"/>
                <w:szCs w:val="18"/>
                <w:u w:val="none"/>
                <w:lang w:val="en-US" w:eastAsia="zh-CN"/>
              </w:rPr>
              <w:t>90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i w:val="0"/>
                <w:iCs w:val="0"/>
                <w:color w:val="000000"/>
                <w:sz w:val="18"/>
                <w:szCs w:val="18"/>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0NjBmMzBmMjdlOWQzMjI4ODBmY2UxZjUzYzk3MjgifQ=="/>
  </w:docVars>
  <w:rsids>
    <w:rsidRoot w:val="FF6C4049"/>
    <w:rsid w:val="006F7242"/>
    <w:rsid w:val="007B168A"/>
    <w:rsid w:val="008B2CFE"/>
    <w:rsid w:val="00F26FF6"/>
    <w:rsid w:val="01610122"/>
    <w:rsid w:val="01A4400D"/>
    <w:rsid w:val="02510197"/>
    <w:rsid w:val="03EC461B"/>
    <w:rsid w:val="0461077D"/>
    <w:rsid w:val="05CA5B57"/>
    <w:rsid w:val="07397B77"/>
    <w:rsid w:val="08C34BC6"/>
    <w:rsid w:val="0A521286"/>
    <w:rsid w:val="0AD007F3"/>
    <w:rsid w:val="0BA93C04"/>
    <w:rsid w:val="0E3C619F"/>
    <w:rsid w:val="0E5F4D33"/>
    <w:rsid w:val="100F38EC"/>
    <w:rsid w:val="11170296"/>
    <w:rsid w:val="12C66037"/>
    <w:rsid w:val="12CD1ABC"/>
    <w:rsid w:val="13471461"/>
    <w:rsid w:val="13B90F01"/>
    <w:rsid w:val="155E4C4D"/>
    <w:rsid w:val="16662132"/>
    <w:rsid w:val="181066D2"/>
    <w:rsid w:val="18F23142"/>
    <w:rsid w:val="1AAA57F4"/>
    <w:rsid w:val="1C671E73"/>
    <w:rsid w:val="1D322C47"/>
    <w:rsid w:val="1F3E032D"/>
    <w:rsid w:val="23616034"/>
    <w:rsid w:val="23696C97"/>
    <w:rsid w:val="24480FA2"/>
    <w:rsid w:val="25227A45"/>
    <w:rsid w:val="26AC3A6A"/>
    <w:rsid w:val="2B9D7E25"/>
    <w:rsid w:val="2C7C7A3B"/>
    <w:rsid w:val="2F364819"/>
    <w:rsid w:val="2FD63906"/>
    <w:rsid w:val="314F21FC"/>
    <w:rsid w:val="33223A93"/>
    <w:rsid w:val="3456135D"/>
    <w:rsid w:val="37215DAE"/>
    <w:rsid w:val="38CA40DD"/>
    <w:rsid w:val="395F2B56"/>
    <w:rsid w:val="3AA77D2D"/>
    <w:rsid w:val="3AF41D53"/>
    <w:rsid w:val="3BBA0580"/>
    <w:rsid w:val="3BECE841"/>
    <w:rsid w:val="3CDE204C"/>
    <w:rsid w:val="3D363C36"/>
    <w:rsid w:val="3E9C3F6D"/>
    <w:rsid w:val="3FAB1670"/>
    <w:rsid w:val="3FF7797D"/>
    <w:rsid w:val="44071E15"/>
    <w:rsid w:val="46690BD8"/>
    <w:rsid w:val="47A4060B"/>
    <w:rsid w:val="49F70BF1"/>
    <w:rsid w:val="4B4340EE"/>
    <w:rsid w:val="503D507A"/>
    <w:rsid w:val="510142D4"/>
    <w:rsid w:val="51FA74D0"/>
    <w:rsid w:val="52AA4A52"/>
    <w:rsid w:val="58A362C4"/>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B45A7A"/>
    <w:rsid w:val="65F242EE"/>
    <w:rsid w:val="666D7E19"/>
    <w:rsid w:val="68376930"/>
    <w:rsid w:val="68F91E38"/>
    <w:rsid w:val="6B3158B9"/>
    <w:rsid w:val="6BA02A3F"/>
    <w:rsid w:val="6C1E5A53"/>
    <w:rsid w:val="6F5C41AC"/>
    <w:rsid w:val="6FAF6C78"/>
    <w:rsid w:val="716167CC"/>
    <w:rsid w:val="718A7AD1"/>
    <w:rsid w:val="728B617D"/>
    <w:rsid w:val="72A44BC2"/>
    <w:rsid w:val="7317C656"/>
    <w:rsid w:val="734ED73F"/>
    <w:rsid w:val="73C82B32"/>
    <w:rsid w:val="73F94DAE"/>
    <w:rsid w:val="74220495"/>
    <w:rsid w:val="747D1B6F"/>
    <w:rsid w:val="749E5641"/>
    <w:rsid w:val="7516044A"/>
    <w:rsid w:val="76271066"/>
    <w:rsid w:val="773A20AE"/>
    <w:rsid w:val="77FD8BE9"/>
    <w:rsid w:val="78000AED"/>
    <w:rsid w:val="79026743"/>
    <w:rsid w:val="79A9BD3F"/>
    <w:rsid w:val="7B776F12"/>
    <w:rsid w:val="7BFFFDD0"/>
    <w:rsid w:val="7C336E5F"/>
    <w:rsid w:val="7C8D4919"/>
    <w:rsid w:val="7D7A5F86"/>
    <w:rsid w:val="7D8F0AF7"/>
    <w:rsid w:val="7E4B683A"/>
    <w:rsid w:val="7E5E656D"/>
    <w:rsid w:val="7E8F2BCB"/>
    <w:rsid w:val="7EF40F2E"/>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12018</Words>
  <Characters>12431</Characters>
  <Lines>58</Lines>
  <Paragraphs>16</Paragraphs>
  <TotalTime>5</TotalTime>
  <ScaleCrop>false</ScaleCrop>
  <LinksUpToDate>false</LinksUpToDate>
  <CharactersWithSpaces>12443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2025-05-30T10:57:00Z</cp:lastPrinted>
  <dcterms:modified xsi:type="dcterms:W3CDTF">2025-05-30T12:59:04Z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