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库尔勒市科学技术局</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（一）贯彻实施创新驱动发展战略，拟订全市科技发展、引进国外智力规划和政策并组织实施。 </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（二）统筹推进全市科技体制改革，会同有关部门健全科技创新激励机制。优化科研体系建设,指导科研机构改革发展。 </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（三）推动科创平台的建设，负责科创平台项目决策咨询服务。 </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（四）会同有关部门提出优化配置科技资源的政策措施建议，推动多元化科技投入体系建设。统筹协调全市基础研究、应用研究、科 技攻关和成果转化，协调管理和监督实施市级各类科技计划。牵头建 立统一的市级科技管理平台，组织实施创新调查和科技报告制度。 </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（五）参与编制重点科技创新基地和重点科技基础设施建设规划和监督实施，推动科研条件保障建设和科技资源开放共享。 </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（六）组织拟订高新技术发展及产业化、科技促进农业农村和社会发展的规划、政策和措施。组织开展重点领域技术发展需求分析， 统筹关键共性技术、前沿引领技术、现代工程技术、颠覆性技术研发 和创新，统筹编制市重大科技项目规划并监督实施，牵头组织重大技 术攻关和成果应用示范。 </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（七）牵头组织高新技术企业、科技型中小企业等培育工作，推进企业科技研发机构建设，推动企业科技创新能力建设。 </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（八）拟订科技成果转移转化和促进产学研结合的相关政策措施并组织实施。完善科技成果转化机制建设。指导科技服务业、技术市 场和科技中介组织发展。承担推进科技军民融合发展相关工作。指导 全市科技保密工作。 </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（九）指导区域创新发展、科技资源合理布局和协同创新能力建设。 </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（十）负责科技监督评价体系建设和相关科技评估管理，指导推 进科技评价机制改革，推进科研诚信建设。 </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（十一）组织开展国际、国内科技合作与科技人才交流，牵头推进引进大院名校共建科技创新载体。 </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（十二）负责引进国外智力工作。拟订引进外国专家总体规划、计划并组织实施，建立外国专家联系服务机制。 </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（十三）负责科技人才队伍建设。会同有关部门拟订科技人才队伍建设规划和政策，建立健全科技人才评价和激励机制，组织实施科 技人才计划，推动高端科技创新人才队伍建设。会同有关部门拟订科 学普及规划和政策。 </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rPr>
      </w:pPr>
      <w:r>
        <w:rPr>
          <w:rFonts w:hint="eastAsia" w:ascii="仿宋_GB2312" w:eastAsia="仿宋_GB2312"/>
          <w:sz w:val="32"/>
          <w:szCs w:val="32"/>
        </w:rPr>
        <w:t xml:space="preserve">（十四）指导协调市政府各部门的科技创新工作，推动全市科技进步。 </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rPr>
        <w:t>（十五）完成市委、市政府交办的其他任务。</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库尔勒市科学技术局2024年度，实有人数34人，其中：在职人员20人，增加1人；离休人员0人，较上年无变化；退休人员14人，增加3人。</w:t>
      </w:r>
    </w:p>
    <w:p>
      <w:pPr>
        <w:widowControl/>
        <w:rPr>
          <w:rFonts w:ascii="仿宋_GB2312" w:eastAsia="仿宋_GB2312"/>
          <w:b w:val="0"/>
          <w:sz w:val="32"/>
          <w:szCs w:val="32"/>
        </w:rPr>
      </w:pPr>
      <w:r>
        <w:rPr>
          <w:rFonts w:ascii="仿宋_GB2312" w:eastAsia="仿宋_GB2312"/>
          <w:b w:val="0"/>
          <w:sz w:val="32"/>
          <w:szCs w:val="32"/>
        </w:rPr>
        <w:t>库尔勒市科学技术局无下属预算单位，</w:t>
      </w:r>
      <w:r>
        <w:rPr>
          <w:rFonts w:hint="eastAsia" w:ascii="仿宋_GB2312" w:eastAsia="仿宋_GB2312"/>
          <w:b w:val="0"/>
          <w:sz w:val="32"/>
          <w:szCs w:val="32"/>
        </w:rPr>
        <w:t>下设3个处室，分别是：行政办公室、科技规划与管理股、创新发展与引智股。</w:t>
      </w: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b w:val="0"/>
          <w:sz w:val="32"/>
          <w:szCs w:val="32"/>
        </w:rPr>
      </w:pP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2024年度收入总计376.36万元，其中：本年收入合计376.36万元，使用非财政拨款结余（含专用结余）0.00万元，年初结转和结余0.00万元。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2024年度支出总计376.36万元，其中：本年支出合计376.36万元，结余分配0.00万元，年末结转和结余0.00万元。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收入支出总体与上年相比，减少61.23万元，下降13.99%，主要原因是：</w:t>
      </w:r>
      <w:r>
        <w:rPr>
          <w:rFonts w:hint="eastAsia" w:ascii="仿宋_GB2312" w:eastAsia="仿宋_GB2312"/>
          <w:b w:val="0"/>
          <w:sz w:val="32"/>
          <w:szCs w:val="32"/>
        </w:rPr>
        <w:t>1、今年科技项目减少，相应经费减少。2、上年补发2020年下半年绩效奖及补发22年1月至23年4月艰边津贴。</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本年收入376.36万元，其中：财政拨款收入376.36万元,占100.00%；上级补助收入0.00万元,占0.00%；事业收入0.00万元，占0.00%；经营收入0.00万元,占0.00%；附属单位上缴收入0.00万元，占0.00%；其他收入0.00万元，占0.00%。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本年支出376.36万元，其中：基本支出298.42万元，占79.29%；项目支出77.94万元，占20.71%；上缴上级支出0.00万元，占0.00%；经营支出0.00万元，占0.00%；对附属单位补助支出0.00万元，占0.00%。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2024年度财政拨款收入总计376.36万元，其中：年初财政拨款结转和结余0.00万元，本年财政拨款收入376.36万元。财政拨款支出总计376.36万元，其中：年末财政拨款结转和结余0.00万元，本年财政拨款支出376.36万元。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财政拨款收入支出总体与上年相比，减少61.23万元，下降13.99%，主要原因是：</w:t>
      </w:r>
      <w:r>
        <w:rPr>
          <w:rFonts w:hint="eastAsia" w:ascii="仿宋_GB2312" w:eastAsia="仿宋_GB2312"/>
          <w:b w:val="0"/>
          <w:sz w:val="32"/>
          <w:szCs w:val="32"/>
        </w:rPr>
        <w:t>1、今年科技项目减少，相应经费减少。2、上年补发2020年下半年绩效奖及补发22年1月至23年4月艰边津贴</w:t>
      </w:r>
      <w:r>
        <w:rPr>
          <w:rFonts w:ascii="仿宋_GB2312" w:eastAsia="仿宋_GB2312"/>
          <w:b w:val="0"/>
          <w:sz w:val="32"/>
          <w:szCs w:val="32"/>
        </w:rPr>
        <w:t>。与年初预算相比，年初预算数763.05万元，决算数376.36万元，预决算差异率-50.68%，主要原因是：</w:t>
      </w:r>
      <w:r>
        <w:rPr>
          <w:rFonts w:hint="eastAsia" w:ascii="仿宋_GB2312" w:eastAsia="仿宋_GB2312"/>
          <w:b w:val="0"/>
          <w:sz w:val="32"/>
          <w:szCs w:val="32"/>
        </w:rPr>
        <w:t>今年科技项目减少，相应经费减少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2024年度一般公共预算财政拨款支出376.36万元，占本年支出合计的100.00%。与上年相比，减少61.23万元，下降13.99%，主要原因是：：</w:t>
      </w:r>
      <w:r>
        <w:rPr>
          <w:rFonts w:hint="eastAsia" w:ascii="仿宋_GB2312" w:eastAsia="仿宋_GB2312"/>
          <w:b w:val="0"/>
          <w:sz w:val="32"/>
          <w:szCs w:val="32"/>
        </w:rPr>
        <w:t>1、今年科技项目减少，相应经费减少。2、上年补发2020年下半年绩效奖及补发22年1月至23年4月艰边津贴</w:t>
      </w:r>
      <w:r>
        <w:rPr>
          <w:rFonts w:ascii="仿宋_GB2312" w:eastAsia="仿宋_GB2312"/>
          <w:b w:val="0"/>
          <w:sz w:val="32"/>
          <w:szCs w:val="32"/>
        </w:rPr>
        <w:t>。与年初预算相比，年初预算数763.05万元，决算数376.36万元，预决算差异率-50.68%，主要原因是：</w:t>
      </w:r>
      <w:r>
        <w:rPr>
          <w:rFonts w:hint="eastAsia" w:ascii="仿宋_GB2312" w:eastAsia="仿宋_GB2312"/>
          <w:b w:val="0"/>
          <w:sz w:val="32"/>
          <w:szCs w:val="32"/>
        </w:rPr>
        <w:t>今年科技项目减少，相应经费减少</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科学技术支出（类）376.36万元，占100.00%。</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科学技术支出（类）科学技术管理事务（款）行政运行（项）：支出决算数为298.42万元，比上年决算减少30.12万元，下降9.17%，主要原因是：</w:t>
      </w:r>
      <w:r>
        <w:rPr>
          <w:rFonts w:hint="eastAsia" w:ascii="仿宋_GB2312" w:eastAsia="仿宋_GB2312"/>
          <w:b w:val="0"/>
          <w:sz w:val="32"/>
          <w:szCs w:val="32"/>
        </w:rPr>
        <w:t>上年补发2020年下半年绩效奖及补发22年1月至23年4月艰边津贴</w:t>
      </w:r>
      <w:r>
        <w:rPr>
          <w:rFonts w:hint="eastAsia" w:ascii="仿宋_GB2312" w:eastAsia="仿宋_GB2312"/>
          <w:b w:val="0"/>
          <w:sz w:val="32"/>
          <w:szCs w:val="32"/>
          <w:lang w:eastAsia="zh-CN"/>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科学技术支出（类）技术研究与开发（款）科技成果转化与扩散（项）：支出决算数为77.94万元，比上年决算减少31.10万元，下降28.52%，主要原因是：</w:t>
      </w:r>
      <w:r>
        <w:rPr>
          <w:rFonts w:hint="eastAsia" w:ascii="仿宋_GB2312" w:eastAsia="仿宋_GB2312"/>
          <w:b w:val="0"/>
          <w:sz w:val="32"/>
          <w:szCs w:val="32"/>
        </w:rPr>
        <w:t>今年科技项目减少，相应经费减少</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298.42万元，其中：人员经费285.08万元，包括：基本工资、津贴补贴、奖金、机关事业单位基本养老保险缴费、职业年金缴费、职工基本医疗保险缴费、公务员医疗补助缴费、其他社会保障缴费、住房公积金、其他工资福利支出和退休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公用经费13.35万元，包括：办公费、邮电费、取暖费、差旅费、培训费、工会经费、福利费、公务用车运行维护费和其他交通费用。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2024年度财政拨款“三公”经费支出2.22万元，与上年相比无变化，</w:t>
      </w:r>
      <w:r>
        <w:rPr>
          <w:rFonts w:hint="eastAsia" w:ascii="仿宋_GB2312" w:eastAsia="仿宋_GB2312"/>
          <w:b w:val="0"/>
          <w:sz w:val="32"/>
          <w:szCs w:val="32"/>
        </w:rPr>
        <w:t>主要原因是：严格控制三公经费，厉行节约，与上年一致无变化。其中：因公出国（境）费支出0.00万元，占0.00%，比上年增加0.00万元，增长0.00%,主要原因是：我单位无因公出国（境）费</w:t>
      </w:r>
      <w:r>
        <w:rPr>
          <w:rFonts w:ascii="仿宋_GB2312" w:eastAsia="仿宋_GB2312"/>
          <w:b w:val="0"/>
          <w:sz w:val="32"/>
          <w:szCs w:val="32"/>
        </w:rPr>
        <w:t>；公务用车购置及运行维护费支出2.22万元，占100.00%，与上年相比无变化，</w:t>
      </w:r>
      <w:r>
        <w:rPr>
          <w:rFonts w:hint="eastAsia" w:ascii="仿宋_GB2312" w:eastAsia="仿宋_GB2312"/>
          <w:b w:val="0"/>
          <w:sz w:val="32"/>
          <w:szCs w:val="32"/>
        </w:rPr>
        <w:t>主要原因是：严格控制三公经费，厉行节约，与上年一致无变化；公务接待费支出0.00万元，占0.00%，比上年增加0.00万元，增长0.00%,主要原因是：我单位无公务接待费。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2.22万元，其中：公务用车购置费0.00万元，公务用车运行维护费2.22万元。公务用车运行维护费开支内容包括。公务用车购置数0辆，公务用车保有量2辆。国有资产占用情况中固定资产车辆4辆，与公务用车保有量差异原因是：</w:t>
      </w:r>
      <w:r>
        <w:rPr>
          <w:rFonts w:hint="eastAsia" w:ascii="仿宋_GB2312" w:eastAsia="仿宋_GB2312"/>
          <w:b w:val="0"/>
          <w:sz w:val="32"/>
          <w:szCs w:val="32"/>
          <w:lang w:val="en-US" w:eastAsia="zh-CN"/>
        </w:rPr>
        <w:t>机关事务管理局核定车辆编制为2辆，实有车辆为4辆</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与全年预算相比，财政拨款“三公”经费支出全年预算数2.22万元，决算数2.22万元，预决算差异率0.00%，</w:t>
      </w:r>
      <w:r>
        <w:rPr>
          <w:rFonts w:hint="eastAsia" w:ascii="仿宋_GB2312" w:eastAsia="仿宋_GB2312"/>
          <w:b w:val="0"/>
          <w:sz w:val="32"/>
          <w:szCs w:val="32"/>
        </w:rPr>
        <w:t>主要原因是：严格控制三公经费，厉行节约。其中：因公出国（境）费全年预算数0.00万元，决算数0.00万元，预决算差异率0.00%，主要原因是：我单位无因公出国（境）费；公务用车购置费全年预算数0.00万元，决算数0.00万元，预决算差异率0.00%，主要原因是：我单位无公务用车购置费</w:t>
      </w:r>
      <w:r>
        <w:rPr>
          <w:rFonts w:hint="eastAsia" w:ascii="仿宋_GB2312" w:eastAsia="仿宋_GB2312"/>
          <w:b w:val="0"/>
          <w:sz w:val="32"/>
          <w:szCs w:val="32"/>
          <w:lang w:eastAsia="zh-CN"/>
        </w:rPr>
        <w:t>。</w:t>
      </w:r>
      <w:r>
        <w:rPr>
          <w:rFonts w:ascii="仿宋_GB2312" w:eastAsia="仿宋_GB2312"/>
          <w:b w:val="0"/>
          <w:sz w:val="32"/>
          <w:szCs w:val="32"/>
        </w:rPr>
        <w:t>公务用车运行维护费全年预算数2.22万元，决算数2.22万元，预决算差异率0.00%，</w:t>
      </w:r>
      <w:r>
        <w:rPr>
          <w:rFonts w:hint="eastAsia" w:ascii="仿宋_GB2312" w:eastAsia="仿宋_GB2312"/>
          <w:b w:val="0"/>
          <w:sz w:val="32"/>
          <w:szCs w:val="32"/>
        </w:rPr>
        <w:t>主要原因是：严格控制三公经费，厉行节约；公务接待费全年预算数0.00万元，决算数0.00万元，预决算差异率0.00%，主要原因是：我单位无公务接待费。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2024年度库尔勒市科学技术局单位机关运行经费支出13.35万元，比上年减少5.29万元，下降28.38%，主要原因是：</w:t>
      </w:r>
      <w:r>
        <w:rPr>
          <w:rFonts w:hint="eastAsia" w:ascii="仿宋_GB2312" w:eastAsia="仿宋_GB2312"/>
          <w:b w:val="0"/>
          <w:sz w:val="32"/>
          <w:szCs w:val="32"/>
        </w:rPr>
        <w:t>今年科技项目减少，相应经费减少</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2024年度政府采购支出总额21.06万元，其中：政府采购货物支出3.75万元、政府采购工程支出0.00万元、政府采购服务支出17.31万元。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授予中小企业合同金额21.06万元，占政府采购支出总额的100.00%，其中：授予小微企业合同金额19.25万元，占政府采购支出总额的91.41%。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4辆，价值58.23万元，其中：副部（省）级及以上领导用车0辆、主要负责人用车0辆、机要通信用车0辆、应急保障用车0辆、执法执勤用车0辆、特种专业技术用车0辆、离退休干部服务用车0辆、其他用车4辆，其他用车主要是：;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376.36</w:t>
      </w:r>
      <w:r>
        <w:rPr>
          <w:rFonts w:ascii="仿宋_GB2312" w:eastAsia="仿宋_GB2312"/>
          <w:b w:val="0"/>
          <w:sz w:val="32"/>
          <w:szCs w:val="32"/>
        </w:rPr>
        <w:t>万元，实际执行总额</w:t>
      </w:r>
      <w:r>
        <w:rPr>
          <w:rFonts w:hint="eastAsia" w:ascii="仿宋_GB2312" w:eastAsia="仿宋_GB2312"/>
          <w:b w:val="0"/>
          <w:sz w:val="32"/>
          <w:szCs w:val="32"/>
          <w:lang w:val="en-US" w:eastAsia="zh-CN"/>
        </w:rPr>
        <w:t>376.36</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5</w:t>
      </w:r>
      <w:r>
        <w:rPr>
          <w:rFonts w:ascii="仿宋_GB2312" w:eastAsia="仿宋_GB2312"/>
          <w:b w:val="0"/>
          <w:sz w:val="32"/>
          <w:szCs w:val="32"/>
        </w:rPr>
        <w:t>个，全年预算数</w:t>
      </w:r>
      <w:r>
        <w:rPr>
          <w:rFonts w:hint="eastAsia" w:ascii="仿宋_GB2312" w:eastAsia="仿宋_GB2312"/>
          <w:b w:val="0"/>
          <w:sz w:val="32"/>
          <w:szCs w:val="32"/>
          <w:lang w:val="en-US" w:eastAsia="zh-CN"/>
        </w:rPr>
        <w:t>231.38</w:t>
      </w:r>
      <w:r>
        <w:rPr>
          <w:rFonts w:ascii="仿宋_GB2312" w:eastAsia="仿宋_GB2312"/>
          <w:b w:val="0"/>
          <w:sz w:val="32"/>
          <w:szCs w:val="32"/>
        </w:rPr>
        <w:t>万元，全年执行数</w:t>
      </w:r>
      <w:r>
        <w:rPr>
          <w:rFonts w:hint="eastAsia" w:ascii="仿宋_GB2312" w:eastAsia="仿宋_GB2312"/>
          <w:b w:val="0"/>
          <w:sz w:val="32"/>
          <w:szCs w:val="32"/>
          <w:lang w:val="en-US" w:eastAsia="zh-CN"/>
        </w:rPr>
        <w:t>77.93</w:t>
      </w:r>
      <w:r>
        <w:rPr>
          <w:rFonts w:ascii="仿宋_GB2312" w:eastAsia="仿宋_GB2312"/>
          <w:b w:val="0"/>
          <w:sz w:val="32"/>
          <w:szCs w:val="32"/>
        </w:rPr>
        <w:t>万元。</w:t>
      </w:r>
      <w:r>
        <w:rPr>
          <w:rFonts w:hint="eastAsia" w:ascii="仿宋_GB2312" w:eastAsia="仿宋_GB2312"/>
          <w:color w:val="auto"/>
          <w:sz w:val="32"/>
          <w:szCs w:val="32"/>
          <w:highlight w:val="none"/>
          <w:lang w:eastAsia="zh-CN"/>
        </w:rPr>
        <w:t>预算绩效管理取得的成效：一是通过加强预算收支管理、不断建立健全内部管理制度、梳理内部管理流程，部门整体支出管理情况得到提升；二是严格履行政府采购程序，规范政府采购行为，加强对政府采购全流程活动的规范管理，推动政府采购</w:t>
      </w:r>
      <w:bookmarkStart w:id="0" w:name="_GoBack"/>
      <w:bookmarkEnd w:id="0"/>
      <w:r>
        <w:rPr>
          <w:rFonts w:hint="eastAsia" w:ascii="仿宋_GB2312" w:eastAsia="仿宋_GB2312"/>
          <w:color w:val="auto"/>
          <w:sz w:val="32"/>
          <w:szCs w:val="32"/>
          <w:highlight w:val="none"/>
          <w:lang w:eastAsia="zh-CN"/>
        </w:rPr>
        <w:t>相关制度贯彻落实。发现的问题及原因：一是目前的预算管理在编制和实施中还存在编制不细、预算调整较多、追加预算比重较大等现象,因此项目预算执行的准确性还有待加强；二是经办机构存在工作经费紧缺，信息化建设滞后的情况。下一步改进措施：一是全面编制预算项目，优先保障固定的、相对刚性的费用支出项目；二是加强与财政部门的紧密配合,开展好整体支出及项目资金绩效管理工作,运用好绩效评价的结果,不断提升预算管理水平</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bidi w:val="0"/>
        <w:rPr>
          <w:sz w:val="21"/>
          <w:szCs w:val="22"/>
        </w:rPr>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bidi w:val="0"/>
      </w:pPr>
    </w:p>
    <w:p>
      <w:pPr>
        <w:tabs>
          <w:tab w:val="left" w:pos="2633"/>
        </w:tabs>
        <w:bidi w:val="0"/>
        <w:jc w:val="left"/>
        <w:rPr>
          <w:rFonts w:hint="eastAsia"/>
          <w:lang w:eastAsia="zh-CN"/>
        </w:rPr>
      </w:pPr>
      <w:r>
        <w:rPr>
          <w:rFonts w:hint="eastAsia"/>
          <w:lang w:eastAsia="zh-CN"/>
        </w:rPr>
        <w:tab/>
      </w: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r>
        <w:drawing>
          <wp:anchor distT="0" distB="0" distL="114300" distR="114300" simplePos="0" relativeHeight="251659264" behindDoc="0" locked="0" layoutInCell="1" allowOverlap="1">
            <wp:simplePos x="0" y="0"/>
            <wp:positionH relativeFrom="column">
              <wp:posOffset>-552450</wp:posOffset>
            </wp:positionH>
            <wp:positionV relativeFrom="paragraph">
              <wp:posOffset>29210</wp:posOffset>
            </wp:positionV>
            <wp:extent cx="6572250" cy="7891780"/>
            <wp:effectExtent l="0" t="0" r="0" b="1397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572250" cy="7891780"/>
                    </a:xfrm>
                    <a:prstGeom prst="rect">
                      <a:avLst/>
                    </a:prstGeom>
                    <a:noFill/>
                    <a:ln>
                      <a:noFill/>
                    </a:ln>
                  </pic:spPr>
                </pic:pic>
              </a:graphicData>
            </a:graphic>
          </wp:anchor>
        </w:drawing>
      </w: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r>
        <w:drawing>
          <wp:anchor distT="0" distB="0" distL="114300" distR="114300" simplePos="0" relativeHeight="251660288" behindDoc="0" locked="0" layoutInCell="1" allowOverlap="1">
            <wp:simplePos x="0" y="0"/>
            <wp:positionH relativeFrom="column">
              <wp:posOffset>-485775</wp:posOffset>
            </wp:positionH>
            <wp:positionV relativeFrom="paragraph">
              <wp:posOffset>-18415</wp:posOffset>
            </wp:positionV>
            <wp:extent cx="6664325" cy="4350385"/>
            <wp:effectExtent l="0" t="0" r="3175" b="12065"/>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664325" cy="4350385"/>
                    </a:xfrm>
                    <a:prstGeom prst="rect">
                      <a:avLst/>
                    </a:prstGeom>
                    <a:noFill/>
                    <a:ln>
                      <a:noFill/>
                    </a:ln>
                  </pic:spPr>
                </pic:pic>
              </a:graphicData>
            </a:graphic>
          </wp:anchor>
        </w:drawing>
      </w: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r>
        <w:drawing>
          <wp:anchor distT="0" distB="0" distL="114300" distR="114300" simplePos="0" relativeHeight="251661312" behindDoc="0" locked="0" layoutInCell="1" allowOverlap="1">
            <wp:simplePos x="0" y="0"/>
            <wp:positionH relativeFrom="column">
              <wp:posOffset>-561975</wp:posOffset>
            </wp:positionH>
            <wp:positionV relativeFrom="paragraph">
              <wp:posOffset>66675</wp:posOffset>
            </wp:positionV>
            <wp:extent cx="6983730" cy="4218940"/>
            <wp:effectExtent l="0" t="0" r="7620" b="1016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6983730" cy="4218940"/>
                    </a:xfrm>
                    <a:prstGeom prst="rect">
                      <a:avLst/>
                    </a:prstGeom>
                    <a:noFill/>
                    <a:ln>
                      <a:noFill/>
                    </a:ln>
                  </pic:spPr>
                </pic:pic>
              </a:graphicData>
            </a:graphic>
          </wp:anchor>
        </w:drawing>
      </w: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r>
        <w:drawing>
          <wp:anchor distT="0" distB="0" distL="114300" distR="114300" simplePos="0" relativeHeight="251662336" behindDoc="0" locked="0" layoutInCell="1" allowOverlap="1">
            <wp:simplePos x="0" y="0"/>
            <wp:positionH relativeFrom="column">
              <wp:posOffset>-590550</wp:posOffset>
            </wp:positionH>
            <wp:positionV relativeFrom="paragraph">
              <wp:posOffset>-8890</wp:posOffset>
            </wp:positionV>
            <wp:extent cx="6631305" cy="8235950"/>
            <wp:effectExtent l="0" t="0" r="17145" b="1270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6631305" cy="8235950"/>
                    </a:xfrm>
                    <a:prstGeom prst="rect">
                      <a:avLst/>
                    </a:prstGeom>
                    <a:noFill/>
                    <a:ln>
                      <a:noFill/>
                    </a:ln>
                  </pic:spPr>
                </pic:pic>
              </a:graphicData>
            </a:graphic>
          </wp:anchor>
        </w:drawing>
      </w: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r>
        <w:drawing>
          <wp:anchor distT="0" distB="0" distL="114300" distR="114300" simplePos="0" relativeHeight="251663360" behindDoc="0" locked="0" layoutInCell="1" allowOverlap="1">
            <wp:simplePos x="0" y="0"/>
            <wp:positionH relativeFrom="column">
              <wp:posOffset>-485775</wp:posOffset>
            </wp:positionH>
            <wp:positionV relativeFrom="paragraph">
              <wp:posOffset>19050</wp:posOffset>
            </wp:positionV>
            <wp:extent cx="6605270" cy="4918710"/>
            <wp:effectExtent l="0" t="0" r="5080" b="1524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6605270" cy="4918710"/>
                    </a:xfrm>
                    <a:prstGeom prst="rect">
                      <a:avLst/>
                    </a:prstGeom>
                    <a:noFill/>
                    <a:ln>
                      <a:noFill/>
                    </a:ln>
                  </pic:spPr>
                </pic:pic>
              </a:graphicData>
            </a:graphic>
          </wp:anchor>
        </w:drawing>
      </w: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tabs>
          <w:tab w:val="left" w:pos="2633"/>
        </w:tabs>
        <w:bidi w:val="0"/>
        <w:jc w:val="left"/>
        <w:rPr>
          <w:rFonts w:hint="eastAsia"/>
          <w:lang w:eastAsia="zh-CN"/>
        </w:rPr>
      </w:pPr>
    </w:p>
    <w:p>
      <w:pPr>
        <w:bidi w:val="0"/>
        <w:rPr>
          <w:rFonts w:hint="eastAsia"/>
          <w:sz w:val="21"/>
          <w:szCs w:val="22"/>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tabs>
          <w:tab w:val="left" w:pos="3803"/>
        </w:tabs>
        <w:bidi w:val="0"/>
        <w:jc w:val="left"/>
        <w:rPr>
          <w:rFonts w:hint="eastAsia"/>
          <w:lang w:eastAsia="zh-CN"/>
        </w:rPr>
      </w:pPr>
      <w:r>
        <w:rPr>
          <w:rFonts w:hint="eastAsia"/>
          <w:lang w:eastAsia="zh-CN"/>
        </w:rPr>
        <w:tab/>
      </w: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r>
        <w:drawing>
          <wp:anchor distT="0" distB="0" distL="114300" distR="114300" simplePos="0" relativeHeight="251664384" behindDoc="0" locked="0" layoutInCell="1" allowOverlap="1">
            <wp:simplePos x="0" y="0"/>
            <wp:positionH relativeFrom="column">
              <wp:posOffset>-638175</wp:posOffset>
            </wp:positionH>
            <wp:positionV relativeFrom="paragraph">
              <wp:posOffset>28575</wp:posOffset>
            </wp:positionV>
            <wp:extent cx="7062470" cy="8119110"/>
            <wp:effectExtent l="0" t="0" r="5080" b="15240"/>
            <wp:wrapNone/>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9"/>
                    <a:stretch>
                      <a:fillRect/>
                    </a:stretch>
                  </pic:blipFill>
                  <pic:spPr>
                    <a:xfrm>
                      <a:off x="0" y="0"/>
                      <a:ext cx="7062470" cy="8119110"/>
                    </a:xfrm>
                    <a:prstGeom prst="rect">
                      <a:avLst/>
                    </a:prstGeom>
                    <a:noFill/>
                    <a:ln>
                      <a:noFill/>
                    </a:ln>
                  </pic:spPr>
                </pic:pic>
              </a:graphicData>
            </a:graphic>
          </wp:anchor>
        </w:drawing>
      </w: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r>
        <w:drawing>
          <wp:anchor distT="0" distB="0" distL="114300" distR="114300" simplePos="0" relativeHeight="251665408" behindDoc="0" locked="0" layoutInCell="1" allowOverlap="1">
            <wp:simplePos x="0" y="0"/>
            <wp:positionH relativeFrom="column">
              <wp:posOffset>-619125</wp:posOffset>
            </wp:positionH>
            <wp:positionV relativeFrom="paragraph">
              <wp:posOffset>66675</wp:posOffset>
            </wp:positionV>
            <wp:extent cx="6954520" cy="3439795"/>
            <wp:effectExtent l="0" t="0" r="17780" b="8255"/>
            <wp:wrapNone/>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0"/>
                    <a:stretch>
                      <a:fillRect/>
                    </a:stretch>
                  </pic:blipFill>
                  <pic:spPr>
                    <a:xfrm>
                      <a:off x="0" y="0"/>
                      <a:ext cx="6954520" cy="3439795"/>
                    </a:xfrm>
                    <a:prstGeom prst="rect">
                      <a:avLst/>
                    </a:prstGeom>
                    <a:noFill/>
                    <a:ln>
                      <a:noFill/>
                    </a:ln>
                  </pic:spPr>
                </pic:pic>
              </a:graphicData>
            </a:graphic>
          </wp:anchor>
        </w:drawing>
      </w: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r>
        <w:drawing>
          <wp:anchor distT="0" distB="0" distL="114300" distR="114300" simplePos="0" relativeHeight="251666432" behindDoc="0" locked="0" layoutInCell="1" allowOverlap="1">
            <wp:simplePos x="0" y="0"/>
            <wp:positionH relativeFrom="column">
              <wp:posOffset>-581025</wp:posOffset>
            </wp:positionH>
            <wp:positionV relativeFrom="paragraph">
              <wp:posOffset>114935</wp:posOffset>
            </wp:positionV>
            <wp:extent cx="6988175" cy="4057650"/>
            <wp:effectExtent l="0" t="0" r="3175" b="0"/>
            <wp:wrapNone/>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11"/>
                    <a:stretch>
                      <a:fillRect/>
                    </a:stretch>
                  </pic:blipFill>
                  <pic:spPr>
                    <a:xfrm>
                      <a:off x="0" y="0"/>
                      <a:ext cx="6988175" cy="4057650"/>
                    </a:xfrm>
                    <a:prstGeom prst="rect">
                      <a:avLst/>
                    </a:prstGeom>
                    <a:noFill/>
                    <a:ln>
                      <a:noFill/>
                    </a:ln>
                  </pic:spPr>
                </pic:pic>
              </a:graphicData>
            </a:graphic>
          </wp:anchor>
        </w:drawing>
      </w: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r>
        <w:drawing>
          <wp:anchor distT="0" distB="0" distL="114300" distR="114300" simplePos="0" relativeHeight="251667456" behindDoc="0" locked="0" layoutInCell="1" allowOverlap="1">
            <wp:simplePos x="0" y="0"/>
            <wp:positionH relativeFrom="column">
              <wp:posOffset>-590550</wp:posOffset>
            </wp:positionH>
            <wp:positionV relativeFrom="paragraph">
              <wp:posOffset>19685</wp:posOffset>
            </wp:positionV>
            <wp:extent cx="6996430" cy="4344670"/>
            <wp:effectExtent l="0" t="0" r="13970" b="17780"/>
            <wp:wrapNone/>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12"/>
                    <a:stretch>
                      <a:fillRect/>
                    </a:stretch>
                  </pic:blipFill>
                  <pic:spPr>
                    <a:xfrm>
                      <a:off x="0" y="0"/>
                      <a:ext cx="6996430" cy="4344670"/>
                    </a:xfrm>
                    <a:prstGeom prst="rect">
                      <a:avLst/>
                    </a:prstGeom>
                    <a:noFill/>
                    <a:ln>
                      <a:noFill/>
                    </a:ln>
                  </pic:spPr>
                </pic:pic>
              </a:graphicData>
            </a:graphic>
          </wp:anchor>
        </w:drawing>
      </w: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p>
      <w:pPr>
        <w:tabs>
          <w:tab w:val="left" w:pos="3803"/>
        </w:tabs>
        <w:bidi w:val="0"/>
        <w:jc w:val="left"/>
        <w:rPr>
          <w:rFonts w:hint="eastAsia"/>
          <w:lang w:eastAsia="zh-CN"/>
        </w:rPr>
      </w:pP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compat>
    <w:useFELayout/>
    <w:splitPgBreakAndParaMark/>
    <w:compatSetting w:name="compatibilityMode" w:uri="http://schemas.microsoft.com/office/word" w:val="12"/>
  </w:compat>
  <w:rsids>
    <w:rsidRoot w:val="00000000"/>
    <w:rsid w:val="015778F4"/>
    <w:rsid w:val="237E2B38"/>
    <w:rsid w:val="29C00E2D"/>
    <w:rsid w:val="2ED4623B"/>
    <w:rsid w:val="42121A1C"/>
    <w:rsid w:val="4E750131"/>
    <w:rsid w:val="5A5D3C7D"/>
    <w:rsid w:val="60E37D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14</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2025-08-14T04:26:00Z</dcterms:created>
  <dc:creator>Administrator</dc:creator>
  <cp:lastModifiedBy>Administrator</cp:lastModifiedBy>
  <dcterms:modified xsi:type="dcterms:W3CDTF">2025-08-14T05:31:14Z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