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Times New Roman" w:hAnsi="Times New Roman" w:eastAsia="华文中宋" w:cs="Times New Roman"/>
          <w:b/>
          <w:kern w:val="0"/>
          <w:sz w:val="52"/>
          <w:szCs w:val="52"/>
        </w:rPr>
      </w:pPr>
    </w:p>
    <w:p>
      <w:pPr>
        <w:spacing w:line="540" w:lineRule="exact"/>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方正小标宋_GBK" w:cs="Times New Roman"/>
          <w:color w:val="auto"/>
          <w:kern w:val="0"/>
          <w:sz w:val="48"/>
          <w:szCs w:val="48"/>
          <w:highlight w:val="none"/>
        </w:rPr>
      </w:pPr>
      <w:r>
        <w:rPr>
          <w:rFonts w:hint="default" w:ascii="Times New Roman" w:hAnsi="Times New Roman" w:eastAsia="方正小标宋_GBK" w:cs="Times New Roman"/>
          <w:color w:val="auto"/>
          <w:kern w:val="0"/>
          <w:sz w:val="48"/>
          <w:szCs w:val="48"/>
          <w:highlight w:val="none"/>
        </w:rPr>
        <w:t>巴财建[2023]66号2023年新疆专项[第一批]中央基建投资预算项目支出绩效评价</w:t>
      </w:r>
    </w:p>
    <w:p>
      <w:pPr>
        <w:spacing w:line="540" w:lineRule="exact"/>
        <w:jc w:val="center"/>
        <w:rPr>
          <w:rFonts w:hint="default" w:ascii="Times New Roman" w:hAnsi="Times New Roman" w:eastAsia="方正小标宋_GBK" w:cs="Times New Roman"/>
          <w:color w:val="auto"/>
          <w:kern w:val="0"/>
          <w:sz w:val="48"/>
          <w:szCs w:val="48"/>
          <w:highlight w:val="none"/>
        </w:rPr>
      </w:pPr>
      <w:r>
        <w:rPr>
          <w:rFonts w:hint="default" w:ascii="Times New Roman" w:hAnsi="Times New Roman" w:eastAsia="方正小标宋_GBK" w:cs="Times New Roman"/>
          <w:color w:val="auto"/>
          <w:kern w:val="0"/>
          <w:sz w:val="48"/>
          <w:szCs w:val="48"/>
          <w:highlight w:val="none"/>
        </w:rPr>
        <w:t>报告</w:t>
      </w:r>
    </w:p>
    <w:p>
      <w:pPr>
        <w:spacing w:line="540" w:lineRule="exact"/>
        <w:jc w:val="center"/>
        <w:rPr>
          <w:rFonts w:hint="default" w:ascii="Times New Roman" w:hAnsi="Times New Roman" w:eastAsia="华文中宋" w:cs="Times New Roman"/>
          <w:b/>
          <w:color w:val="auto"/>
          <w:kern w:val="0"/>
          <w:sz w:val="52"/>
          <w:szCs w:val="52"/>
          <w:highlight w:val="none"/>
        </w:rPr>
      </w:pPr>
    </w:p>
    <w:p>
      <w:pPr>
        <w:spacing w:line="540" w:lineRule="exact"/>
        <w:jc w:val="center"/>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（202</w:t>
      </w:r>
      <w:r>
        <w:rPr>
          <w:rFonts w:hint="default" w:ascii="Times New Roman" w:hAnsi="Times New Roman" w:eastAsia="仿宋_GB2312" w:cs="Times New Roman"/>
          <w:color w:val="auto"/>
          <w:kern w:val="0"/>
          <w:sz w:val="36"/>
          <w:szCs w:val="36"/>
          <w:highlight w:val="none"/>
          <w:lang w:val="en-US" w:eastAsia="zh-CN"/>
        </w:rPr>
        <w:t>4</w:t>
      </w:r>
      <w:r>
        <w:rPr>
          <w:rFonts w:hint="default" w:ascii="Times New Roman" w:hAnsi="Times New Roman" w:eastAsia="仿宋_GB2312" w:cs="Times New Roman"/>
          <w:color w:val="auto"/>
          <w:kern w:val="0"/>
          <w:sz w:val="36"/>
          <w:szCs w:val="36"/>
          <w:highlight w:val="none"/>
        </w:rPr>
        <w:t>年度）</w:t>
      </w:r>
    </w:p>
    <w:p>
      <w:pPr>
        <w:spacing w:line="540" w:lineRule="exact"/>
        <w:jc w:val="center"/>
        <w:rPr>
          <w:rFonts w:hint="default" w:ascii="Times New Roman" w:hAnsi="Times New Roman" w:eastAsia="仿宋_GB2312" w:cs="Times New Roman"/>
          <w:color w:val="auto"/>
          <w:kern w:val="0"/>
          <w:sz w:val="30"/>
          <w:szCs w:val="30"/>
          <w:highlight w:val="none"/>
        </w:rPr>
      </w:pPr>
    </w:p>
    <w:p>
      <w:pPr>
        <w:spacing w:line="540" w:lineRule="exact"/>
        <w:jc w:val="center"/>
        <w:rPr>
          <w:rFonts w:hint="default" w:ascii="Times New Roman" w:hAnsi="Times New Roman" w:eastAsia="仿宋_GB2312" w:cs="Times New Roman"/>
          <w:color w:val="auto"/>
          <w:kern w:val="0"/>
          <w:sz w:val="30"/>
          <w:szCs w:val="30"/>
          <w:highlight w:val="none"/>
        </w:rPr>
      </w:pPr>
    </w:p>
    <w:p>
      <w:pPr>
        <w:spacing w:line="540" w:lineRule="exact"/>
        <w:jc w:val="center"/>
        <w:rPr>
          <w:rFonts w:hint="default" w:ascii="Times New Roman" w:hAnsi="Times New Roman" w:eastAsia="仿宋_GB2312" w:cs="Times New Roman"/>
          <w:color w:val="auto"/>
          <w:kern w:val="0"/>
          <w:sz w:val="30"/>
          <w:szCs w:val="30"/>
          <w:highlight w:val="none"/>
        </w:rPr>
      </w:pPr>
    </w:p>
    <w:p>
      <w:pPr>
        <w:pStyle w:val="10"/>
        <w:rPr>
          <w:rFonts w:hint="default" w:ascii="Times New Roman" w:hAnsi="Times New Roman" w:cs="Times New Roman"/>
          <w:color w:val="auto"/>
          <w:highlight w:val="none"/>
        </w:rPr>
      </w:pPr>
    </w:p>
    <w:p>
      <w:pPr>
        <w:spacing w:line="540" w:lineRule="exact"/>
        <w:jc w:val="center"/>
        <w:rPr>
          <w:rFonts w:hint="default" w:ascii="Times New Roman" w:hAnsi="Times New Roman" w:eastAsia="仿宋_GB2312" w:cs="Times New Roman"/>
          <w:color w:val="auto"/>
          <w:kern w:val="0"/>
          <w:sz w:val="30"/>
          <w:szCs w:val="30"/>
          <w:highlight w:val="none"/>
        </w:rPr>
      </w:pPr>
    </w:p>
    <w:p>
      <w:pPr>
        <w:spacing w:line="540" w:lineRule="exact"/>
        <w:rPr>
          <w:rFonts w:hint="default" w:ascii="Times New Roman" w:hAnsi="Times New Roman" w:eastAsia="仿宋_GB2312" w:cs="Times New Roman"/>
          <w:color w:val="auto"/>
          <w:kern w:val="0"/>
          <w:sz w:val="30"/>
          <w:szCs w:val="30"/>
          <w:highlight w:val="none"/>
        </w:rPr>
      </w:pPr>
    </w:p>
    <w:p>
      <w:pPr>
        <w:spacing w:line="700" w:lineRule="exact"/>
        <w:ind w:left="3236" w:leftChars="684" w:hanging="1800" w:hangingChars="500"/>
        <w:jc w:val="left"/>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项目名称：巴财建[2023]66号2023年新疆专项[第一批]中央基建投资预算</w:t>
      </w:r>
    </w:p>
    <w:p>
      <w:pPr>
        <w:spacing w:line="700" w:lineRule="exact"/>
        <w:ind w:firstLine="1440" w:firstLineChars="400"/>
        <w:jc w:val="left"/>
        <w:rPr>
          <w:rFonts w:hint="eastAsia" w:ascii="Times New Roman" w:hAnsi="Times New Roman" w:eastAsia="仿宋_GB2312" w:cs="Times New Roman"/>
          <w:color w:val="auto"/>
          <w:kern w:val="0"/>
          <w:sz w:val="36"/>
          <w:szCs w:val="36"/>
          <w:highlight w:val="none"/>
          <w:lang w:eastAsia="zh-CN"/>
        </w:rPr>
      </w:pPr>
      <w:r>
        <w:rPr>
          <w:rFonts w:hint="default" w:ascii="Times New Roman" w:hAnsi="Times New Roman" w:eastAsia="仿宋_GB2312" w:cs="Times New Roman"/>
          <w:color w:val="auto"/>
          <w:kern w:val="0"/>
          <w:sz w:val="36"/>
          <w:szCs w:val="36"/>
          <w:highlight w:val="none"/>
        </w:rPr>
        <w:t>实施单位（公章）：</w:t>
      </w:r>
      <w:r>
        <w:rPr>
          <w:rFonts w:hint="eastAsia" w:eastAsia="仿宋_GB2312" w:cs="Times New Roman"/>
          <w:color w:val="auto"/>
          <w:kern w:val="0"/>
          <w:sz w:val="36"/>
          <w:szCs w:val="36"/>
          <w:highlight w:val="none"/>
          <w:lang w:eastAsia="zh-CN"/>
        </w:rPr>
        <w:t>库尔勒市永安街道办事处</w:t>
      </w:r>
    </w:p>
    <w:p>
      <w:pPr>
        <w:spacing w:line="700" w:lineRule="exact"/>
        <w:ind w:firstLine="1440" w:firstLineChars="400"/>
        <w:jc w:val="left"/>
        <w:rPr>
          <w:rFonts w:hint="eastAsia" w:ascii="Times New Roman" w:hAnsi="Times New Roman" w:eastAsia="仿宋_GB2312" w:cs="Times New Roman"/>
          <w:color w:val="auto"/>
          <w:kern w:val="0"/>
          <w:sz w:val="36"/>
          <w:szCs w:val="36"/>
          <w:highlight w:val="none"/>
          <w:lang w:eastAsia="zh-CN"/>
        </w:rPr>
      </w:pPr>
      <w:r>
        <w:rPr>
          <w:rFonts w:hint="default" w:ascii="Times New Roman" w:hAnsi="Times New Roman" w:eastAsia="仿宋_GB2312" w:cs="Times New Roman"/>
          <w:color w:val="auto"/>
          <w:kern w:val="0"/>
          <w:sz w:val="36"/>
          <w:szCs w:val="36"/>
          <w:highlight w:val="none"/>
        </w:rPr>
        <w:t>主管部门（公章）：</w:t>
      </w:r>
      <w:r>
        <w:rPr>
          <w:rFonts w:hint="eastAsia" w:eastAsia="仿宋_GB2312" w:cs="Times New Roman"/>
          <w:color w:val="auto"/>
          <w:kern w:val="0"/>
          <w:sz w:val="36"/>
          <w:szCs w:val="36"/>
          <w:highlight w:val="none"/>
          <w:lang w:eastAsia="zh-CN"/>
        </w:rPr>
        <w:t>库尔勒市财政局</w:t>
      </w:r>
    </w:p>
    <w:p>
      <w:pPr>
        <w:spacing w:line="700" w:lineRule="exact"/>
        <w:ind w:firstLine="1440" w:firstLineChars="400"/>
        <w:jc w:val="left"/>
        <w:rPr>
          <w:rFonts w:hint="default" w:ascii="Times New Roman" w:hAnsi="Times New Roman" w:eastAsia="仿宋_GB2312" w:cs="Times New Roman"/>
          <w:color w:val="auto"/>
          <w:kern w:val="0"/>
          <w:sz w:val="36"/>
          <w:szCs w:val="36"/>
          <w:highlight w:val="none"/>
          <w:lang w:val="en-US" w:eastAsia="zh-CN"/>
        </w:rPr>
      </w:pPr>
      <w:r>
        <w:rPr>
          <w:rFonts w:hint="default" w:ascii="Times New Roman" w:hAnsi="Times New Roman" w:eastAsia="仿宋_GB2312" w:cs="Times New Roman"/>
          <w:color w:val="auto"/>
          <w:kern w:val="0"/>
          <w:sz w:val="36"/>
          <w:szCs w:val="36"/>
          <w:highlight w:val="none"/>
        </w:rPr>
        <w:t>项目负责人（签章）：</w:t>
      </w:r>
      <w:r>
        <w:rPr>
          <w:rFonts w:hint="eastAsia" w:eastAsia="仿宋_GB2312" w:cs="Times New Roman"/>
          <w:color w:val="auto"/>
          <w:kern w:val="0"/>
          <w:sz w:val="36"/>
          <w:szCs w:val="36"/>
          <w:highlight w:val="none"/>
          <w:lang w:eastAsia="zh-CN"/>
        </w:rPr>
        <w:t>肉苏力</w:t>
      </w:r>
      <w:r>
        <w:rPr>
          <w:rFonts w:hint="eastAsia" w:eastAsia="仿宋_GB2312" w:cs="Times New Roman"/>
          <w:color w:val="auto"/>
          <w:kern w:val="0"/>
          <w:sz w:val="36"/>
          <w:szCs w:val="36"/>
          <w:highlight w:val="none"/>
          <w:lang w:val="en-US" w:eastAsia="zh-CN"/>
        </w:rPr>
        <w:t>·哈力克</w:t>
      </w:r>
    </w:p>
    <w:p>
      <w:pPr>
        <w:spacing w:line="700" w:lineRule="exact"/>
        <w:ind w:firstLine="1440" w:firstLineChars="400"/>
        <w:jc w:val="left"/>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填报时间：</w:t>
      </w:r>
      <w:r>
        <w:rPr>
          <w:rFonts w:hint="eastAsia" w:eastAsia="仿宋_GB2312" w:cs="Times New Roman"/>
          <w:color w:val="auto"/>
          <w:kern w:val="0"/>
          <w:sz w:val="36"/>
          <w:szCs w:val="36"/>
          <w:highlight w:val="none"/>
          <w:lang w:val="en-US" w:eastAsia="zh-CN"/>
        </w:rPr>
        <w:t>2025</w:t>
      </w:r>
      <w:r>
        <w:rPr>
          <w:rFonts w:hint="default" w:ascii="Times New Roman" w:hAnsi="Times New Roman" w:eastAsia="仿宋_GB2312" w:cs="Times New Roman"/>
          <w:color w:val="auto"/>
          <w:kern w:val="0"/>
          <w:sz w:val="36"/>
          <w:szCs w:val="36"/>
          <w:highlight w:val="none"/>
        </w:rPr>
        <w:t>年</w:t>
      </w:r>
      <w:r>
        <w:rPr>
          <w:rFonts w:hint="eastAsia" w:eastAsia="仿宋_GB2312" w:cs="Times New Roman"/>
          <w:color w:val="auto"/>
          <w:kern w:val="0"/>
          <w:sz w:val="36"/>
          <w:szCs w:val="36"/>
          <w:highlight w:val="none"/>
          <w:lang w:val="en-US" w:eastAsia="zh-CN"/>
        </w:rPr>
        <w:t>4</w:t>
      </w:r>
      <w:r>
        <w:rPr>
          <w:rFonts w:hint="default" w:ascii="Times New Roman" w:hAnsi="Times New Roman" w:eastAsia="仿宋_GB2312" w:cs="Times New Roman"/>
          <w:color w:val="auto"/>
          <w:kern w:val="0"/>
          <w:sz w:val="36"/>
          <w:szCs w:val="36"/>
          <w:highlight w:val="none"/>
        </w:rPr>
        <w:t>月</w:t>
      </w:r>
      <w:r>
        <w:rPr>
          <w:rFonts w:hint="eastAsia" w:eastAsia="仿宋_GB2312" w:cs="Times New Roman"/>
          <w:color w:val="auto"/>
          <w:kern w:val="0"/>
          <w:sz w:val="36"/>
          <w:szCs w:val="36"/>
          <w:highlight w:val="none"/>
          <w:lang w:val="en-US" w:eastAsia="zh-CN"/>
        </w:rPr>
        <w:t>30</w:t>
      </w:r>
      <w:r>
        <w:rPr>
          <w:rFonts w:hint="default" w:ascii="Times New Roman" w:hAnsi="Times New Roman" w:eastAsia="仿宋_GB2312" w:cs="Times New Roman"/>
          <w:color w:val="auto"/>
          <w:kern w:val="0"/>
          <w:sz w:val="36"/>
          <w:szCs w:val="36"/>
          <w:highlight w:val="none"/>
        </w:rPr>
        <w:t>日</w:t>
      </w:r>
    </w:p>
    <w:p>
      <w:pPr>
        <w:spacing w:line="540" w:lineRule="exact"/>
        <w:jc w:val="center"/>
        <w:rPr>
          <w:rFonts w:hint="default" w:ascii="Times New Roman" w:hAnsi="Times New Roman" w:eastAsia="仿宋_GB2312" w:cs="Times New Roman"/>
          <w:color w:val="auto"/>
          <w:kern w:val="0"/>
          <w:sz w:val="30"/>
          <w:szCs w:val="30"/>
          <w:highlight w:val="none"/>
        </w:rPr>
      </w:pPr>
    </w:p>
    <w:p>
      <w:pPr>
        <w:spacing w:line="540" w:lineRule="exact"/>
        <w:rPr>
          <w:rStyle w:val="16"/>
          <w:rFonts w:hint="default" w:ascii="Times New Roman" w:hAnsi="Times New Roman" w:eastAsia="黑体" w:cs="Times New Roman"/>
          <w:b w:val="0"/>
          <w:color w:val="auto"/>
          <w:spacing w:val="-4"/>
          <w:sz w:val="32"/>
          <w:szCs w:val="32"/>
          <w:highlight w:val="none"/>
        </w:rPr>
      </w:pPr>
    </w:p>
    <w:p>
      <w:pPr>
        <w:spacing w:line="560" w:lineRule="exact"/>
        <w:ind w:firstLine="640" w:firstLineChars="200"/>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一、基本情况</w:t>
      </w:r>
    </w:p>
    <w:p>
      <w:pP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（一）项目概况</w:t>
      </w:r>
    </w:p>
    <w:p>
      <w:pPr>
        <w:spacing w:line="560" w:lineRule="exact"/>
        <w:ind w:firstLine="643" w:firstLineChars="200"/>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t>1</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rPr>
        <w:t>项目背景</w:t>
      </w:r>
    </w:p>
    <w:p>
      <w:pPr>
        <w:spacing w:line="560" w:lineRule="exact"/>
        <w:ind w:firstLine="600" w:firstLineChars="200"/>
        <w:rPr>
          <w:rFonts w:hint="eastAsia" w:eastAsia="仿宋_GB2312" w:cs="Times New Roman"/>
          <w:color w:val="auto"/>
          <w:sz w:val="30"/>
          <w:szCs w:val="30"/>
          <w:highlight w:val="none"/>
          <w:lang w:val="en-US" w:eastAsia="zh-CN"/>
        </w:rPr>
      </w:pPr>
      <w:r>
        <w:rPr>
          <w:rFonts w:hint="eastAsia" w:ascii="Times New Roman" w:hAnsi="Times New Roman" w:eastAsia="仿宋_GB2312" w:cs="Times New Roman"/>
          <w:color w:val="auto"/>
          <w:sz w:val="30"/>
          <w:szCs w:val="30"/>
          <w:highlight w:val="none"/>
          <w:lang w:val="en-US" w:eastAsia="zh-CN"/>
        </w:rPr>
        <w:t>根据</w:t>
      </w:r>
      <w:r>
        <w:rPr>
          <w:rFonts w:hint="eastAsia" w:eastAsia="仿宋_GB2312" w:cs="Times New Roman"/>
          <w:color w:val="auto"/>
          <w:sz w:val="30"/>
          <w:szCs w:val="30"/>
          <w:highlight w:val="none"/>
          <w:lang w:val="en-US" w:eastAsia="zh-CN"/>
        </w:rPr>
        <w:t>巴音郭楞蒙古自治州发展和改革委员会巴发改项目[2022]310号文件关于巴州库尔勒市2023年社区综合服务设施建设项目可行性研究报告（代项目建议书）的批复，为满足居民多样化需求，提供涵盖教育，医疗，文化，体育，养老，就业等多种服务的场所和自愿，让居民在社区内就能方便地获取所需服务，提供生活质量在库尔勒市永安街道哈赞其社区建立建设面积为1000平米综合服务设施项目。项目法人单位为库尔勒市党委组织部。由我单位督促项目建设单位抓紧确定具有相应资质的设计单位，严格按照批复的可行性研究报告抓紧编制初步设计方案和投资概算。</w:t>
      </w:r>
    </w:p>
    <w:p>
      <w:pPr>
        <w:pStyle w:val="10"/>
        <w:numPr>
          <w:ilvl w:val="0"/>
          <w:numId w:val="0"/>
        </w:numPr>
        <w:spacing w:before="0" w:after="0" w:line="560" w:lineRule="exact"/>
        <w:ind w:firstLine="643" w:firstLineChars="200"/>
        <w:jc w:val="both"/>
        <w:rPr>
          <w:rFonts w:hint="default" w:ascii="Times New Roman" w:hAnsi="Times New Roman" w:eastAsia="仿宋_GB2312" w:cs="Times New Roman"/>
          <w:color w:val="auto"/>
          <w:kern w:val="2"/>
          <w:highlight w:val="none"/>
        </w:rPr>
      </w:pPr>
      <w:r>
        <w:rPr>
          <w:rFonts w:hint="default" w:ascii="Times New Roman" w:hAnsi="Times New Roman" w:eastAsia="仿宋_GB2312" w:cs="Times New Roman"/>
          <w:color w:val="auto"/>
          <w:kern w:val="2"/>
          <w:highlight w:val="none"/>
          <w:lang w:val="en-US" w:eastAsia="zh-CN"/>
        </w:rPr>
        <w:t>2.</w:t>
      </w:r>
      <w:r>
        <w:rPr>
          <w:rFonts w:hint="default" w:ascii="Times New Roman" w:hAnsi="Times New Roman" w:eastAsia="仿宋_GB2312" w:cs="Times New Roman"/>
          <w:color w:val="auto"/>
          <w:kern w:val="2"/>
          <w:highlight w:val="none"/>
        </w:rPr>
        <w:t>项目主要内容：</w:t>
      </w:r>
    </w:p>
    <w:p>
      <w:pPr>
        <w:spacing w:line="560" w:lineRule="exact"/>
        <w:ind w:firstLine="600" w:firstLineChars="200"/>
        <w:rPr>
          <w:rFonts w:hint="default" w:ascii="Times New Roman" w:hAnsi="Times New Roman" w:eastAsia="黑体" w:cs="Times New Roman"/>
          <w:color w:val="auto"/>
          <w:highlight w:val="none"/>
          <w:lang w:eastAsia="zh-CN"/>
        </w:rPr>
      </w:pPr>
      <w:r>
        <w:rPr>
          <w:rFonts w:hint="default" w:ascii="Times New Roman" w:hAnsi="Times New Roman" w:eastAsia="仿宋_GB2312" w:cs="Times New Roman"/>
          <w:color w:val="auto"/>
          <w:sz w:val="30"/>
          <w:szCs w:val="30"/>
          <w:highlight w:val="none"/>
          <w:lang w:val="en-US" w:eastAsia="zh-CN"/>
        </w:rPr>
        <w:t>项目主要内容：</w:t>
      </w:r>
      <w:r>
        <w:rPr>
          <w:rFonts w:hint="eastAsia" w:eastAsia="仿宋_GB2312" w:cs="Times New Roman"/>
          <w:color w:val="auto"/>
          <w:sz w:val="30"/>
          <w:szCs w:val="30"/>
          <w:highlight w:val="none"/>
          <w:lang w:val="en-US" w:eastAsia="zh-CN"/>
        </w:rPr>
        <w:t>在库尔勒市永安街道哈赞其社区建立建设面积为1000平米综合服务设施项目。</w:t>
      </w:r>
    </w:p>
    <w:p>
      <w:pPr>
        <w:spacing w:line="560" w:lineRule="exact"/>
        <w:ind w:firstLine="640" w:firstLineChars="200"/>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项目实施情况：</w:t>
      </w:r>
      <w:r>
        <w:rPr>
          <w:rFonts w:hint="eastAsia" w:eastAsia="仿宋_GB2312" w:cs="Times New Roman"/>
          <w:color w:val="auto"/>
          <w:sz w:val="32"/>
          <w:szCs w:val="32"/>
          <w:highlight w:val="none"/>
          <w:lang w:val="en-US" w:eastAsia="zh-CN"/>
        </w:rPr>
        <w:t>现已支付工程预付款88万元，进度款92.74万建立了面积为1000平米的哈赞其社区综合服务楼,为居民提供交楼互动的空间和平台，增进伶俐之间的了解和信任，促进社区和谐氛围的形成。各类社区活动在此开展，增强居民对社区的归属感和认同感，提升了社区凝聚力。</w:t>
      </w:r>
    </w:p>
    <w:p>
      <w:pPr>
        <w:spacing w:line="560" w:lineRule="exact"/>
        <w:ind w:firstLine="643" w:firstLineChars="200"/>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t>3</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rPr>
        <w:t>资金投入和使用情况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（1）资金投入情况</w:t>
      </w:r>
    </w:p>
    <w:p>
      <w:pPr>
        <w:spacing w:line="560" w:lineRule="exact"/>
        <w:ind w:firstLine="640" w:firstLineChars="200"/>
        <w:rPr>
          <w:rFonts w:hint="default"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w:t>
      </w:r>
      <w:r>
        <w:rPr>
          <w:rFonts w:hint="default" w:eastAsia="仿宋_GB2312" w:cs="Times New Roman"/>
          <w:color w:val="auto"/>
          <w:sz w:val="32"/>
          <w:szCs w:val="32"/>
          <w:highlight w:val="none"/>
          <w:lang w:val="en-US" w:eastAsia="zh-CN"/>
        </w:rPr>
        <w:t>数</w:t>
      </w:r>
      <w:r>
        <w:rPr>
          <w:rFonts w:hint="eastAsia" w:eastAsia="仿宋_GB2312" w:cs="Times New Roman"/>
          <w:color w:val="auto"/>
          <w:sz w:val="32"/>
          <w:szCs w:val="32"/>
          <w:highlight w:val="none"/>
          <w:lang w:val="en-US" w:eastAsia="zh-CN"/>
        </w:rPr>
        <w:t>300.00</w:t>
      </w:r>
      <w:r>
        <w:rPr>
          <w:rFonts w:hint="default" w:eastAsia="仿宋_GB2312" w:cs="Times New Roman"/>
          <w:color w:val="auto"/>
          <w:sz w:val="32"/>
          <w:szCs w:val="32"/>
          <w:highlight w:val="none"/>
          <w:lang w:val="en-US" w:eastAsia="zh-CN"/>
        </w:rPr>
        <w:t>万元，全年预算数</w:t>
      </w:r>
      <w:r>
        <w:rPr>
          <w:rFonts w:hint="eastAsia" w:eastAsia="仿宋_GB2312" w:cs="Times New Roman"/>
          <w:color w:val="auto"/>
          <w:sz w:val="32"/>
          <w:szCs w:val="32"/>
          <w:highlight w:val="none"/>
          <w:lang w:val="en-US" w:eastAsia="zh-CN"/>
        </w:rPr>
        <w:t>300.00</w:t>
      </w:r>
      <w:r>
        <w:rPr>
          <w:rFonts w:hint="default" w:eastAsia="仿宋_GB2312" w:cs="Times New Roman"/>
          <w:color w:val="auto"/>
          <w:sz w:val="32"/>
          <w:szCs w:val="32"/>
          <w:highlight w:val="none"/>
          <w:lang w:val="en-US" w:eastAsia="zh-CN"/>
        </w:rPr>
        <w:t>万元，该项目资金已全部落实到位，资金来源为</w:t>
      </w:r>
      <w:r>
        <w:rPr>
          <w:rFonts w:hint="eastAsia" w:eastAsia="仿宋_GB2312" w:cs="Times New Roman"/>
          <w:color w:val="auto"/>
          <w:sz w:val="32"/>
          <w:szCs w:val="32"/>
          <w:highlight w:val="none"/>
          <w:lang w:val="en-US" w:eastAsia="zh-CN"/>
        </w:rPr>
        <w:t>财政拨款</w:t>
      </w:r>
      <w:r>
        <w:rPr>
          <w:rFonts w:hint="default" w:eastAsia="仿宋_GB2312" w:cs="Times New Roman"/>
          <w:color w:val="auto"/>
          <w:sz w:val="32"/>
          <w:szCs w:val="32"/>
          <w:highlight w:val="none"/>
          <w:lang w:val="en-US" w:eastAsia="zh-CN"/>
        </w:rPr>
        <w:t>。</w:t>
      </w:r>
    </w:p>
    <w:p>
      <w:pPr>
        <w:spacing w:line="560" w:lineRule="exact"/>
        <w:ind w:firstLine="640" w:firstLineChars="200"/>
        <w:rPr>
          <w:rFonts w:hint="default" w:eastAsia="仿宋_GB2312" w:cs="Times New Roman"/>
          <w:color w:val="auto"/>
          <w:sz w:val="32"/>
          <w:szCs w:val="32"/>
          <w:highlight w:val="none"/>
          <w:lang w:val="en-US" w:eastAsia="zh-CN"/>
        </w:rPr>
      </w:pPr>
      <w:r>
        <w:rPr>
          <w:rFonts w:hint="default" w:eastAsia="仿宋_GB2312" w:cs="Times New Roman"/>
          <w:color w:val="auto"/>
          <w:sz w:val="32"/>
          <w:szCs w:val="32"/>
          <w:highlight w:val="none"/>
          <w:lang w:val="en-US" w:eastAsia="zh-CN"/>
        </w:rPr>
        <w:t>（2）资金使用情况</w:t>
      </w:r>
    </w:p>
    <w:p>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eastAsia="仿宋_GB2312" w:cs="Times New Roman"/>
          <w:color w:val="auto"/>
          <w:sz w:val="32"/>
          <w:szCs w:val="32"/>
          <w:highlight w:val="none"/>
          <w:lang w:val="en-US" w:eastAsia="zh-CN"/>
        </w:rPr>
        <w:t>该项目年初预算数</w:t>
      </w:r>
      <w:r>
        <w:rPr>
          <w:rFonts w:hint="eastAsia" w:eastAsia="仿宋_GB2312" w:cs="Times New Roman"/>
          <w:color w:val="auto"/>
          <w:sz w:val="32"/>
          <w:szCs w:val="32"/>
          <w:highlight w:val="none"/>
          <w:lang w:val="en-US" w:eastAsia="zh-CN"/>
        </w:rPr>
        <w:t>300.00</w:t>
      </w:r>
      <w:r>
        <w:rPr>
          <w:rFonts w:hint="default" w:eastAsia="仿宋_GB2312" w:cs="Times New Roman"/>
          <w:color w:val="auto"/>
          <w:sz w:val="32"/>
          <w:szCs w:val="32"/>
          <w:highlight w:val="none"/>
          <w:lang w:val="en-US" w:eastAsia="zh-CN"/>
        </w:rPr>
        <w:t>万元，全年预算数</w:t>
      </w:r>
      <w:r>
        <w:rPr>
          <w:rFonts w:hint="eastAsia" w:eastAsia="仿宋_GB2312" w:cs="Times New Roman"/>
          <w:color w:val="auto"/>
          <w:sz w:val="32"/>
          <w:szCs w:val="32"/>
          <w:highlight w:val="none"/>
          <w:lang w:val="en-US" w:eastAsia="zh-CN"/>
        </w:rPr>
        <w:t>300.00</w:t>
      </w:r>
      <w:r>
        <w:rPr>
          <w:rFonts w:hint="default" w:eastAsia="仿宋_GB2312" w:cs="Times New Roman"/>
          <w:color w:val="auto"/>
          <w:sz w:val="32"/>
          <w:szCs w:val="32"/>
          <w:highlight w:val="none"/>
          <w:lang w:val="en-US" w:eastAsia="zh-CN"/>
        </w:rPr>
        <w:t>万元</w:t>
      </w:r>
      <w:r>
        <w:rPr>
          <w:rFonts w:hint="eastAsia" w:eastAsia="仿宋_GB2312" w:cs="Times New Roman"/>
          <w:color w:val="auto"/>
          <w:sz w:val="32"/>
          <w:szCs w:val="32"/>
          <w:highlight w:val="none"/>
          <w:lang w:val="en-US" w:eastAsia="zh-CN"/>
        </w:rPr>
        <w:t>，</w:t>
      </w:r>
      <w:r>
        <w:rPr>
          <w:rFonts w:hint="default" w:eastAsia="仿宋_GB2312" w:cs="Times New Roman"/>
          <w:color w:val="auto"/>
          <w:sz w:val="32"/>
          <w:szCs w:val="32"/>
          <w:highlight w:val="none"/>
          <w:lang w:val="en-US" w:eastAsia="zh-CN"/>
        </w:rPr>
        <w:t>全年执行数</w:t>
      </w:r>
      <w:r>
        <w:rPr>
          <w:rFonts w:hint="eastAsia" w:eastAsia="仿宋_GB2312" w:cs="Times New Roman"/>
          <w:color w:val="auto"/>
          <w:sz w:val="32"/>
          <w:szCs w:val="32"/>
          <w:highlight w:val="none"/>
          <w:lang w:val="en-US" w:eastAsia="zh-CN"/>
        </w:rPr>
        <w:t>180.74</w:t>
      </w:r>
      <w:r>
        <w:rPr>
          <w:rFonts w:hint="default" w:eastAsia="仿宋_GB2312" w:cs="Times New Roman"/>
          <w:color w:val="auto"/>
          <w:sz w:val="32"/>
          <w:szCs w:val="32"/>
          <w:highlight w:val="none"/>
          <w:lang w:val="en-US" w:eastAsia="zh-CN"/>
        </w:rPr>
        <w:t>万元，预算执行率为</w:t>
      </w:r>
      <w:r>
        <w:rPr>
          <w:rFonts w:hint="eastAsia" w:eastAsia="仿宋_GB2312" w:cs="Times New Roman"/>
          <w:color w:val="auto"/>
          <w:sz w:val="32"/>
          <w:szCs w:val="32"/>
          <w:highlight w:val="none"/>
          <w:lang w:val="en-US" w:eastAsia="zh-CN"/>
        </w:rPr>
        <w:t>60.25</w:t>
      </w:r>
      <w:r>
        <w:rPr>
          <w:rFonts w:hint="default" w:eastAsia="仿宋_GB2312" w:cs="Times New Roman"/>
          <w:color w:val="auto"/>
          <w:sz w:val="32"/>
          <w:szCs w:val="32"/>
          <w:highlight w:val="none"/>
          <w:lang w:val="en-US" w:eastAsia="zh-CN"/>
        </w:rPr>
        <w:t>%，主要用</w:t>
      </w:r>
      <w:r>
        <w:rPr>
          <w:rFonts w:hint="default" w:ascii="Times New Roman" w:hAnsi="Times New Roman" w:eastAsia="仿宋_GB2312" w:cs="Times New Roman"/>
          <w:color w:val="auto"/>
          <w:sz w:val="32"/>
          <w:szCs w:val="32"/>
          <w:highlight w:val="none"/>
          <w:lang w:val="en-US" w:eastAsia="zh-CN"/>
        </w:rPr>
        <w:t>于：</w:t>
      </w:r>
      <w:r>
        <w:rPr>
          <w:rFonts w:hint="eastAsia" w:eastAsia="仿宋_GB2312" w:cs="Times New Roman"/>
          <w:color w:val="auto"/>
          <w:sz w:val="32"/>
          <w:szCs w:val="32"/>
          <w:highlight w:val="none"/>
          <w:lang w:val="en-US" w:eastAsia="zh-CN"/>
        </w:rPr>
        <w:t>支付工程预付款88万元，进度款92.74万建立了面积为1000平米的哈赞其社区综合服务楼</w:t>
      </w:r>
      <w:r>
        <w:rPr>
          <w:rFonts w:hint="default" w:ascii="Times New Roman" w:hAnsi="Times New Roman" w:eastAsia="仿宋_GB2312" w:cs="Times New Roman"/>
          <w:color w:val="auto"/>
          <w:sz w:val="32"/>
          <w:szCs w:val="32"/>
          <w:highlight w:val="none"/>
          <w:lang w:val="en-US" w:eastAsia="zh-CN"/>
        </w:rPr>
        <w:t>。</w:t>
      </w:r>
    </w:p>
    <w:p>
      <w:pP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（二）项目绩效目标</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 xml:space="preserve">目标1：建设1栋综合服务楼； </w:t>
      </w:r>
    </w:p>
    <w:p>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目标2：保障项目按进度实施</w:t>
      </w:r>
      <w:r>
        <w:rPr>
          <w:rFonts w:hint="eastAsia" w:eastAsia="仿宋_GB2312" w:cs="Times New Roman"/>
          <w:color w:val="auto"/>
          <w:sz w:val="32"/>
          <w:szCs w:val="32"/>
          <w:highlight w:val="none"/>
          <w:lang w:eastAsia="zh-CN"/>
        </w:rPr>
        <w:t>。</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阶段性目标</w:t>
      </w:r>
    </w:p>
    <w:p>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完成项目可行性研究报告，明确建设必要性、功能定位及经济效益分析。取得政府规划、用地、环评等审批文件，确保项目合法合规。完成建筑方案设计，确定功能分区、外观风格及技术参数。落实项目资金来源，签订融资协议或完成预算审批。工程设计</w:t>
      </w:r>
      <w:r>
        <w:rPr>
          <w:rFonts w:hint="eastAsia" w:eastAsia="仿宋_GB2312" w:cs="Times New Roman"/>
          <w:color w:val="auto"/>
          <w:sz w:val="32"/>
          <w:szCs w:val="32"/>
          <w:highlight w:val="none"/>
          <w:lang w:val="en-US" w:eastAsia="zh-CN"/>
        </w:rPr>
        <w:t>方面</w:t>
      </w:r>
      <w:r>
        <w:rPr>
          <w:rFonts w:hint="default" w:ascii="Times New Roman" w:hAnsi="Times New Roman" w:eastAsia="仿宋_GB2312" w:cs="Times New Roman"/>
          <w:color w:val="auto"/>
          <w:sz w:val="32"/>
          <w:szCs w:val="32"/>
          <w:highlight w:val="none"/>
          <w:lang w:val="en-US" w:eastAsia="zh-CN"/>
        </w:rPr>
        <w:t>完成施工图设计，涵盖建筑、结构、给排水、电气等全专业图纸。组织专家评审，优化设计方案，确保技术可行、经济合理。确定工程量清单</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施工招标阶段</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发布招标公告，完成投标单位资格预审，筛选合格施工及监理单位。开标评标，确定中标单位并签订施工合同、监理合同。完成场地平整、地基处理及基础浇筑，确保结构稳定性。</w:t>
      </w:r>
    </w:p>
    <w:p>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主体施工：按计划完成主体结构施工，达到各节点工期要求。</w:t>
      </w:r>
    </w:p>
    <w:p>
      <w:p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二、绩效评价工作开展情况</w:t>
      </w:r>
    </w:p>
    <w:p>
      <w:pP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（一）绩效评价目的、对象和范围</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val="en-US" w:eastAsia="zh-CN"/>
        </w:rPr>
      </w:pPr>
      <w:r>
        <w:rPr>
          <w:rFonts w:hint="default" w:ascii="Times New Roman" w:hAnsi="Times New Roman" w:eastAsia="仿宋_GB2312" w:cs="Times New Roman"/>
          <w:b w:val="0"/>
          <w:bCs w:val="0"/>
          <w:color w:val="auto"/>
          <w:highlight w:val="none"/>
          <w:lang w:val="en-US" w:eastAsia="zh-CN"/>
        </w:rPr>
        <w:t>1.绩效评价完整性</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评价指标体系的构建上，充分考虑了项目的性质、目标以及预期成果，选取了具有代表性和可衡量性的关键指标，涵盖了社会效益维度，力求全方位反映项目的绩效状况。同时，对于每个指标的评价标准和数据来源均进行了明确说明，确保评价结果的客观性和可追溯性。</w:t>
      </w:r>
    </w:p>
    <w:p>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在数据收集环节，采用了多种科学合理的方法，</w:t>
      </w:r>
      <w:r>
        <w:rPr>
          <w:rFonts w:hint="eastAsia" w:ascii="Times New Roman" w:hAnsi="Times New Roman" w:eastAsia="仿宋_GB2312" w:cs="Times New Roman"/>
          <w:color w:val="auto"/>
          <w:sz w:val="32"/>
          <w:szCs w:val="32"/>
          <w:highlight w:val="none"/>
          <w:lang w:val="en-US" w:eastAsia="zh-CN"/>
        </w:rPr>
        <w:t>此项目采用</w:t>
      </w:r>
      <w:r>
        <w:rPr>
          <w:rFonts w:hint="default" w:ascii="Times New Roman" w:hAnsi="Times New Roman" w:eastAsia="仿宋_GB2312" w:cs="Times New Roman"/>
          <w:color w:val="auto"/>
          <w:sz w:val="32"/>
          <w:szCs w:val="32"/>
          <w:highlight w:val="none"/>
          <w:lang w:val="en-US" w:eastAsia="zh-CN"/>
        </w:rPr>
        <w:t>问卷调查</w:t>
      </w:r>
      <w:r>
        <w:rPr>
          <w:rFonts w:hint="eastAsia" w:ascii="Times New Roman" w:hAnsi="Times New Roman" w:eastAsia="仿宋_GB2312" w:cs="Times New Roman"/>
          <w:color w:val="auto"/>
          <w:sz w:val="32"/>
          <w:szCs w:val="32"/>
          <w:highlight w:val="none"/>
          <w:lang w:val="en-US" w:eastAsia="zh-CN"/>
        </w:rPr>
        <w:t>方式</w:t>
      </w:r>
      <w:r>
        <w:rPr>
          <w:rFonts w:hint="default" w:ascii="Times New Roman" w:hAnsi="Times New Roman" w:eastAsia="仿宋_GB2312" w:cs="Times New Roman"/>
          <w:color w:val="auto"/>
          <w:sz w:val="32"/>
          <w:szCs w:val="32"/>
          <w:highlight w:val="none"/>
          <w:lang w:val="en-US" w:eastAsia="zh-CN"/>
        </w:rPr>
        <w:t>，广泛收集了与</w:t>
      </w:r>
      <w:r>
        <w:rPr>
          <w:rFonts w:hint="eastAsia" w:eastAsia="仿宋_GB2312" w:cs="Times New Roman"/>
          <w:color w:val="auto"/>
          <w:sz w:val="32"/>
          <w:szCs w:val="32"/>
          <w:highlight w:val="none"/>
          <w:lang w:val="en-US" w:eastAsia="zh-CN"/>
        </w:rPr>
        <w:t>巴</w:t>
      </w:r>
      <w:r>
        <w:rPr>
          <w:rFonts w:hint="default" w:ascii="Times New Roman" w:hAnsi="Times New Roman" w:eastAsia="仿宋_GB2312" w:cs="Times New Roman"/>
          <w:color w:val="auto"/>
          <w:sz w:val="32"/>
          <w:szCs w:val="32"/>
          <w:highlight w:val="none"/>
          <w:lang w:val="en-US" w:eastAsia="zh-CN"/>
        </w:rPr>
        <w:t>财建[2023]66号2023年新疆专项[第一批]中央基建投资预算</w:t>
      </w:r>
      <w:r>
        <w:rPr>
          <w:rFonts w:hint="eastAsia" w:ascii="Times New Roman" w:hAnsi="Times New Roman" w:eastAsia="仿宋_GB2312" w:cs="Times New Roman"/>
          <w:color w:val="auto"/>
          <w:sz w:val="32"/>
          <w:szCs w:val="32"/>
          <w:highlight w:val="none"/>
          <w:lang w:val="en-US" w:eastAsia="zh-CN"/>
        </w:rPr>
        <w:t>的</w:t>
      </w:r>
      <w:r>
        <w:rPr>
          <w:rFonts w:hint="default" w:ascii="Times New Roman" w:hAnsi="Times New Roman" w:eastAsia="仿宋_GB2312" w:cs="Times New Roman"/>
          <w:color w:val="auto"/>
          <w:sz w:val="32"/>
          <w:szCs w:val="32"/>
          <w:highlight w:val="none"/>
          <w:lang w:val="en-US" w:eastAsia="zh-CN"/>
        </w:rPr>
        <w:t>相关数据，</w:t>
      </w:r>
      <w:r>
        <w:rPr>
          <w:rFonts w:hint="eastAsia" w:ascii="Times New Roman" w:hAnsi="Times New Roman" w:eastAsia="仿宋_GB2312" w:cs="Times New Roman"/>
          <w:color w:val="auto"/>
          <w:sz w:val="32"/>
          <w:szCs w:val="32"/>
          <w:highlight w:val="none"/>
          <w:lang w:val="en-US" w:eastAsia="zh-CN"/>
        </w:rPr>
        <w:t>通过匿名填写调查问卷内容体现受益综合服务楼</w:t>
      </w:r>
      <w:r>
        <w:rPr>
          <w:rFonts w:hint="default" w:ascii="Times New Roman" w:hAnsi="Times New Roman" w:eastAsia="仿宋_GB2312" w:cs="Times New Roman"/>
          <w:color w:val="auto"/>
          <w:sz w:val="32"/>
          <w:szCs w:val="32"/>
          <w:highlight w:val="none"/>
          <w:lang w:val="en-US" w:eastAsia="zh-CN"/>
        </w:rPr>
        <w:t>，以确保评价结论的真实性和有效性。</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通过对项目预算执行情况及各项绩效目标达成程度的系统性分析，全面、客观地评估项目在预定周期内的实施效果，包括社会效益以及可持续性等多维度指标，为项目后续的改进与优化提供科学依据。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lang w:val="en-US" w:eastAsia="zh-CN"/>
        </w:rPr>
        <w:t>3</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绩效评价的对象</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本项目预算绩效评价报告的评价对象是</w:t>
      </w:r>
      <w:r>
        <w:rPr>
          <w:rFonts w:hint="default" w:ascii="Times New Roman" w:hAnsi="Times New Roman" w:eastAsia="仿宋_GB2312" w:cs="Times New Roman"/>
          <w:b w:val="0"/>
          <w:bCs w:val="0"/>
          <w:color w:val="auto"/>
          <w:kern w:val="2"/>
          <w:sz w:val="32"/>
          <w:szCs w:val="32"/>
          <w:highlight w:val="none"/>
          <w:lang w:val="en-US" w:eastAsia="zh-CN" w:bidi="ar-SA"/>
        </w:rPr>
        <w:t>巴财建[2023]66号2023年新疆专项[第一批]中央基建投资预算</w:t>
      </w:r>
      <w:r>
        <w:rPr>
          <w:rFonts w:hint="default" w:ascii="Times New Roman" w:hAnsi="Times New Roman" w:eastAsia="仿宋_GB2312" w:cs="Times New Roman"/>
          <w:b w:val="0"/>
          <w:bCs w:val="0"/>
          <w:color w:val="auto"/>
          <w:highlight w:val="none"/>
        </w:rPr>
        <w:t>及其预算执行情况。该项目由</w:t>
      </w:r>
      <w:r>
        <w:rPr>
          <w:rFonts w:hint="eastAsia" w:ascii="Times New Roman" w:hAnsi="Times New Roman" w:eastAsia="仿宋_GB2312" w:cs="Times New Roman"/>
          <w:b w:val="0"/>
          <w:bCs w:val="0"/>
          <w:color w:val="auto"/>
          <w:highlight w:val="none"/>
          <w:lang w:val="en-US" w:eastAsia="zh-CN"/>
        </w:rPr>
        <w:t>永安街道办事处</w:t>
      </w:r>
      <w:r>
        <w:rPr>
          <w:rFonts w:hint="default" w:ascii="Times New Roman" w:hAnsi="Times New Roman" w:eastAsia="仿宋_GB2312" w:cs="Times New Roman"/>
          <w:b w:val="0"/>
          <w:bCs w:val="0"/>
          <w:color w:val="auto"/>
          <w:highlight w:val="none"/>
        </w:rPr>
        <w:t>负责实施，旨在评价该项目资金安排的科学性、合理性、规范性和资金的使用成效，及时总结项目管理经验，完善项目管理办法，提高项目管理水平和资金使用效益。项目预算涵盖从</w:t>
      </w:r>
      <w:r>
        <w:rPr>
          <w:rFonts w:hint="eastAsia" w:ascii="Times New Roman" w:hAnsi="Times New Roman" w:eastAsia="仿宋_GB2312" w:cs="Times New Roman"/>
          <w:b w:val="0"/>
          <w:bCs w:val="0"/>
          <w:color w:val="auto"/>
          <w:highlight w:val="none"/>
          <w:lang w:val="en-US" w:eastAsia="zh-CN"/>
        </w:rPr>
        <w:t>2024年1月6日</w:t>
      </w:r>
      <w:r>
        <w:rPr>
          <w:rFonts w:hint="default" w:ascii="Times New Roman" w:hAnsi="Times New Roman" w:eastAsia="仿宋_GB2312" w:cs="Times New Roman"/>
          <w:b w:val="0"/>
          <w:bCs w:val="0"/>
          <w:color w:val="auto"/>
          <w:highlight w:val="none"/>
        </w:rPr>
        <w:t>至</w:t>
      </w:r>
      <w:r>
        <w:rPr>
          <w:rFonts w:hint="eastAsia" w:ascii="Times New Roman" w:hAnsi="Times New Roman" w:eastAsia="仿宋_GB2312" w:cs="Times New Roman"/>
          <w:b w:val="0"/>
          <w:bCs w:val="0"/>
          <w:color w:val="auto"/>
          <w:highlight w:val="none"/>
          <w:lang w:val="en-US" w:eastAsia="zh-CN"/>
        </w:rPr>
        <w:t>2024年12月31日</w:t>
      </w:r>
      <w:r>
        <w:rPr>
          <w:rFonts w:hint="default" w:ascii="Times New Roman" w:hAnsi="Times New Roman" w:eastAsia="仿宋_GB2312" w:cs="Times New Roman"/>
          <w:b w:val="0"/>
          <w:bCs w:val="0"/>
          <w:color w:val="auto"/>
          <w:highlight w:val="none"/>
        </w:rPr>
        <w:t>的全部资金投入与支出，涉及资金总额为</w:t>
      </w:r>
      <w:r>
        <w:rPr>
          <w:rFonts w:hint="eastAsia" w:ascii="Times New Roman" w:hAnsi="Times New Roman" w:eastAsia="仿宋_GB2312" w:cs="Times New Roman"/>
          <w:b w:val="0"/>
          <w:bCs w:val="0"/>
          <w:color w:val="auto"/>
          <w:highlight w:val="none"/>
          <w:lang w:val="en-US" w:eastAsia="zh-CN"/>
        </w:rPr>
        <w:t>300.00</w:t>
      </w:r>
      <w:r>
        <w:rPr>
          <w:rFonts w:hint="default" w:ascii="Times New Roman" w:hAnsi="Times New Roman" w:eastAsia="仿宋_GB2312" w:cs="Times New Roman"/>
          <w:b w:val="0"/>
          <w:bCs w:val="0"/>
          <w:color w:val="auto"/>
          <w:highlight w:val="none"/>
          <w:lang w:val="en-US" w:eastAsia="zh-CN"/>
        </w:rPr>
        <w:t>万</w:t>
      </w:r>
      <w:r>
        <w:rPr>
          <w:rFonts w:hint="default" w:ascii="Times New Roman" w:hAnsi="Times New Roman" w:eastAsia="仿宋_GB2312" w:cs="Times New Roman"/>
          <w:b w:val="0"/>
          <w:bCs w:val="0"/>
          <w:color w:val="auto"/>
          <w:highlight w:val="none"/>
        </w:rPr>
        <w:t>元。</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lang w:val="en-US" w:eastAsia="zh-CN"/>
        </w:rPr>
        <w:t>4.</w:t>
      </w:r>
      <w:r>
        <w:rPr>
          <w:rFonts w:hint="default" w:ascii="Times New Roman" w:hAnsi="Times New Roman" w:eastAsia="仿宋_GB2312" w:cs="Times New Roman"/>
          <w:b w:val="0"/>
          <w:bCs w:val="0"/>
          <w:color w:val="auto"/>
          <w:highlight w:val="none"/>
        </w:rPr>
        <w:t>绩效评价的范围</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本项目预算绩效评价报告的评价范围广泛而全面，涵盖了从项目立项至评价时点期间的所有关键预算活动和财务流程。具体而言，评价范围包括但不限于以下几个方面：</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项目预算编制与执行：全面审视项目预算的编制依据、合理性、科学性以及实际执行情况，包括预算调整的原因和效果。</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资金管理：深入分析项目资金的分配、使用和监管情况，确保资金使用的合规性、高效性和透明度。</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项目实施进度与产出：评估项目是否按照既定计划顺利推进，各项任务是否按时完成，以及项目产出的数量、质量和时效性是否符合预期。</w:t>
      </w:r>
    </w:p>
    <w:p>
      <w:pPr>
        <w:spacing w:line="560" w:lineRule="exact"/>
        <w:ind w:firstLine="643" w:firstLineChars="200"/>
        <w:rPr>
          <w:rFonts w:hint="default" w:ascii="Times New Roman" w:hAnsi="Times New Roman" w:cs="Times New Roman"/>
          <w:color w:val="auto"/>
          <w:highlight w:val="none"/>
        </w:rPr>
      </w:pPr>
      <w:r>
        <w:rPr>
          <w:rFonts w:hint="default" w:ascii="Times New Roman" w:hAnsi="Times New Roman" w:eastAsia="楷体_GB2312" w:cs="Times New Roman"/>
          <w:b/>
          <w:bCs/>
          <w:color w:val="auto"/>
          <w:sz w:val="32"/>
          <w:szCs w:val="32"/>
          <w:highlight w:val="none"/>
        </w:rPr>
        <w:t>（二）绩效评价原则、评价指标体系（详情见表1）、评价方法、评价标准。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1</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绩效评价原则</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本次项目绩效评价遵循以下基本原则：</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（1）科学公正。绩效评价应当运用科学合理的方法，按照规范的程序，对项目绩效进行客观、公正的反映。</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（2）统筹兼顾。单位自评、部门评价和财政评价应职责明确，各有侧重，相互衔接。单位自评应由项目单位自主实施，即“谁支出、谁自评”。部门评价和财政评价应在单位自评的基础上开展。</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（3）激励约束。绩效评价结果应与预算安排、政策调整、改进管理实质性挂钩，体现奖优罚劣和激励相容导向，有效要安排、低效要压减、无效要问责。</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（4）公开透明。绩效评价结果应依法依规公开，并自觉接受社会监督。</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2</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评价指标体系</w:t>
      </w:r>
    </w:p>
    <w:p>
      <w:pPr>
        <w:spacing w:line="560" w:lineRule="exact"/>
        <w:ind w:firstLine="708" w:firstLineChars="200"/>
        <w:rPr>
          <w:rFonts w:hint="default" w:ascii="Times New Roman" w:hAnsi="Times New Roman"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（1）确定评价指标</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（2）确定权重</w:t>
      </w:r>
    </w:p>
    <w:p>
      <w:pPr>
        <w:spacing w:line="560" w:lineRule="exact"/>
        <w:ind w:firstLine="708" w:firstLineChars="200"/>
        <w:rPr>
          <w:rFonts w:hint="default" w:ascii="Times New Roman" w:hAnsi="Times New Roman" w:eastAsia="仿宋_GB2312" w:cs="Times New Roman"/>
          <w:color w:val="auto"/>
          <w:spacing w:val="17"/>
          <w:sz w:val="32"/>
          <w:szCs w:val="32"/>
          <w:highlight w:val="none"/>
          <w:lang w:eastAsia="zh-CN"/>
        </w:rPr>
      </w:pPr>
      <w:r>
        <w:rPr>
          <w:rFonts w:hint="default" w:ascii="Times New Roman" w:hAnsi="Times New Roman" w:eastAsia="仿宋_GB2312" w:cs="Times New Roman"/>
          <w:color w:val="auto"/>
          <w:spacing w:val="17"/>
          <w:sz w:val="32"/>
          <w:szCs w:val="32"/>
          <w:highlight w:val="none"/>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（3）确定指标标准值</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pPr>
        <w:pStyle w:val="10"/>
        <w:spacing w:before="0" w:after="0" w:line="560" w:lineRule="exact"/>
        <w:ind w:firstLine="708" w:firstLineChars="200"/>
        <w:jc w:val="both"/>
        <w:rPr>
          <w:rFonts w:hint="default" w:ascii="Times New Roman" w:hAnsi="Times New Roman" w:eastAsia="仿宋_GB2312" w:cs="Times New Roman"/>
          <w:b w:val="0"/>
          <w:bCs w:val="0"/>
          <w:color w:val="auto"/>
          <w:spacing w:val="17"/>
          <w:kern w:val="2"/>
          <w:highlight w:val="none"/>
        </w:rPr>
      </w:pPr>
      <w:r>
        <w:rPr>
          <w:rFonts w:hint="default" w:ascii="Times New Roman" w:hAnsi="Times New Roman" w:eastAsia="仿宋_GB2312" w:cs="Times New Roman"/>
          <w:b w:val="0"/>
          <w:bCs w:val="0"/>
          <w:color w:val="auto"/>
          <w:spacing w:val="17"/>
          <w:kern w:val="2"/>
          <w:highlight w:val="none"/>
        </w:rPr>
        <w:t>绩效评价总分值100分，根据综合评分结果，90（含）-100分为优、80（含）-90分为良、60（含）-80分为中、60分以下为差。</w:t>
      </w:r>
    </w:p>
    <w:p>
      <w:pPr>
        <w:pStyle w:val="10"/>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auto"/>
          <w:spacing w:val="17"/>
          <w:highlight w:val="none"/>
        </w:rPr>
      </w:pPr>
      <w:r>
        <w:rPr>
          <w:rFonts w:hint="default" w:ascii="Times New Roman" w:hAnsi="Times New Roman" w:eastAsia="仿宋_GB2312" w:cs="Times New Roman"/>
          <w:b w:val="0"/>
          <w:bCs w:val="0"/>
          <w:color w:val="auto"/>
          <w:spacing w:val="17"/>
          <w:highlight w:val="none"/>
        </w:rPr>
        <w:t>具体评价指标体系详情见附件1</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3</w:t>
      </w:r>
      <w:r>
        <w:rPr>
          <w:rFonts w:hint="default" w:ascii="Times New Roman" w:hAnsi="Times New Roman" w:eastAsia="仿宋_GB2312" w:cs="Times New Roman"/>
          <w:b w:val="0"/>
          <w:bCs w:val="0"/>
          <w:color w:val="auto"/>
          <w:highlight w:val="none"/>
          <w:lang w:val="en-US" w:eastAsia="zh-CN"/>
        </w:rPr>
        <w:t>.</w:t>
      </w:r>
      <w:r>
        <w:rPr>
          <w:rFonts w:hint="default" w:ascii="Times New Roman" w:hAnsi="Times New Roman" w:eastAsia="仿宋_GB2312" w:cs="Times New Roman"/>
          <w:b w:val="0"/>
          <w:bCs w:val="0"/>
          <w:color w:val="auto"/>
          <w:highlight w:val="none"/>
        </w:rPr>
        <w:t>绩效评价方法</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pPr>
        <w:pStyle w:val="10"/>
        <w:widowControl w:val="0"/>
        <w:spacing w:before="0" w:after="0" w:line="560" w:lineRule="exact"/>
        <w:ind w:firstLine="640" w:firstLineChars="200"/>
        <w:jc w:val="both"/>
        <w:outlineLvl w:val="9"/>
        <w:rPr>
          <w:rFonts w:hint="eastAsia" w:ascii="Times New Roman" w:hAnsi="Times New Roman" w:eastAsia="仿宋_GB2312" w:cs="Times New Roman"/>
          <w:b w:val="0"/>
          <w:bCs w:val="0"/>
          <w:highlight w:val="none"/>
          <w:lang w:eastAsia="zh-CN"/>
        </w:rPr>
      </w:pPr>
      <w:r>
        <w:rPr>
          <w:rFonts w:hint="eastAsia" w:ascii="Times New Roman" w:hAnsi="Times New Roman" w:eastAsia="仿宋_GB2312" w:cs="Times New Roman"/>
          <w:b w:val="0"/>
          <w:bCs w:val="0"/>
          <w:highlight w:val="none"/>
        </w:rPr>
        <w:t>本次项目支出绩效自评采用公众评判法</w:t>
      </w:r>
      <w:r>
        <w:rPr>
          <w:rFonts w:hint="eastAsia"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原因是</w:t>
      </w:r>
      <w:r>
        <w:rPr>
          <w:rFonts w:hint="eastAsia" w:ascii="Times New Roman" w:hAnsi="Times New Roman" w:eastAsia="仿宋_GB2312" w:cs="Times New Roman"/>
          <w:b w:val="0"/>
          <w:bCs w:val="0"/>
          <w:highlight w:val="none"/>
          <w:lang w:eastAsia="zh-CN"/>
        </w:rPr>
        <w:t>通过公众调查问卷形式更加能准确得知此项目实施的反馈情况，</w:t>
      </w:r>
      <w:r>
        <w:rPr>
          <w:rFonts w:hint="eastAsia" w:ascii="Times New Roman" w:hAnsi="Times New Roman" w:eastAsia="仿宋_GB2312" w:cs="Times New Roman"/>
          <w:b w:val="0"/>
          <w:bCs w:val="0"/>
          <w:highlight w:val="none"/>
          <w:lang w:val="en-US" w:eastAsia="zh-CN"/>
        </w:rPr>
        <w:t>将公众的满意度、体验感作为核心的评价依据，</w:t>
      </w:r>
      <w:r>
        <w:rPr>
          <w:rFonts w:hint="eastAsia" w:ascii="Times New Roman" w:hAnsi="Times New Roman" w:eastAsia="仿宋_GB2312" w:cs="Times New Roman"/>
          <w:b w:val="0"/>
          <w:bCs w:val="0"/>
          <w:highlight w:val="none"/>
          <w:lang w:eastAsia="zh-CN"/>
        </w:rPr>
        <w:t>促使资金使用准确有效。</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4</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color w:val="auto"/>
          <w:highlight w:val="none"/>
          <w:lang w:val="en-US" w:eastAsia="zh-CN"/>
        </w:rPr>
        <w:t>计划</w:t>
      </w:r>
      <w:r>
        <w:rPr>
          <w:rFonts w:hint="default" w:ascii="Times New Roman" w:hAnsi="Times New Roman" w:eastAsia="仿宋_GB2312" w:cs="Times New Roman"/>
          <w:b w:val="0"/>
          <w:bCs w:val="0"/>
          <w:color w:val="auto"/>
          <w:highlight w:val="none"/>
        </w:rPr>
        <w:t>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val="en-US" w:eastAsia="zh-CN"/>
        </w:rPr>
      </w:pPr>
      <w:r>
        <w:rPr>
          <w:rFonts w:hint="default" w:ascii="Times New Roman" w:hAnsi="Times New Roman" w:eastAsia="仿宋_GB2312" w:cs="Times New Roman"/>
          <w:b w:val="0"/>
          <w:bCs w:val="0"/>
          <w:color w:val="auto"/>
          <w:highlight w:val="none"/>
          <w:lang w:eastAsia="zh-CN"/>
        </w:rPr>
        <w:t>（</w:t>
      </w:r>
      <w:r>
        <w:rPr>
          <w:rFonts w:hint="default" w:ascii="Times New Roman" w:hAnsi="Times New Roman" w:eastAsia="仿宋_GB2312" w:cs="Times New Roman"/>
          <w:b w:val="0"/>
          <w:bCs w:val="0"/>
          <w:color w:val="auto"/>
          <w:highlight w:val="none"/>
          <w:lang w:val="en-US" w:eastAsia="zh-CN"/>
        </w:rPr>
        <w:t>1</w:t>
      </w:r>
      <w:r>
        <w:rPr>
          <w:rFonts w:hint="default" w:ascii="Times New Roman" w:hAnsi="Times New Roman" w:eastAsia="仿宋_GB2312" w:cs="Times New Roman"/>
          <w:b w:val="0"/>
          <w:bCs w:val="0"/>
          <w:color w:val="auto"/>
          <w:highlight w:val="none"/>
          <w:lang w:eastAsia="zh-CN"/>
        </w:rPr>
        <w:t>）</w:t>
      </w:r>
      <w:r>
        <w:rPr>
          <w:rFonts w:hint="default" w:ascii="Times New Roman" w:hAnsi="Times New Roman" w:eastAsia="仿宋_GB2312" w:cs="Times New Roman"/>
          <w:b w:val="0"/>
          <w:bCs w:val="0"/>
          <w:color w:val="auto"/>
          <w:highlight w:val="none"/>
        </w:rPr>
        <w:t>计划标准。指以预先制定的目标、计划、预算、定额等作为评价标准</w:t>
      </w:r>
      <w:r>
        <w:rPr>
          <w:rFonts w:hint="eastAsia" w:ascii="Times New Roman" w:hAnsi="Times New Roman" w:eastAsia="仿宋_GB2312" w:cs="Times New Roman"/>
          <w:b w:val="0"/>
          <w:bCs w:val="0"/>
          <w:color w:val="auto"/>
          <w:highlight w:val="none"/>
          <w:lang w:eastAsia="zh-CN"/>
        </w:rPr>
        <w:t>。</w:t>
      </w:r>
      <w:r>
        <w:rPr>
          <w:rFonts w:hint="eastAsia" w:ascii="Times New Roman" w:hAnsi="Times New Roman" w:eastAsia="仿宋_GB2312" w:cs="Times New Roman"/>
          <w:b w:val="0"/>
          <w:bCs w:val="0"/>
          <w:color w:val="auto"/>
          <w:highlight w:val="none"/>
          <w:lang w:val="en-US" w:eastAsia="zh-CN"/>
        </w:rPr>
        <w:t>原因是通过实际绩效与计划标准进行对比分析，能够发现计划制定和执行过程中的优点和不足，</w:t>
      </w:r>
    </w:p>
    <w:p>
      <w:pPr>
        <w:pStyle w:val="10"/>
        <w:numPr>
          <w:ilvl w:val="0"/>
          <w:numId w:val="2"/>
        </w:numPr>
        <w:spacing w:before="0" w:after="0" w:line="560" w:lineRule="exact"/>
        <w:ind w:firstLine="711" w:firstLineChars="200"/>
        <w:jc w:val="both"/>
        <w:rPr>
          <w:rFonts w:hint="default" w:ascii="Times New Roman" w:hAnsi="Times New Roman" w:eastAsia="楷体" w:cs="Times New Roman"/>
          <w:color w:val="auto"/>
          <w:spacing w:val="17"/>
          <w:highlight w:val="none"/>
        </w:rPr>
      </w:pPr>
      <w:r>
        <w:rPr>
          <w:rFonts w:hint="default" w:ascii="Times New Roman" w:hAnsi="Times New Roman" w:eastAsia="楷体" w:cs="Times New Roman"/>
          <w:color w:val="auto"/>
          <w:spacing w:val="17"/>
          <w:highlight w:val="none"/>
        </w:rPr>
        <w:t>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eastAsia="zh-CN"/>
        </w:rPr>
        <w:t>）指标体系构建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auto"/>
          <w:spacing w:val="17"/>
          <w:sz w:val="32"/>
          <w:szCs w:val="32"/>
          <w:highlight w:val="none"/>
        </w:rPr>
        <w:t>项目决策、项目过程、项目产出、项目效益四个维度</w:t>
      </w:r>
      <w:r>
        <w:rPr>
          <w:rFonts w:hint="default" w:ascii="Times New Roman" w:hAnsi="Times New Roman" w:eastAsia="仿宋_GB2312" w:cs="Times New Roman"/>
          <w:color w:val="auto"/>
          <w:sz w:val="32"/>
          <w:szCs w:val="32"/>
          <w:highlight w:val="none"/>
          <w:lang w:eastAsia="zh-CN"/>
        </w:rPr>
        <w:t>，选取了具有代表性和可衡量性的关键指标，并为每个指标设定了明确的评价标准与权重，确保评价结果能够全面、准确地反映项目的绩效状况。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eastAsia="zh-CN"/>
        </w:rPr>
        <w:t>）数据收集与整理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lang w:eastAsia="zh-CN"/>
        </w:rPr>
        <w:t>）数据分析与评估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eastAsia="zh-CN"/>
        </w:rPr>
        <w:t>）报告撰写与反馈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lang w:eastAsia="zh-CN"/>
        </w:rPr>
        <w:t>）后续跟踪与改进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numPr>
          <w:ilvl w:val="0"/>
          <w:numId w:val="3"/>
        </w:num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综合评价情况及评价结论（附相关评分表）</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color w:val="auto"/>
          <w:highlight w:val="none"/>
          <w:lang w:val="en-US" w:eastAsia="zh-CN"/>
        </w:rPr>
      </w:pP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一</w:t>
      </w: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评价情况</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本项目的综合评价基于对项目各方面绩效的深入分析与评估。从项目目标的达成情况来看，</w:t>
      </w:r>
      <w:r>
        <w:rPr>
          <w:rFonts w:hint="default" w:ascii="Times New Roman" w:hAnsi="Times New Roman" w:eastAsia="仿宋_GB2312" w:cs="Times New Roman"/>
          <w:b w:val="0"/>
          <w:bCs w:val="0"/>
          <w:color w:val="auto"/>
          <w:kern w:val="2"/>
          <w:sz w:val="32"/>
          <w:szCs w:val="32"/>
          <w:highlight w:val="none"/>
          <w:lang w:val="en-US" w:eastAsia="zh-CN" w:bidi="ar-SA"/>
        </w:rPr>
        <w:t>巴财建[2023]66号2023年新疆专项[第一批]中央基建投资预算</w:t>
      </w:r>
      <w:r>
        <w:rPr>
          <w:rFonts w:hint="eastAsia" w:eastAsia="仿宋_GB2312" w:cs="Times New Roman"/>
          <w:color w:val="auto"/>
          <w:sz w:val="32"/>
          <w:szCs w:val="32"/>
          <w:highlight w:val="none"/>
          <w:lang w:eastAsia="zh-CN"/>
        </w:rPr>
        <w:t>项目</w:t>
      </w:r>
      <w:r>
        <w:rPr>
          <w:rFonts w:hint="default" w:ascii="Times New Roman" w:hAnsi="Times New Roman" w:eastAsia="仿宋_GB2312" w:cs="Times New Roman"/>
          <w:color w:val="auto"/>
          <w:sz w:val="32"/>
          <w:szCs w:val="32"/>
          <w:highlight w:val="none"/>
        </w:rPr>
        <w:t>在</w:t>
      </w:r>
      <w:r>
        <w:rPr>
          <w:rFonts w:hint="eastAsia" w:eastAsia="仿宋_GB2312" w:cs="Times New Roman"/>
          <w:color w:val="auto"/>
          <w:sz w:val="32"/>
          <w:szCs w:val="32"/>
          <w:highlight w:val="none"/>
          <w:lang w:eastAsia="zh-CN"/>
        </w:rPr>
        <w:t>开展</w:t>
      </w:r>
      <w:r>
        <w:rPr>
          <w:rFonts w:hint="eastAsia" w:eastAsia="仿宋_GB2312" w:cs="Times New Roman"/>
          <w:color w:val="auto"/>
          <w:sz w:val="32"/>
          <w:szCs w:val="32"/>
          <w:highlight w:val="none"/>
          <w:lang w:val="en-US" w:eastAsia="zh-CN"/>
        </w:rPr>
        <w:t>建立哈赞其社区1000平米的综合服务楼</w:t>
      </w:r>
      <w:r>
        <w:rPr>
          <w:rFonts w:hint="default" w:ascii="Times New Roman" w:hAnsi="Times New Roman" w:eastAsia="仿宋_GB2312" w:cs="Times New Roman"/>
          <w:color w:val="auto"/>
          <w:sz w:val="32"/>
          <w:szCs w:val="32"/>
          <w:highlight w:val="none"/>
        </w:rPr>
        <w:t>等方面表现出色，达到了预期的标准与要求。同时，项目也在</w:t>
      </w:r>
      <w:r>
        <w:rPr>
          <w:rFonts w:hint="eastAsia" w:eastAsia="仿宋_GB2312" w:cs="Times New Roman"/>
          <w:color w:val="auto"/>
          <w:sz w:val="32"/>
          <w:szCs w:val="32"/>
          <w:highlight w:val="none"/>
          <w:lang w:eastAsia="zh-CN"/>
        </w:rPr>
        <w:t>保障项目按进度实施方面</w:t>
      </w:r>
      <w:r>
        <w:rPr>
          <w:rFonts w:hint="default" w:ascii="Times New Roman" w:hAnsi="Times New Roman" w:eastAsia="仿宋_GB2312" w:cs="Times New Roman"/>
          <w:color w:val="auto"/>
          <w:sz w:val="32"/>
          <w:szCs w:val="32"/>
          <w:highlight w:val="none"/>
        </w:rPr>
        <w:t>取得了显著的成效，如</w:t>
      </w:r>
      <w:r>
        <w:rPr>
          <w:rFonts w:hint="eastAsia" w:eastAsia="仿宋_GB2312" w:cs="Times New Roman"/>
          <w:color w:val="auto"/>
          <w:sz w:val="32"/>
          <w:szCs w:val="32"/>
          <w:highlight w:val="none"/>
          <w:lang w:val="en-US" w:eastAsia="zh-CN"/>
        </w:rPr>
        <w:t>建立了哈赞其社区服务设施项目，</w:t>
      </w:r>
      <w:r>
        <w:rPr>
          <w:rFonts w:hint="eastAsia" w:eastAsia="仿宋_GB2312" w:cs="Times New Roman"/>
          <w:color w:val="auto"/>
          <w:sz w:val="30"/>
          <w:szCs w:val="30"/>
          <w:highlight w:val="none"/>
          <w:lang w:val="en-US" w:eastAsia="zh-CN"/>
        </w:rPr>
        <w:t>满足居民多样化需求，</w:t>
      </w:r>
      <w:r>
        <w:rPr>
          <w:rFonts w:hint="eastAsia" w:eastAsia="仿宋_GB2312" w:cs="Times New Roman"/>
          <w:color w:val="auto"/>
          <w:sz w:val="32"/>
          <w:szCs w:val="32"/>
          <w:highlight w:val="none"/>
          <w:lang w:val="en-US" w:eastAsia="zh-CN"/>
        </w:rPr>
        <w:t>满意度达到了95%</w:t>
      </w:r>
      <w:r>
        <w:rPr>
          <w:rFonts w:hint="default" w:ascii="Times New Roman" w:hAnsi="Times New Roman" w:eastAsia="仿宋_GB2312" w:cs="Times New Roman"/>
          <w:color w:val="auto"/>
          <w:sz w:val="32"/>
          <w:szCs w:val="32"/>
          <w:highlight w:val="none"/>
        </w:rPr>
        <w:t>等。</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在项目管理方面，</w:t>
      </w:r>
      <w:r>
        <w:rPr>
          <w:rFonts w:hint="eastAsia" w:eastAsia="仿宋_GB2312" w:cs="Times New Roman"/>
          <w:color w:val="auto"/>
          <w:sz w:val="32"/>
          <w:szCs w:val="32"/>
          <w:highlight w:val="none"/>
          <w:lang w:val="en-US" w:eastAsia="zh-CN"/>
        </w:rPr>
        <w:t>永安街道办事处</w:t>
      </w:r>
      <w:r>
        <w:rPr>
          <w:rFonts w:hint="default" w:ascii="Times New Roman" w:hAnsi="Times New Roman" w:eastAsia="仿宋_GB2312" w:cs="Times New Roman"/>
          <w:color w:val="auto"/>
          <w:sz w:val="32"/>
          <w:szCs w:val="32"/>
          <w:highlight w:val="none"/>
        </w:rPr>
        <w:t>通过有效的规划、组织与协调，项目得以顺利实施，并在预算与时间上保持了良好的控制。</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从项目效益的角度来看，本项目不仅实现了预期的社会效益等方面产生了积极的影响。具体而言，</w:t>
      </w:r>
      <w:r>
        <w:rPr>
          <w:rFonts w:hint="eastAsia" w:eastAsia="仿宋_GB2312" w:cs="Times New Roman"/>
          <w:color w:val="auto"/>
          <w:sz w:val="32"/>
          <w:szCs w:val="32"/>
          <w:highlight w:val="none"/>
          <w:lang w:val="en-US" w:eastAsia="zh-CN"/>
        </w:rPr>
        <w:t>满足居民多样化需求</w:t>
      </w:r>
      <w:r>
        <w:rPr>
          <w:rFonts w:hint="default" w:ascii="Times New Roman" w:hAnsi="Times New Roman" w:eastAsia="仿宋_GB2312" w:cs="Times New Roman"/>
          <w:color w:val="auto"/>
          <w:sz w:val="32"/>
          <w:szCs w:val="32"/>
          <w:highlight w:val="none"/>
        </w:rPr>
        <w:t>等方面的提升，为项目的利益相关者带来了实实在在的利益。</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综上所述，</w:t>
      </w:r>
      <w:r>
        <w:rPr>
          <w:rFonts w:hint="default" w:ascii="Times New Roman" w:hAnsi="Times New Roman" w:eastAsia="仿宋_GB2312" w:cs="Times New Roman"/>
          <w:b w:val="0"/>
          <w:bCs w:val="0"/>
          <w:color w:val="auto"/>
          <w:kern w:val="2"/>
          <w:sz w:val="32"/>
          <w:szCs w:val="32"/>
          <w:highlight w:val="none"/>
          <w:lang w:val="en-US" w:eastAsia="zh-CN" w:bidi="ar-SA"/>
        </w:rPr>
        <w:t>巴财建[2023]66号2023年新疆专项[第一批]中央基建投资预算</w:t>
      </w:r>
      <w:r>
        <w:rPr>
          <w:rFonts w:hint="default" w:ascii="Times New Roman" w:hAnsi="Times New Roman" w:eastAsia="仿宋_GB2312" w:cs="Times New Roman"/>
          <w:color w:val="auto"/>
          <w:sz w:val="32"/>
          <w:szCs w:val="32"/>
          <w:highlight w:val="none"/>
        </w:rPr>
        <w:t>在绩效评价中表现出色，达到了项目的预期目标，并在多个方面取得了显著的成效。</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color w:val="auto"/>
          <w:highlight w:val="none"/>
          <w:lang w:val="en-US" w:eastAsia="zh-CN"/>
        </w:rPr>
      </w:pP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二</w:t>
      </w: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评价结论</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 xml:space="preserve">分，属于“优（良/中/差）”。其中，项目决策类指标权重为20分，得分为 </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分，</w:t>
      </w:r>
      <w:r>
        <w:rPr>
          <w:rFonts w:hint="eastAsia" w:ascii="Times New Roman" w:hAnsi="Times New Roman" w:eastAsia="仿宋_GB2312" w:cs="Times New Roman"/>
          <w:b w:val="0"/>
          <w:bCs w:val="0"/>
          <w:color w:val="auto"/>
          <w:highlight w:val="none"/>
          <w:lang w:val="en-US" w:eastAsia="zh-CN"/>
        </w:rPr>
        <w:t>得分率</w:t>
      </w:r>
      <w:r>
        <w:rPr>
          <w:rFonts w:hint="default" w:ascii="Times New Roman" w:hAnsi="Times New Roman" w:eastAsia="仿宋_GB2312" w:cs="Times New Roman"/>
          <w:b w:val="0"/>
          <w:bCs w:val="0"/>
          <w:color w:val="auto"/>
          <w:highlight w:val="none"/>
        </w:rPr>
        <w:t xml:space="preserve">为 </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%。项目过程类指标权重为20分，得分为</w:t>
      </w:r>
      <w:r>
        <w:rPr>
          <w:rFonts w:hint="eastAsia" w:ascii="Times New Roman" w:hAnsi="Times New Roman" w:eastAsia="仿宋_GB2312" w:cs="Times New Roman"/>
          <w:b w:val="0"/>
          <w:bCs w:val="0"/>
          <w:color w:val="auto"/>
          <w:highlight w:val="none"/>
          <w:lang w:val="en-US" w:eastAsia="zh-CN"/>
        </w:rPr>
        <w:t>14.38</w:t>
      </w:r>
      <w:r>
        <w:rPr>
          <w:rFonts w:hint="default" w:ascii="Times New Roman" w:hAnsi="Times New Roman" w:eastAsia="仿宋_GB2312" w:cs="Times New Roman"/>
          <w:b w:val="0"/>
          <w:bCs w:val="0"/>
          <w:color w:val="auto"/>
          <w:highlight w:val="none"/>
        </w:rPr>
        <w:t xml:space="preserve">分，得分率为 </w:t>
      </w:r>
      <w:r>
        <w:rPr>
          <w:rFonts w:hint="eastAsia" w:ascii="Times New Roman" w:hAnsi="Times New Roman" w:eastAsia="仿宋_GB2312" w:cs="Times New Roman"/>
          <w:b w:val="0"/>
          <w:bCs w:val="0"/>
          <w:color w:val="auto"/>
          <w:highlight w:val="none"/>
          <w:lang w:val="en-US" w:eastAsia="zh-CN"/>
        </w:rPr>
        <w:t>71.9</w:t>
      </w:r>
      <w:r>
        <w:rPr>
          <w:rFonts w:hint="default" w:ascii="Times New Roman" w:hAnsi="Times New Roman" w:eastAsia="仿宋_GB2312" w:cs="Times New Roman"/>
          <w:b w:val="0"/>
          <w:bCs w:val="0"/>
          <w:color w:val="auto"/>
          <w:highlight w:val="none"/>
        </w:rPr>
        <w:t>%。项目产出类指标权重为40分，得分为</w:t>
      </w:r>
      <w:r>
        <w:rPr>
          <w:rFonts w:hint="eastAsia" w:ascii="Times New Roman" w:hAnsi="Times New Roman" w:eastAsia="仿宋_GB2312" w:cs="Times New Roman"/>
          <w:b w:val="0"/>
          <w:bCs w:val="0"/>
          <w:color w:val="auto"/>
          <w:highlight w:val="none"/>
          <w:lang w:val="en-US" w:eastAsia="zh-CN"/>
        </w:rPr>
        <w:t>40</w:t>
      </w:r>
      <w:r>
        <w:rPr>
          <w:rFonts w:hint="default" w:ascii="Times New Roman" w:hAnsi="Times New Roman" w:eastAsia="仿宋_GB2312" w:cs="Times New Roman"/>
          <w:b w:val="0"/>
          <w:bCs w:val="0"/>
          <w:color w:val="auto"/>
          <w:highlight w:val="none"/>
        </w:rPr>
        <w:t xml:space="preserve">分，得分率为 </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%。项目效益类指标权重为20分，得分为</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分，得分率为</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%。具体打分情况详见：附件1综合评分表</w:t>
      </w:r>
      <w:r>
        <w:rPr>
          <w:rFonts w:hint="default" w:ascii="Times New Roman" w:hAnsi="Times New Roman" w:eastAsia="仿宋_GB2312" w:cs="Times New Roman"/>
          <w:b w:val="0"/>
          <w:bCs w:val="0"/>
          <w:color w:val="auto"/>
          <w:highlight w:val="none"/>
          <w:lang w:eastAsia="zh-CN"/>
        </w:rPr>
        <w:t>。</w:t>
      </w:r>
    </w:p>
    <w:p>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表1综合评分表</w:t>
      </w:r>
    </w:p>
    <w:tbl>
      <w:tblPr>
        <w:tblStyle w:val="14"/>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14.38</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40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auto"/>
                <w:sz w:val="21"/>
                <w:szCs w:val="21"/>
                <w:highlight w:val="none"/>
                <w:lang w:val="en-US" w:eastAsia="zh-CN"/>
              </w:rPr>
            </w:pPr>
            <w:r>
              <w:rPr>
                <w:rFonts w:hint="default" w:ascii="Times New Roman" w:hAnsi="Times New Roman" w:eastAsia="仿宋_GB2312" w:cs="Times New Roman"/>
                <w:b/>
                <w:bCs/>
                <w:color w:val="auto"/>
                <w:sz w:val="21"/>
                <w:szCs w:val="21"/>
                <w:highlight w:val="none"/>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auto"/>
                <w:sz w:val="21"/>
                <w:szCs w:val="21"/>
                <w:highlight w:val="none"/>
                <w:lang w:val="en-US" w:eastAsia="zh-CN"/>
              </w:rPr>
            </w:pPr>
            <w:r>
              <w:rPr>
                <w:rFonts w:hint="eastAsia" w:eastAsia="仿宋_GB2312" w:cs="Times New Roman"/>
                <w:b/>
                <w:bCs/>
                <w:color w:val="auto"/>
                <w:sz w:val="21"/>
                <w:szCs w:val="21"/>
                <w:highlight w:val="none"/>
                <w:lang w:val="en-US" w:eastAsia="zh-CN"/>
              </w:rPr>
              <w:t>84.38</w:t>
            </w:r>
          </w:p>
        </w:tc>
      </w:tr>
    </w:tbl>
    <w:p>
      <w:p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四、绩效评价指标分析</w:t>
      </w:r>
    </w:p>
    <w:p>
      <w:pPr>
        <w:pStyle w:val="10"/>
        <w:spacing w:before="0" w:after="0" w:line="560" w:lineRule="exact"/>
        <w:ind w:firstLine="643" w:firstLineChars="200"/>
        <w:jc w:val="both"/>
        <w:rPr>
          <w:rFonts w:hint="default" w:ascii="Times New Roman" w:hAnsi="Times New Roman" w:eastAsia="楷体_GB2312" w:cs="Times New Roman"/>
          <w:color w:val="auto"/>
          <w:highlight w:val="none"/>
        </w:rPr>
      </w:pPr>
      <w:r>
        <w:rPr>
          <w:rFonts w:hint="default" w:ascii="Times New Roman" w:hAnsi="Times New Roman" w:eastAsia="楷体_GB2312" w:cs="Times New Roman"/>
          <w:color w:val="auto"/>
          <w:highlight w:val="none"/>
        </w:rPr>
        <w:t>（一）项目决策情况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1.项目立项</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（1）立项依据充分性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该项目立项符合</w:t>
      </w:r>
      <w:r>
        <w:rPr>
          <w:rFonts w:hint="eastAsia" w:eastAsia="仿宋_GB2312" w:cs="Times New Roman"/>
          <w:color w:val="auto"/>
          <w:sz w:val="30"/>
          <w:szCs w:val="30"/>
          <w:highlight w:val="none"/>
          <w:lang w:val="en-US" w:eastAsia="zh-CN"/>
        </w:rPr>
        <w:t>巴音郭楞蒙古自治州发展和改革委员会巴发改项目[2022]310号文件关于巴州库尔勒市2023年社区综合服务设施建设项目可行性研究报告（代项目建议书）等</w:t>
      </w:r>
      <w:r>
        <w:rPr>
          <w:rFonts w:hint="default" w:ascii="Times New Roman" w:hAnsi="Times New Roman" w:eastAsia="仿宋_GB2312" w:cs="Times New Roman"/>
          <w:color w:val="auto"/>
          <w:sz w:val="32"/>
          <w:szCs w:val="32"/>
          <w:highlight w:val="none"/>
          <w:lang w:val="en-US" w:eastAsia="zh-CN"/>
        </w:rPr>
        <w:t>政策，符合行业规划要求，围绕本年度工作重点和工作计划制定经费预算，属于公共财政支持范围。本项目与部门内部其他相关项目不重复。部门发展规划及职能文件等归档完整。</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此项权重分值为3分，得分为3分。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（2）立项程序规范性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项目申请、设立过程符合相关要求，</w:t>
      </w:r>
      <w:r>
        <w:rPr>
          <w:rFonts w:hint="default" w:ascii="Times New Roman" w:hAnsi="Times New Roman" w:eastAsia="仿宋_GB2312" w:cs="Times New Roman"/>
          <w:color w:val="auto"/>
          <w:sz w:val="32"/>
          <w:szCs w:val="32"/>
          <w:highlight w:val="none"/>
          <w:lang w:eastAsia="zh-Hans"/>
        </w:rPr>
        <w:t>严格按照审批流程准备符合要求的文件、材料；</w:t>
      </w:r>
      <w:r>
        <w:rPr>
          <w:rFonts w:hint="default" w:ascii="Times New Roman" w:hAnsi="Times New Roman" w:eastAsia="仿宋_GB2312" w:cs="Times New Roman"/>
          <w:color w:val="auto"/>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此项权重分值为3分，得分为3分。</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2.绩效目标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（1）绩效目标合理性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Hans"/>
        </w:rPr>
        <w:t>年初结合实际工作内容</w:t>
      </w:r>
      <w:r>
        <w:rPr>
          <w:rFonts w:hint="default" w:ascii="Times New Roman" w:hAnsi="Times New Roman" w:eastAsia="仿宋_GB2312" w:cs="Times New Roman"/>
          <w:color w:val="auto"/>
          <w:sz w:val="32"/>
          <w:szCs w:val="32"/>
          <w:highlight w:val="none"/>
          <w:lang w:val="en-US" w:eastAsia="zh-CN"/>
        </w:rPr>
        <w:t>设定绩效目标</w:t>
      </w:r>
      <w:r>
        <w:rPr>
          <w:rFonts w:hint="default" w:ascii="Times New Roman" w:hAnsi="Times New Roman" w:eastAsia="仿宋_GB2312" w:cs="Times New Roman"/>
          <w:color w:val="auto"/>
          <w:sz w:val="32"/>
          <w:szCs w:val="32"/>
          <w:highlight w:val="none"/>
          <w:lang w:val="en-US" w:eastAsia="zh-Hans"/>
        </w:rPr>
        <w:t>，绩效目标</w:t>
      </w:r>
      <w:r>
        <w:rPr>
          <w:rFonts w:hint="default" w:ascii="Times New Roman" w:hAnsi="Times New Roman" w:eastAsia="仿宋_GB2312" w:cs="Times New Roman"/>
          <w:color w:val="auto"/>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此项权重分值为3分，得分为3分。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（2）绩效指标明确性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此项权重分值为3分，得分为3分。</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3.资金投入</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在预算编制过程中，</w:t>
      </w:r>
      <w:r>
        <w:rPr>
          <w:rFonts w:hint="default" w:ascii="Times New Roman" w:hAnsi="Times New Roman" w:eastAsia="仿宋_GB2312" w:cs="Times New Roman"/>
          <w:color w:val="auto"/>
          <w:sz w:val="32"/>
          <w:szCs w:val="32"/>
          <w:highlight w:val="none"/>
          <w:lang w:val="en-US" w:eastAsia="zh-CN"/>
        </w:rPr>
        <w:t>还</w:t>
      </w:r>
      <w:r>
        <w:rPr>
          <w:rFonts w:hint="default" w:ascii="Times New Roman" w:hAnsi="Times New Roman" w:eastAsia="仿宋_GB2312" w:cs="Times New Roman"/>
          <w:color w:val="auto"/>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此项权重分值为4分，得分为4分。</w:t>
      </w:r>
    </w:p>
    <w:p>
      <w:pPr>
        <w:pStyle w:val="10"/>
        <w:numPr>
          <w:ilvl w:val="0"/>
          <w:numId w:val="4"/>
        </w:numPr>
        <w:spacing w:before="0" w:after="0" w:line="560" w:lineRule="exact"/>
        <w:ind w:firstLine="643" w:firstLineChars="200"/>
        <w:jc w:val="both"/>
        <w:rPr>
          <w:rFonts w:hint="default" w:ascii="Times New Roman" w:hAnsi="Times New Roman" w:eastAsia="楷体" w:cs="Times New Roman"/>
          <w:color w:val="auto"/>
          <w:highlight w:val="none"/>
        </w:rPr>
      </w:pPr>
      <w:r>
        <w:rPr>
          <w:rFonts w:hint="default" w:ascii="Times New Roman" w:hAnsi="Times New Roman" w:eastAsia="楷体" w:cs="Times New Roman"/>
          <w:color w:val="auto"/>
          <w:highlight w:val="none"/>
        </w:rPr>
        <w:t>项目过程情况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项目过程类指标包括资金管理和组织实施两方面的内容，由5个三级指标构成，权重分值为20分，实际得分</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1.资金管理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（1）资金到位率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本项目总投资</w:t>
      </w:r>
      <w:r>
        <w:rPr>
          <w:rFonts w:hint="eastAsia" w:eastAsia="仿宋_GB2312" w:cs="Times New Roman"/>
          <w:color w:val="auto"/>
          <w:sz w:val="32"/>
          <w:szCs w:val="32"/>
          <w:highlight w:val="none"/>
          <w:lang w:val="en-US" w:eastAsia="zh-CN"/>
        </w:rPr>
        <w:t>300</w:t>
      </w:r>
      <w:r>
        <w:rPr>
          <w:rFonts w:hint="default" w:ascii="Times New Roman" w:hAnsi="Times New Roman" w:eastAsia="仿宋_GB2312" w:cs="Times New Roman"/>
          <w:color w:val="auto"/>
          <w:sz w:val="32"/>
          <w:szCs w:val="32"/>
          <w:highlight w:val="none"/>
          <w:lang w:val="en-US" w:eastAsia="zh-CN"/>
        </w:rPr>
        <w:t>万元，财政资金及时足额到位，到位率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%，预算资金按计划进度执行。</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（2）预算执行率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预算编制较为详细，项目资金支出总体能够按照预算执行，预算资金支出</w:t>
      </w:r>
      <w:r>
        <w:rPr>
          <w:rFonts w:hint="eastAsia" w:eastAsia="仿宋_GB2312" w:cs="Times New Roman"/>
          <w:color w:val="auto"/>
          <w:sz w:val="32"/>
          <w:szCs w:val="32"/>
          <w:highlight w:val="none"/>
          <w:lang w:val="en-US" w:eastAsia="zh-CN"/>
        </w:rPr>
        <w:t>180.74</w:t>
      </w:r>
      <w:r>
        <w:rPr>
          <w:rFonts w:hint="default" w:ascii="Times New Roman" w:hAnsi="Times New Roman" w:eastAsia="仿宋_GB2312" w:cs="Times New Roman"/>
          <w:color w:val="auto"/>
          <w:sz w:val="32"/>
          <w:szCs w:val="32"/>
          <w:highlight w:val="none"/>
          <w:lang w:val="en-US" w:eastAsia="zh-CN"/>
        </w:rPr>
        <w:t>万元，预算执行率为</w:t>
      </w:r>
      <w:r>
        <w:rPr>
          <w:rFonts w:hint="eastAsia" w:eastAsia="仿宋_GB2312" w:cs="Times New Roman"/>
          <w:color w:val="auto"/>
          <w:sz w:val="32"/>
          <w:szCs w:val="32"/>
          <w:highlight w:val="none"/>
          <w:lang w:val="en-US" w:eastAsia="zh-CN"/>
        </w:rPr>
        <w:t>60.25</w:t>
      </w:r>
      <w:r>
        <w:rPr>
          <w:rFonts w:hint="default" w:ascii="Times New Roman" w:hAnsi="Times New Roman" w:eastAsia="仿宋_GB2312" w:cs="Times New Roman"/>
          <w:color w:val="auto"/>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此项权重分值为4分，得分为2.41分。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此项权重分值为4分，得分为4分。</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2.组织实施</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综上所述，本项目的管理制度在执行过程中表现出了高度的有效性，既确保了项目的顺利进行，又实现了项目目标的有效达成。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此项权重分值为4分，得分为4分。</w:t>
      </w:r>
    </w:p>
    <w:p>
      <w:pPr>
        <w:pStyle w:val="12"/>
        <w:numPr>
          <w:ilvl w:val="0"/>
          <w:numId w:val="4"/>
        </w:numPr>
        <w:spacing w:line="560" w:lineRule="exact"/>
        <w:ind w:firstLine="643"/>
        <w:rPr>
          <w:rFonts w:hint="default" w:ascii="Times New Roman" w:hAnsi="Times New Roman" w:eastAsia="楷体_GB2312" w:cs="Times New Roman"/>
          <w:b/>
          <w:bCs/>
          <w:color w:val="auto"/>
          <w:sz w:val="32"/>
          <w:szCs w:val="32"/>
          <w:highlight w:val="none"/>
        </w:rPr>
      </w:pPr>
      <w:r>
        <w:rPr>
          <w:rFonts w:hint="eastAsia" w:eastAsia="楷体_GB2312" w:cs="Times New Roman"/>
          <w:b/>
          <w:bCs/>
          <w:color w:val="auto"/>
          <w:sz w:val="32"/>
          <w:szCs w:val="32"/>
          <w:highlight w:val="none"/>
          <w:lang w:val="en-US" w:eastAsia="zh-CN"/>
        </w:rPr>
        <w:t>项目产出</w:t>
      </w:r>
      <w:r>
        <w:rPr>
          <w:rFonts w:hint="default" w:ascii="Times New Roman" w:hAnsi="Times New Roman" w:eastAsia="楷体_GB2312" w:cs="Times New Roman"/>
          <w:b/>
          <w:bCs/>
          <w:color w:val="auto"/>
          <w:sz w:val="32"/>
          <w:szCs w:val="32"/>
          <w:highlight w:val="none"/>
          <w:lang w:val="en-US" w:eastAsia="zh-CN"/>
        </w:rPr>
        <w:t>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项目产出类指标包括产出数量、产出质量、产出时效、产出成本四方面的内容，由</w:t>
      </w:r>
      <w:r>
        <w:rPr>
          <w:rFonts w:hint="eastAsia"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val="en-US" w:eastAsia="zh-CN"/>
        </w:rPr>
        <w:t>个三级指标构成，权重分为40分，实际得分</w:t>
      </w:r>
      <w:r>
        <w:rPr>
          <w:rFonts w:hint="eastAsia" w:eastAsia="仿宋_GB2312" w:cs="Times New Roman"/>
          <w:color w:val="auto"/>
          <w:sz w:val="32"/>
          <w:szCs w:val="32"/>
          <w:highlight w:val="none"/>
          <w:lang w:val="en-US" w:eastAsia="zh-CN"/>
        </w:rPr>
        <w:t>40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%。具体产出指标完成情况如下：</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1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①</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数量指标：</w:t>
      </w:r>
    </w:p>
    <w:p>
      <w:pPr>
        <w:shd w:val="clear"/>
        <w:spacing w:line="600" w:lineRule="exact"/>
        <w:ind w:firstLine="640" w:firstLineChars="200"/>
        <w:outlineLvl w:val="0"/>
        <w:rPr>
          <w:rFonts w:hint="eastAsia"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指标1：建设综合服务楼数量，指标值：&gt;=1栋，实际完成值：=1栋，指标完成率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此项权重分值为20分，得分为20分。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2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②</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质量指标：</w:t>
      </w:r>
    </w:p>
    <w:p>
      <w:pPr>
        <w:shd w:val="clear"/>
        <w:spacing w:line="600" w:lineRule="exact"/>
        <w:ind w:firstLine="640" w:firstLineChars="200"/>
        <w:outlineLvl w:val="0"/>
        <w:rPr>
          <w:rFonts w:hint="eastAsia"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指标1：</w:t>
      </w:r>
      <w:r>
        <w:rPr>
          <w:rFonts w:hint="default" w:ascii="Times New Roman" w:hAnsi="Times New Roman" w:eastAsia="仿宋_GB2312" w:cs="Times New Roman"/>
          <w:color w:val="auto"/>
          <w:sz w:val="32"/>
          <w:szCs w:val="32"/>
          <w:highlight w:val="none"/>
        </w:rPr>
        <w:t>资金使用合规率，指标值：=100%，实际完成值：=100%，指标完成率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此项权重分值为10分，得分为10分。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3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③</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时效指标：</w:t>
      </w:r>
    </w:p>
    <w:p>
      <w:pPr>
        <w:shd w:val="clear"/>
        <w:spacing w:line="600" w:lineRule="exact"/>
        <w:ind w:firstLine="640" w:firstLineChars="200"/>
        <w:outlineLvl w:val="0"/>
        <w:rPr>
          <w:rFonts w:hint="eastAsia"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指标1：资金支付及时率，</w:t>
      </w:r>
      <w:r>
        <w:rPr>
          <w:rFonts w:hint="default" w:ascii="Times New Roman" w:hAnsi="Times New Roman" w:eastAsia="仿宋_GB2312" w:cs="Times New Roman"/>
          <w:color w:val="auto"/>
          <w:sz w:val="32"/>
          <w:szCs w:val="32"/>
          <w:highlight w:val="none"/>
        </w:rPr>
        <w:t>指标值：=100%，实际完成值：=100%，指标完成率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此项权重分值为10分，得分为10分。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4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④</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成本指标：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eastAsia" w:eastAsia="仿宋_GB2312" w:cs="Times New Roman"/>
          <w:color w:val="auto"/>
          <w:sz w:val="32"/>
          <w:szCs w:val="32"/>
          <w:highlight w:val="none"/>
          <w:lang w:val="en-US" w:eastAsia="zh-CN"/>
        </w:rPr>
        <w:t>指标1：</w:t>
      </w:r>
      <w:r>
        <w:rPr>
          <w:rFonts w:hint="default" w:ascii="Times New Roman" w:hAnsi="Times New Roman" w:eastAsia="仿宋_GB2312" w:cs="Times New Roman"/>
          <w:color w:val="auto"/>
          <w:sz w:val="32"/>
          <w:szCs w:val="32"/>
          <w:highlight w:val="none"/>
        </w:rPr>
        <w:t>工程预付款成本，指标值：&lt;=88万元，实际完成值：=88万元，指标完成率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w:t>
      </w:r>
    </w:p>
    <w:p>
      <w:pPr>
        <w:shd w:val="clear"/>
        <w:spacing w:line="600" w:lineRule="exact"/>
        <w:ind w:firstLine="640" w:firstLineChars="200"/>
        <w:outlineLvl w:val="0"/>
        <w:rPr>
          <w:rFonts w:hint="eastAsia"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指标2：工程进度款成本，</w:t>
      </w:r>
      <w:r>
        <w:rPr>
          <w:rFonts w:hint="default" w:ascii="Times New Roman" w:hAnsi="Times New Roman" w:eastAsia="仿宋_GB2312" w:cs="Times New Roman"/>
          <w:color w:val="auto"/>
          <w:sz w:val="32"/>
          <w:szCs w:val="32"/>
          <w:highlight w:val="none"/>
        </w:rPr>
        <w:t>指标值：&lt;=212万元万元，实际完成值：=92.74万元，指标完成率</w:t>
      </w:r>
      <w:r>
        <w:rPr>
          <w:rFonts w:hint="eastAsia" w:eastAsia="仿宋_GB2312" w:cs="Times New Roman"/>
          <w:color w:val="auto"/>
          <w:sz w:val="32"/>
          <w:szCs w:val="32"/>
          <w:highlight w:val="none"/>
          <w:lang w:val="en-US" w:eastAsia="zh-CN"/>
        </w:rPr>
        <w:t>43.75</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此项权重分值为20分，得分为14.38分。</w:t>
      </w:r>
    </w:p>
    <w:p>
      <w:pPr>
        <w:pStyle w:val="12"/>
        <w:numPr>
          <w:ilvl w:val="0"/>
          <w:numId w:val="4"/>
        </w:numPr>
        <w:spacing w:line="560" w:lineRule="exact"/>
        <w:ind w:firstLine="643"/>
        <w:rPr>
          <w:rFonts w:hint="default" w:ascii="Times New Roman" w:hAnsi="Times New Roman" w:eastAsia="楷体_GB2312" w:cs="Times New Roman"/>
          <w:b/>
          <w:bCs/>
          <w:color w:val="auto"/>
          <w:sz w:val="32"/>
          <w:szCs w:val="32"/>
          <w:highlight w:val="none"/>
          <w:lang w:val="en-US" w:eastAsia="zh-CN"/>
        </w:rPr>
      </w:pPr>
      <w:r>
        <w:rPr>
          <w:rFonts w:hint="default" w:ascii="Times New Roman" w:hAnsi="Times New Roman" w:eastAsia="楷体_GB2312" w:cs="Times New Roman"/>
          <w:b/>
          <w:bCs/>
          <w:color w:val="auto"/>
          <w:sz w:val="32"/>
          <w:szCs w:val="32"/>
          <w:highlight w:val="none"/>
          <w:lang w:val="en-US" w:eastAsia="zh-CN"/>
        </w:rPr>
        <w:t>项目效益情况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项目效益类指标包括项目实施效益和满意度两方面的内容，由</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val="en-US" w:eastAsia="zh-CN"/>
        </w:rPr>
        <w:t>个三级指标构成，权重分为</w:t>
      </w:r>
      <w:r>
        <w:rPr>
          <w:rFonts w:hint="eastAsia"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val="en-US" w:eastAsia="zh-CN"/>
        </w:rPr>
        <w:t>0分，实际得分</w:t>
      </w:r>
      <w:r>
        <w:rPr>
          <w:rFonts w:hint="eastAsia" w:eastAsia="仿宋_GB2312" w:cs="Times New Roman"/>
          <w:color w:val="auto"/>
          <w:sz w:val="32"/>
          <w:szCs w:val="32"/>
          <w:highlight w:val="none"/>
          <w:lang w:val="en-US" w:eastAsia="zh-CN"/>
        </w:rPr>
        <w:t>30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%。具体效益指标及满意度指标完成情况如下：</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1.实施效益</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①</w:t>
      </w:r>
      <w:r>
        <w:rPr>
          <w:rFonts w:hint="default" w:ascii="Times New Roman" w:hAnsi="Times New Roman" w:eastAsia="仿宋_GB2312" w:cs="Times New Roman"/>
          <w:color w:val="auto"/>
          <w:sz w:val="32"/>
          <w:szCs w:val="32"/>
          <w:highlight w:val="none"/>
        </w:rPr>
        <w:t>社会效益指标：</w:t>
      </w:r>
    </w:p>
    <w:p>
      <w:pPr>
        <w:shd w:val="clear"/>
        <w:spacing w:line="600" w:lineRule="exact"/>
        <w:ind w:firstLine="640" w:firstLineChars="200"/>
        <w:outlineLvl w:val="0"/>
        <w:rPr>
          <w:rFonts w:hint="eastAsia"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指标1：</w:t>
      </w:r>
      <w:r>
        <w:rPr>
          <w:rFonts w:hint="default" w:ascii="Times New Roman" w:hAnsi="Times New Roman" w:eastAsia="仿宋_GB2312" w:cs="Times New Roman"/>
          <w:color w:val="auto"/>
          <w:sz w:val="32"/>
          <w:szCs w:val="32"/>
          <w:highlight w:val="none"/>
        </w:rPr>
        <w:t>受益综合服务楼，指标值：&gt;=1栋，实际完成值：=1栋，指标完成率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此项权重分值为20分，得分为20分。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2.满意度</w:t>
      </w:r>
    </w:p>
    <w:p>
      <w:pPr>
        <w:shd w:val="clear"/>
        <w:spacing w:line="600" w:lineRule="exact"/>
        <w:ind w:firstLine="640" w:firstLineChars="200"/>
        <w:outlineLvl w:val="0"/>
        <w:rPr>
          <w:rFonts w:hint="eastAsia"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指标1：</w:t>
      </w:r>
      <w:r>
        <w:rPr>
          <w:rFonts w:hint="default" w:ascii="Times New Roman" w:hAnsi="Times New Roman" w:eastAsia="仿宋_GB2312" w:cs="Times New Roman"/>
          <w:color w:val="auto"/>
          <w:sz w:val="32"/>
          <w:szCs w:val="32"/>
          <w:highlight w:val="none"/>
        </w:rPr>
        <w:t>群众满意度，指标值：&gt;=95%栋，实际完成值：=95%栋，指标完成率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此项权重分值为10分，得分为10分。</w:t>
      </w:r>
    </w:p>
    <w:p>
      <w:pPr>
        <w:spacing w:line="560" w:lineRule="exact"/>
        <w:ind w:firstLine="643" w:firstLineChars="200"/>
        <w:rPr>
          <w:rFonts w:hint="default" w:ascii="Times New Roman" w:hAnsi="Times New Roman" w:eastAsia="楷体_GB2312" w:cs="Times New Roman"/>
          <w:b/>
          <w:bCs/>
          <w:color w:val="auto"/>
          <w:sz w:val="32"/>
          <w:szCs w:val="32"/>
          <w:highlight w:val="none"/>
          <w:lang w:val="en-US" w:eastAsia="zh-Hans"/>
        </w:rPr>
      </w:pPr>
      <w:r>
        <w:rPr>
          <w:rFonts w:hint="default" w:ascii="Times New Roman" w:hAnsi="Times New Roman" w:eastAsia="楷体_GB2312" w:cs="Times New Roman"/>
          <w:b/>
          <w:bCs/>
          <w:color w:val="auto"/>
          <w:sz w:val="32"/>
          <w:szCs w:val="32"/>
          <w:highlight w:val="none"/>
          <w:lang w:val="en-US" w:eastAsia="zh-CN"/>
        </w:rPr>
        <w:t>（五）</w:t>
      </w:r>
      <w:r>
        <w:rPr>
          <w:rFonts w:hint="default" w:ascii="Times New Roman" w:hAnsi="Times New Roman" w:eastAsia="楷体_GB2312" w:cs="Times New Roman"/>
          <w:b/>
          <w:bCs/>
          <w:color w:val="auto"/>
          <w:sz w:val="32"/>
          <w:szCs w:val="32"/>
          <w:highlight w:val="none"/>
          <w:lang w:val="en-US" w:eastAsia="zh-Hans"/>
        </w:rPr>
        <w:t>预算执行进度与绩效指标总体完成率偏差</w:t>
      </w:r>
    </w:p>
    <w:p>
      <w:pPr>
        <w:pStyle w:val="19"/>
        <w:spacing w:line="560" w:lineRule="exact"/>
        <w:ind w:firstLine="640"/>
        <w:rPr>
          <w:rFonts w:hint="default" w:ascii="Times New Roman" w:hAnsi="Times New Roman" w:eastAsia="方正仿宋_GBK" w:cs="Times New Roman"/>
          <w:color w:val="auto"/>
          <w:sz w:val="32"/>
          <w:szCs w:val="32"/>
          <w:highlight w:val="none"/>
        </w:rPr>
      </w:pPr>
      <w:r>
        <w:rPr>
          <w:rFonts w:hint="default" w:ascii="Times New Roman" w:hAnsi="Times New Roman" w:eastAsia="仿宋_GB2312" w:cs="Times New Roman"/>
          <w:b w:val="0"/>
          <w:bCs w:val="0"/>
          <w:color w:val="auto"/>
          <w:kern w:val="2"/>
          <w:sz w:val="32"/>
          <w:szCs w:val="32"/>
          <w:highlight w:val="none"/>
          <w:lang w:val="en-US" w:eastAsia="zh-CN" w:bidi="ar-SA"/>
        </w:rPr>
        <w:t>巴财建[2023]66号2023年新疆专项[第一批]中央基建投资预算</w:t>
      </w:r>
      <w:r>
        <w:rPr>
          <w:rFonts w:hint="default" w:ascii="Times New Roman" w:hAnsi="Times New Roman" w:eastAsia="方正仿宋_GBK" w:cs="Times New Roman"/>
          <w:color w:val="auto"/>
          <w:sz w:val="32"/>
          <w:szCs w:val="32"/>
          <w:highlight w:val="none"/>
        </w:rPr>
        <w:t>项目年初预算</w:t>
      </w:r>
      <w:r>
        <w:rPr>
          <w:rFonts w:hint="eastAsia" w:eastAsia="方正仿宋_GBK" w:cs="Times New Roman"/>
          <w:color w:val="auto"/>
          <w:sz w:val="32"/>
          <w:szCs w:val="32"/>
          <w:highlight w:val="none"/>
          <w:lang w:val="en-US" w:eastAsia="zh-CN"/>
        </w:rPr>
        <w:t>300</w:t>
      </w:r>
      <w:r>
        <w:rPr>
          <w:rFonts w:hint="default" w:ascii="Times New Roman" w:hAnsi="Times New Roman" w:eastAsia="方正仿宋_GBK" w:cs="Times New Roman"/>
          <w:color w:val="auto"/>
          <w:sz w:val="32"/>
          <w:szCs w:val="32"/>
          <w:highlight w:val="none"/>
        </w:rPr>
        <w:t>万元，全年预算</w:t>
      </w:r>
      <w:r>
        <w:rPr>
          <w:rFonts w:hint="eastAsia" w:eastAsia="方正仿宋_GBK" w:cs="Times New Roman"/>
          <w:color w:val="auto"/>
          <w:sz w:val="32"/>
          <w:szCs w:val="32"/>
          <w:highlight w:val="none"/>
          <w:lang w:val="en-US" w:eastAsia="zh-CN"/>
        </w:rPr>
        <w:t>300</w:t>
      </w:r>
      <w:r>
        <w:rPr>
          <w:rFonts w:hint="default" w:ascii="Times New Roman" w:hAnsi="Times New Roman" w:eastAsia="方正仿宋_GBK" w:cs="Times New Roman"/>
          <w:color w:val="auto"/>
          <w:sz w:val="32"/>
          <w:szCs w:val="32"/>
          <w:highlight w:val="none"/>
        </w:rPr>
        <w:t>万元，实际支出</w:t>
      </w:r>
      <w:r>
        <w:rPr>
          <w:rFonts w:hint="eastAsia" w:eastAsia="方正仿宋_GBK" w:cs="Times New Roman"/>
          <w:color w:val="auto"/>
          <w:sz w:val="32"/>
          <w:szCs w:val="32"/>
          <w:highlight w:val="none"/>
          <w:lang w:val="en-US" w:eastAsia="zh-CN"/>
        </w:rPr>
        <w:t>180.74</w:t>
      </w:r>
      <w:r>
        <w:rPr>
          <w:rFonts w:hint="default" w:ascii="Times New Roman" w:hAnsi="Times New Roman" w:eastAsia="方正仿宋_GBK" w:cs="Times New Roman"/>
          <w:color w:val="auto"/>
          <w:sz w:val="32"/>
          <w:szCs w:val="32"/>
          <w:highlight w:val="none"/>
        </w:rPr>
        <w:t>万元，预算执行率为</w:t>
      </w:r>
      <w:r>
        <w:rPr>
          <w:rFonts w:hint="eastAsia" w:eastAsia="方正仿宋_GBK" w:cs="Times New Roman"/>
          <w:color w:val="auto"/>
          <w:sz w:val="32"/>
          <w:szCs w:val="32"/>
          <w:highlight w:val="none"/>
          <w:lang w:val="en-US" w:eastAsia="zh-CN"/>
        </w:rPr>
        <w:t>60.25</w:t>
      </w:r>
      <w:r>
        <w:rPr>
          <w:rFonts w:hint="default" w:ascii="Times New Roman" w:hAnsi="Times New Roman" w:eastAsia="方正仿宋_GBK" w:cs="Times New Roman"/>
          <w:color w:val="auto"/>
          <w:sz w:val="32"/>
          <w:szCs w:val="32"/>
          <w:highlight w:val="none"/>
        </w:rPr>
        <w:t>%，</w:t>
      </w:r>
      <w:r>
        <w:rPr>
          <w:rFonts w:hint="eastAsia" w:eastAsia="方正仿宋_GBK" w:cs="Times New Roman"/>
          <w:color w:val="auto"/>
          <w:sz w:val="32"/>
          <w:szCs w:val="32"/>
          <w:highlight w:val="none"/>
          <w:lang w:val="en-US" w:eastAsia="zh-CN"/>
        </w:rPr>
        <w:t>项目绩效指标总体完成率为91.96%</w:t>
      </w:r>
      <w:bookmarkStart w:id="3" w:name="_GoBack"/>
      <w:bookmarkEnd w:id="3"/>
      <w:r>
        <w:rPr>
          <w:rFonts w:hint="default" w:ascii="Times New Roman" w:hAnsi="Times New Roman" w:eastAsia="方正仿宋_GBK" w:cs="Times New Roman"/>
          <w:color w:val="auto"/>
          <w:sz w:val="32"/>
          <w:szCs w:val="32"/>
          <w:highlight w:val="none"/>
          <w:lang w:eastAsia="zh-Hans"/>
        </w:rPr>
        <w:t>，总体</w:t>
      </w:r>
      <w:r>
        <w:rPr>
          <w:rFonts w:hint="eastAsia" w:eastAsia="方正仿宋_GBK" w:cs="Times New Roman"/>
          <w:color w:val="auto"/>
          <w:sz w:val="32"/>
          <w:szCs w:val="32"/>
          <w:highlight w:val="none"/>
          <w:lang w:val="en-US" w:eastAsia="zh-CN"/>
        </w:rPr>
        <w:t>偏差率为8.04%</w:t>
      </w:r>
      <w:r>
        <w:rPr>
          <w:rFonts w:hint="eastAsia" w:ascii="Times New Roman" w:hAnsi="Times New Roman" w:eastAsia="方正仿宋_GBK" w:cs="Times New Roman"/>
          <w:color w:val="auto"/>
          <w:sz w:val="32"/>
          <w:szCs w:val="32"/>
          <w:highlight w:val="none"/>
          <w:lang w:eastAsia="zh-CN"/>
        </w:rPr>
        <w:t>，</w:t>
      </w:r>
      <w:r>
        <w:rPr>
          <w:rFonts w:hint="default" w:ascii="Times New Roman" w:hAnsi="Times New Roman" w:eastAsia="方正仿宋_GBK" w:cs="Times New Roman"/>
          <w:color w:val="auto"/>
          <w:sz w:val="32"/>
          <w:szCs w:val="32"/>
          <w:highlight w:val="none"/>
          <w:lang w:eastAsia="zh-Hans"/>
        </w:rPr>
        <w:t>偏差</w:t>
      </w:r>
      <w:r>
        <w:rPr>
          <w:rFonts w:hint="default" w:ascii="Times New Roman" w:hAnsi="Times New Roman" w:eastAsia="方正仿宋_GBK" w:cs="Times New Roman"/>
          <w:color w:val="auto"/>
          <w:sz w:val="32"/>
          <w:szCs w:val="32"/>
          <w:highlight w:val="none"/>
        </w:rPr>
        <w:t>原因</w:t>
      </w:r>
      <w:r>
        <w:rPr>
          <w:rFonts w:hint="eastAsia" w:eastAsia="方正仿宋_GBK" w:cs="Times New Roman"/>
          <w:color w:val="auto"/>
          <w:sz w:val="32"/>
          <w:szCs w:val="32"/>
          <w:highlight w:val="none"/>
          <w:lang w:eastAsia="zh-CN"/>
        </w:rPr>
        <w:t>：</w:t>
      </w:r>
      <w:r>
        <w:rPr>
          <w:rFonts w:hint="eastAsia" w:eastAsia="方正仿宋_GBK" w:cs="Times New Roman"/>
          <w:color w:val="auto"/>
          <w:sz w:val="32"/>
          <w:szCs w:val="32"/>
          <w:highlight w:val="none"/>
          <w:lang w:val="en-US" w:eastAsia="zh-CN"/>
        </w:rPr>
        <w:t>资金支付手续未按时准备不及时</w:t>
      </w:r>
      <w:r>
        <w:rPr>
          <w:rFonts w:hint="default" w:ascii="Times New Roman" w:hAnsi="Times New Roman" w:eastAsia="方正仿宋_GBK" w:cs="Times New Roman"/>
          <w:color w:val="auto"/>
          <w:sz w:val="32"/>
          <w:szCs w:val="32"/>
          <w:highlight w:val="none"/>
        </w:rPr>
        <w:t>，</w:t>
      </w:r>
      <w:r>
        <w:rPr>
          <w:rFonts w:hint="default" w:ascii="Times New Roman" w:hAnsi="Times New Roman" w:eastAsia="方正仿宋_GBK" w:cs="Times New Roman"/>
          <w:color w:val="auto"/>
          <w:sz w:val="32"/>
          <w:szCs w:val="32"/>
          <w:highlight w:val="none"/>
          <w:lang w:eastAsia="zh-Hans"/>
        </w:rPr>
        <w:t>改进</w:t>
      </w:r>
      <w:r>
        <w:rPr>
          <w:rFonts w:hint="default" w:ascii="Times New Roman" w:hAnsi="Times New Roman" w:eastAsia="方正仿宋_GBK" w:cs="Times New Roman"/>
          <w:color w:val="auto"/>
          <w:sz w:val="32"/>
          <w:szCs w:val="32"/>
          <w:highlight w:val="none"/>
        </w:rPr>
        <w:t>措施</w:t>
      </w:r>
      <w:r>
        <w:rPr>
          <w:rFonts w:hint="eastAsia" w:eastAsia="方正仿宋_GBK" w:cs="Times New Roman"/>
          <w:color w:val="auto"/>
          <w:sz w:val="32"/>
          <w:szCs w:val="32"/>
          <w:highlight w:val="none"/>
          <w:lang w:val="en-US" w:eastAsia="zh-CN"/>
        </w:rPr>
        <w:t>：今后的项目支出凭证会尽快办理</w:t>
      </w:r>
      <w:r>
        <w:rPr>
          <w:rFonts w:hint="default" w:ascii="Times New Roman" w:hAnsi="Times New Roman" w:eastAsia="方正仿宋_GBK" w:cs="Times New Roman"/>
          <w:color w:val="auto"/>
          <w:sz w:val="32"/>
          <w:szCs w:val="32"/>
          <w:highlight w:val="none"/>
        </w:rPr>
        <w:t>。</w:t>
      </w:r>
    </w:p>
    <w:p>
      <w:pPr>
        <w:spacing w:line="560" w:lineRule="exact"/>
        <w:ind w:firstLine="640" w:firstLineChars="200"/>
        <w:rPr>
          <w:rStyle w:val="18"/>
          <w:rFonts w:hint="default" w:ascii="Times New Roman" w:hAnsi="Times New Roman" w:cs="Times New Roman"/>
          <w:color w:val="auto"/>
          <w:highlight w:val="none"/>
        </w:rPr>
      </w:pPr>
      <w:r>
        <w:rPr>
          <w:rFonts w:hint="eastAsia" w:eastAsia="黑体" w:cs="Times New Roman"/>
          <w:color w:val="auto"/>
          <w:sz w:val="32"/>
          <w:szCs w:val="32"/>
          <w:highlight w:val="none"/>
          <w:lang w:val="en-US" w:eastAsia="zh-CN"/>
        </w:rPr>
        <w:t>五</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黑体" w:cs="Times New Roman"/>
          <w:color w:val="auto"/>
          <w:sz w:val="32"/>
          <w:szCs w:val="32"/>
          <w:highlight w:val="none"/>
        </w:rPr>
        <w:t>主要经验及做法、存在的问题及原因分析</w:t>
      </w:r>
    </w:p>
    <w:p>
      <w:pPr>
        <w:spacing w:line="560" w:lineRule="exact"/>
        <w:ind w:firstLine="627" w:firstLineChars="200"/>
        <w:rPr>
          <w:rFonts w:hint="default" w:ascii="Times New Roman" w:hAnsi="Times New Roman" w:eastAsia="楷体" w:cs="Times New Roman"/>
          <w:b/>
          <w:color w:val="auto"/>
          <w:spacing w:val="-4"/>
          <w:sz w:val="32"/>
          <w:szCs w:val="32"/>
          <w:highlight w:val="none"/>
        </w:rPr>
      </w:pPr>
      <w:r>
        <w:rPr>
          <w:rFonts w:hint="default" w:ascii="Times New Roman" w:hAnsi="Times New Roman" w:eastAsia="楷体" w:cs="Times New Roman"/>
          <w:b/>
          <w:color w:val="auto"/>
          <w:spacing w:val="-4"/>
          <w:sz w:val="32"/>
          <w:szCs w:val="32"/>
          <w:highlight w:val="none"/>
        </w:rPr>
        <w:t>（一）主要经验及做法</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在项目资金使用过程中，严格落实把关，再三审核。</w:t>
      </w:r>
      <w:r>
        <w:rPr>
          <w:rFonts w:hint="eastAsia" w:eastAsia="仿宋_GB2312" w:cs="Times New Roman"/>
          <w:color w:val="auto"/>
          <w:sz w:val="32"/>
          <w:szCs w:val="32"/>
          <w:highlight w:val="none"/>
          <w:lang w:val="en-US" w:eastAsia="zh-CN"/>
        </w:rPr>
        <w:t>同时</w:t>
      </w:r>
      <w:r>
        <w:rPr>
          <w:rFonts w:hint="default" w:ascii="Times New Roman" w:hAnsi="Times New Roman" w:eastAsia="仿宋_GB2312" w:cs="Times New Roman"/>
          <w:color w:val="auto"/>
          <w:sz w:val="32"/>
          <w:szCs w:val="32"/>
          <w:highlight w:val="none"/>
        </w:rPr>
        <w:t>做好监督检查</w:t>
      </w:r>
      <w:r>
        <w:rPr>
          <w:rFonts w:hint="eastAsia" w:eastAsia="仿宋_GB2312" w:cs="Times New Roman"/>
          <w:color w:val="auto"/>
          <w:sz w:val="32"/>
          <w:szCs w:val="32"/>
          <w:highlight w:val="none"/>
          <w:lang w:val="en-US" w:eastAsia="zh-CN"/>
        </w:rPr>
        <w:t>工作</w:t>
      </w:r>
      <w:r>
        <w:rPr>
          <w:rFonts w:hint="default" w:ascii="Times New Roman" w:hAnsi="Times New Roman" w:eastAsia="仿宋_GB2312" w:cs="Times New Roman"/>
          <w:color w:val="auto"/>
          <w:sz w:val="32"/>
          <w:szCs w:val="32"/>
          <w:highlight w:val="none"/>
        </w:rPr>
        <w:t>，严格按照项目管理规范进行，按照项目资金使用范围做好审核工作，让项目资金落于实处。</w:t>
      </w:r>
    </w:p>
    <w:p>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在项目完成后，</w:t>
      </w:r>
      <w:r>
        <w:rPr>
          <w:rFonts w:hint="eastAsia" w:eastAsia="仿宋_GB2312" w:cs="Times New Roman"/>
          <w:color w:val="auto"/>
          <w:sz w:val="32"/>
          <w:szCs w:val="32"/>
          <w:highlight w:val="none"/>
          <w:lang w:val="en-US" w:eastAsia="zh-CN"/>
        </w:rPr>
        <w:t>通过利益相关深度，公众参与评价，通过问卷满意度调查，盛情邀请退休人员进行评价填写，将群众的意见纳入评价结果，</w:t>
      </w:r>
      <w:r>
        <w:rPr>
          <w:rFonts w:hint="default" w:ascii="Times New Roman" w:hAnsi="Times New Roman" w:eastAsia="仿宋_GB2312" w:cs="Times New Roman"/>
          <w:color w:val="auto"/>
          <w:sz w:val="32"/>
          <w:szCs w:val="32"/>
          <w:highlight w:val="none"/>
        </w:rPr>
        <w:t>做好调查工作。</w:t>
      </w:r>
    </w:p>
    <w:p>
      <w:pPr>
        <w:keepNext/>
        <w:keepLines/>
        <w:numPr>
          <w:ilvl w:val="0"/>
          <w:numId w:val="5"/>
        </w:numP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存在的问题及原因分析</w:t>
      </w:r>
    </w:p>
    <w:p>
      <w:pPr>
        <w:shd w:val="clear"/>
        <w:spacing w:line="600" w:lineRule="exact"/>
        <w:ind w:firstLine="960" w:firstLineChars="3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基层财务工作基础还需进一步夯实，财务工作人员少，工作压力大，财务工作水平仍需要进一步提高。面对这些问题我们将认真分析，切实加以解决，进一步完善财务制度，规范财经纪律，严格控制非生产性开支，进一步提高项目支出水平。</w:t>
      </w:r>
    </w:p>
    <w:p>
      <w:pPr>
        <w:spacing w:line="560" w:lineRule="exact"/>
        <w:ind w:firstLine="640" w:firstLineChars="200"/>
        <w:rPr>
          <w:rFonts w:hint="default" w:ascii="Times New Roman" w:hAnsi="Times New Roman" w:eastAsia="黑体" w:cs="Times New Roman"/>
          <w:color w:val="auto"/>
          <w:sz w:val="32"/>
          <w:szCs w:val="32"/>
          <w:highlight w:val="none"/>
        </w:rPr>
      </w:pPr>
      <w:r>
        <w:rPr>
          <w:rFonts w:hint="eastAsia" w:ascii="Times New Roman" w:hAnsi="Times New Roman" w:eastAsia="黑体" w:cs="Times New Roman"/>
          <w:color w:val="auto"/>
          <w:sz w:val="32"/>
          <w:szCs w:val="32"/>
          <w:highlight w:val="none"/>
          <w:lang w:val="en-US" w:eastAsia="zh-CN"/>
        </w:rPr>
        <w:t>六</w:t>
      </w:r>
      <w:r>
        <w:rPr>
          <w:rFonts w:hint="default" w:ascii="Times New Roman" w:hAnsi="Times New Roman" w:eastAsia="黑体" w:cs="Times New Roman"/>
          <w:color w:val="auto"/>
          <w:sz w:val="32"/>
          <w:szCs w:val="32"/>
          <w:highlight w:val="none"/>
          <w:lang w:val="en-US" w:eastAsia="zh-CN"/>
        </w:rPr>
        <w:t>.</w:t>
      </w:r>
      <w:r>
        <w:rPr>
          <w:rFonts w:hint="default" w:ascii="Times New Roman" w:hAnsi="Times New Roman" w:eastAsia="黑体" w:cs="Times New Roman"/>
          <w:color w:val="auto"/>
          <w:sz w:val="32"/>
          <w:szCs w:val="32"/>
          <w:highlight w:val="none"/>
        </w:rPr>
        <w:t>有关建议</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多进行有关绩效管理工作方面的培训。积极组织第三方开展绩效管理工作培训，进一步夯实业务基础，提高我单位绩效人员水平。规范项目建设的程序严格执行资金管理办法和财政资金管理制度，严格按照项目实施方案稳步推进工作，根据自己项目的特点进行总结。</w:t>
      </w:r>
    </w:p>
    <w:p>
      <w:pPr>
        <w:spacing w:line="560" w:lineRule="exact"/>
        <w:ind w:firstLine="640" w:firstLineChars="200"/>
        <w:rPr>
          <w:rFonts w:hint="default" w:ascii="Times New Roman" w:hAnsi="Times New Roman" w:eastAsia="黑体" w:cs="Times New Roman"/>
          <w:color w:val="auto"/>
          <w:sz w:val="32"/>
          <w:szCs w:val="32"/>
          <w:highlight w:val="none"/>
        </w:rPr>
      </w:pPr>
      <w:r>
        <w:rPr>
          <w:rFonts w:hint="eastAsia" w:eastAsia="黑体" w:cs="Times New Roman"/>
          <w:color w:val="auto"/>
          <w:sz w:val="32"/>
          <w:szCs w:val="32"/>
          <w:highlight w:val="none"/>
          <w:lang w:val="en-US" w:eastAsia="zh-CN"/>
        </w:rPr>
        <w:t>七</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黑体" w:cs="Times New Roman"/>
          <w:color w:val="auto"/>
          <w:sz w:val="32"/>
          <w:szCs w:val="32"/>
          <w:highlight w:val="none"/>
        </w:rPr>
        <w:t>其他需要说</w:t>
      </w:r>
      <w:bookmarkStart w:id="0" w:name="page8"/>
      <w:bookmarkEnd w:id="0"/>
      <w:r>
        <w:rPr>
          <w:rFonts w:hint="default" w:ascii="Times New Roman" w:hAnsi="Times New Roman" w:eastAsia="黑体" w:cs="Times New Roman"/>
          <w:color w:val="auto"/>
          <w:sz w:val="32"/>
          <w:szCs w:val="32"/>
          <w:highlight w:val="none"/>
        </w:rPr>
        <w:t>明的问题</w:t>
      </w:r>
    </w:p>
    <w:p>
      <w:pPr>
        <w:pStyle w:val="13"/>
        <w:spacing w:after="0" w:line="560" w:lineRule="exact"/>
        <w:ind w:left="0" w:leftChars="0" w:firstLine="640"/>
        <w:rPr>
          <w:rFonts w:hint="eastAsia"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Hans"/>
        </w:rPr>
        <w:t>本项目无其他需说明的问题。</w:t>
      </w:r>
    </w:p>
    <w:p>
      <w:pPr>
        <w:pStyle w:val="13"/>
        <w:spacing w:after="0" w:line="560" w:lineRule="exact"/>
        <w:ind w:left="0" w:leftChars="0" w:firstLine="0" w:firstLineChars="0"/>
        <w:rPr>
          <w:rFonts w:hint="default" w:ascii="Times New Roman" w:hAnsi="Times New Roman" w:eastAsia="仿宋_GB2312" w:cs="Times New Roman"/>
          <w:color w:val="auto"/>
          <w:sz w:val="32"/>
          <w:szCs w:val="32"/>
          <w:highlight w:val="none"/>
        </w:rPr>
      </w:pPr>
    </w:p>
    <w:p>
      <w:pPr>
        <w:spacing w:line="600" w:lineRule="exact"/>
        <w:rPr>
          <w:rFonts w:hint="eastAsia" w:ascii="Times New Roman" w:hAnsi="Times New Roman" w:eastAsia="黑体" w:cs="Times New Roman"/>
          <w:color w:val="auto"/>
          <w:sz w:val="32"/>
          <w:szCs w:val="32"/>
          <w:highlight w:val="none"/>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pPr>
        <w:spacing w:line="600" w:lineRule="exact"/>
        <w:rPr>
          <w:rFonts w:hint="eastAsia" w:eastAsia="黑体" w:cs="Times New Roman"/>
          <w:color w:val="auto"/>
          <w:sz w:val="32"/>
          <w:szCs w:val="32"/>
          <w:highlight w:val="none"/>
          <w:lang w:val="en-US" w:eastAsia="zh-CN"/>
        </w:rPr>
      </w:pPr>
      <w:r>
        <w:rPr>
          <w:rFonts w:hint="eastAsia" w:ascii="Times New Roman" w:hAnsi="Times New Roman" w:eastAsia="黑体" w:cs="Times New Roman"/>
          <w:color w:val="auto"/>
          <w:sz w:val="32"/>
          <w:szCs w:val="32"/>
          <w:highlight w:val="none"/>
          <w:lang w:val="en-US" w:eastAsia="zh-CN"/>
        </w:rPr>
        <w:t>附件</w:t>
      </w:r>
      <w:r>
        <w:rPr>
          <w:rFonts w:hint="eastAsia" w:eastAsia="黑体" w:cs="Times New Roman"/>
          <w:color w:val="auto"/>
          <w:sz w:val="32"/>
          <w:szCs w:val="32"/>
          <w:highlight w:val="none"/>
          <w:lang w:val="en-US" w:eastAsia="zh-CN"/>
        </w:rPr>
        <w:t>1</w:t>
      </w:r>
    </w:p>
    <w:p>
      <w:pPr>
        <w:pStyle w:val="19"/>
        <w:ind w:firstLine="562"/>
        <w:jc w:val="center"/>
        <w:rPr>
          <w:rFonts w:hint="eastAsia" w:ascii="仿宋_GB2312" w:hAnsi="仿宋_GB2312" w:eastAsia="仿宋_GB2312" w:cs="仿宋_GB2312"/>
          <w:color w:val="auto"/>
          <w:sz w:val="28"/>
          <w:szCs w:val="40"/>
          <w:highlight w:val="none"/>
        </w:rPr>
      </w:pPr>
      <w:bookmarkStart w:id="1" w:name="_Toc30064_WPSOffice_Level1"/>
      <w:bookmarkStart w:id="2" w:name="_Toc26499_WPSOffice_Level2"/>
      <w:r>
        <w:rPr>
          <w:rFonts w:hint="default" w:ascii="仿宋_GB2312" w:hAnsi="仿宋_GB2312" w:eastAsia="仿宋_GB2312" w:cs="仿宋_GB2312"/>
          <w:b/>
          <w:bCs/>
          <w:color w:val="auto"/>
          <w:sz w:val="28"/>
          <w:szCs w:val="40"/>
          <w:highlight w:val="none"/>
          <w:lang w:val="en-US" w:eastAsia="zh-CN"/>
        </w:rPr>
        <w:t>巴财建[2023]66号2023年新疆专项[第一批]中央基建投资预算</w:t>
      </w:r>
      <w:r>
        <w:rPr>
          <w:rFonts w:hint="eastAsia" w:ascii="仿宋_GB2312" w:hAnsi="仿宋_GB2312" w:eastAsia="仿宋_GB2312" w:cs="仿宋_GB2312"/>
          <w:b/>
          <w:bCs/>
          <w:color w:val="auto"/>
          <w:sz w:val="28"/>
          <w:szCs w:val="40"/>
          <w:highlight w:val="none"/>
        </w:rPr>
        <w:t>项目绩效评价指标体系及综合评分表</w:t>
      </w:r>
      <w:bookmarkEnd w:id="1"/>
      <w:bookmarkEnd w:id="2"/>
    </w:p>
    <w:tbl>
      <w:tblPr>
        <w:tblStyle w:val="14"/>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004"/>
        <w:gridCol w:w="1000"/>
        <w:gridCol w:w="1071"/>
        <w:gridCol w:w="1726"/>
        <w:gridCol w:w="5216"/>
        <w:gridCol w:w="1300"/>
        <w:gridCol w:w="13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396"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一级指标</w:t>
            </w: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二级指标</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三级指标</w:t>
            </w:r>
          </w:p>
        </w:tc>
        <w:tc>
          <w:tcPr>
            <w:tcW w:w="680"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指标解释</w:t>
            </w:r>
          </w:p>
        </w:tc>
        <w:tc>
          <w:tcPr>
            <w:tcW w:w="2055"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指标说明</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权重</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p>
            <w:pPr>
              <w:widowControl/>
              <w:spacing w:line="0" w:lineRule="atLeast"/>
              <w:jc w:val="center"/>
              <w:rPr>
                <w:rFonts w:hint="default" w:ascii="Times New Roman" w:hAnsi="Times New Roman" w:eastAsia="仿宋_GB2312" w:cs="Times New Roman"/>
                <w:color w:val="auto"/>
                <w:kern w:val="0"/>
                <w:sz w:val="18"/>
                <w:szCs w:val="18"/>
                <w:highlight w:val="none"/>
              </w:rPr>
            </w:pPr>
          </w:p>
          <w:p>
            <w:pPr>
              <w:widowControl/>
              <w:spacing w:line="0" w:lineRule="atLeast"/>
              <w:jc w:val="center"/>
              <w:rPr>
                <w:rFonts w:hint="default" w:ascii="Times New Roman" w:hAnsi="Times New Roman" w:eastAsia="仿宋_GB2312" w:cs="Times New Roman"/>
                <w:color w:val="auto"/>
                <w:kern w:val="0"/>
                <w:sz w:val="18"/>
                <w:szCs w:val="18"/>
                <w:highlight w:val="none"/>
              </w:rPr>
            </w:pPr>
          </w:p>
          <w:p>
            <w:pPr>
              <w:widowControl/>
              <w:spacing w:line="0" w:lineRule="atLeast"/>
              <w:jc w:val="center"/>
              <w:rPr>
                <w:rFonts w:hint="default" w:ascii="Times New Roman" w:hAnsi="Times New Roman" w:eastAsia="仿宋_GB2312" w:cs="Times New Roman"/>
                <w:color w:val="auto"/>
                <w:kern w:val="0"/>
                <w:sz w:val="18"/>
                <w:szCs w:val="18"/>
                <w:highlight w:val="none"/>
              </w:rPr>
            </w:pPr>
          </w:p>
          <w:p>
            <w:pPr>
              <w:widowControl/>
              <w:spacing w:line="0" w:lineRule="atLeast"/>
              <w:jc w:val="center"/>
              <w:rPr>
                <w:rFonts w:hint="default" w:ascii="Times New Roman" w:hAnsi="Times New Roman" w:eastAsia="仿宋_GB2312" w:cs="Times New Roman"/>
                <w:color w:val="auto"/>
                <w:kern w:val="0"/>
                <w:sz w:val="18"/>
                <w:szCs w:val="18"/>
                <w:highlight w:val="none"/>
              </w:rPr>
            </w:pPr>
          </w:p>
          <w:p>
            <w:pPr>
              <w:widowControl/>
              <w:spacing w:line="0" w:lineRule="atLeast"/>
              <w:jc w:val="center"/>
              <w:rPr>
                <w:rFonts w:hint="default" w:ascii="Times New Roman" w:hAnsi="Times New Roman" w:eastAsia="仿宋_GB2312" w:cs="Times New Roman"/>
                <w:color w:val="auto"/>
                <w:kern w:val="0"/>
                <w:sz w:val="18"/>
                <w:szCs w:val="18"/>
                <w:highlight w:val="none"/>
              </w:rPr>
            </w:pP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决策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项目立项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立项依据</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充分性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项目立项是否符合法律法规、相关政策、发展规划以及部门职责，用以反映和考核项目立项依据情况。</w:t>
            </w:r>
          </w:p>
        </w:tc>
        <w:tc>
          <w:tcPr>
            <w:tcW w:w="2055" w:type="pct"/>
            <w:shd w:val="clear" w:color="auto" w:fill="FFFFFF"/>
            <w:vAlign w:val="center"/>
          </w:tcPr>
          <w:p>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②项目立项是否符合行业发展规划和政策要求；</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③项目立项是否与部门职责范围相符，属于部门履职所需；</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⑤项目是否与相关部门同类项目或部门内部相关项目重复。</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立项程序</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规范性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项目申请、设立过程是否符合相关要求，用以反映和考核项目立项的规范情况。</w:t>
            </w:r>
          </w:p>
        </w:tc>
        <w:tc>
          <w:tcPr>
            <w:tcW w:w="2055" w:type="pct"/>
            <w:shd w:val="clear" w:color="auto" w:fill="FFFFFF"/>
            <w:vAlign w:val="center"/>
          </w:tcPr>
          <w:p>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①项目是否按照规定的程序申请设立；</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②审批文件、材料是否符合相关要求；</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③事前是否已经过必要的可行性研究、专家论证、风险评估、绩效评估、集体决策。</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绩效目标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绩效目标</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合理性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项目所设定的绩效目标是否依据充分，是否符合客观实际，用以反映和考核项目绩效目标与项目实施的相符情况。</w:t>
            </w:r>
          </w:p>
        </w:tc>
        <w:tc>
          <w:tcPr>
            <w:tcW w:w="2055" w:type="pct"/>
            <w:shd w:val="clear" w:color="000000" w:fill="FFFFFF"/>
            <w:vAlign w:val="center"/>
          </w:tcPr>
          <w:p>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（如未设定预算绩效目标，也可考核其他工作任务目标）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①项目是否有绩效目标；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②项目绩效目标与实际工作内容是否具有相关性；</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③项目预期产出效益和效果是否符合正常的业绩水平；</w:t>
            </w:r>
          </w:p>
          <w:p>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④是否与预算确定的项目投资额或资金量相匹配。</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绩效指标</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明确性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依据绩效目标设定的绩效指标是否清晰、细化、可衡量等，用以反映和考核项目绩效目标的明细化情况。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①是否将项目绩效目标细化分解为具体的绩效指标；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②是否通过清晰、可衡量的指标值予以体现；</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③是否与项目目标任务数或计划数相对应。</w:t>
            </w:r>
            <w:r>
              <w:rPr>
                <w:rFonts w:hint="default" w:ascii="Times New Roman" w:hAnsi="Times New Roman" w:eastAsia="仿宋_GB2312" w:cs="Times New Roman"/>
                <w:color w:val="auto"/>
                <w:kern w:val="0"/>
                <w:sz w:val="18"/>
                <w:szCs w:val="18"/>
                <w:highlight w:val="none"/>
              </w:rPr>
              <w:br w:type="textWrapping"/>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资金投入</w:t>
            </w:r>
          </w:p>
          <w:p>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预算编制</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科学性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项目预算编制是否经过科学论证、有明确标准，资金额度与年度目标是否相适应，用以反映和考核项目预算编制的科学性、合理性情况。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①预算编制是否经过科学论证；</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②预算内容与项目内容是否匹配；</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③预算额度测算依据是否充分，是否按照标准编制；</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④预算确定的项目投资额或资金量是否与工作任务相匹配。</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资金分配</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合理性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项目预算资金分配是否有测算依据，与补助单位或地方实际是否相适应，用以反映和考核项目预算资金分配的科学性、合理性情况。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①预算资金分配依据是否充分；</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②资金分配额度是否合理，与项目单位或地方实际是否相适应。</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96" w:type="pct"/>
            <w:vMerge w:val="restart"/>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过程</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资金管理</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资金到位率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实际到位资金与预算资金的比率，用以反映和考核资金落实情况对项目实施的总体保障程度。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资金到位率=（实际到位资金/预算资金）×100%。</w:t>
            </w:r>
          </w:p>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实际到位资金：一定时期（本年度或项目期）内落实到具体项目的资金。</w:t>
            </w:r>
          </w:p>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预算资金：一定时期（本年度或项目期）内预算安排到具体项目的资金。</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预算执行率</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项目预算资金是否按照计划执行，用以反映或考核项目预算执行情况。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预算执行率=（实际支出资金/实际到位资金）×100%。</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实际支出资金：一定时期（本年度或项目期）内项目实际拨付的资金。</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2.41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资金管理</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资金使用</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合规性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项目资金使用是否符合相关的财务管理制度规定，用以反映和考核项目资金的规范运行情况。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②资金的拨付是否有完整的审批程序和手续；</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③是否符合项目预算批复或合同规定的用途；</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④是否存在截留、挤占、挪用、虚列支出等情况。</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组织实施</w:t>
            </w:r>
          </w:p>
          <w:p>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管理制度</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健全性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项目实施单位的财务和业务管理制度是否健全，用以反映和考核财务和业务管理制度对项目顺利实施的保障情况。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①是否已制定或具有相应的财务和业务管理制度；</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②财务和业务管理制度是否合法、合规、完整。</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制度执行</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有效性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项目实施是否符合相关管理规定，用以反映和考核相关管理制度的有效执行情况。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①是否遵守相关法律法规和相关管理规定；</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②项目调整及支出调整手续是否完备；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③项目合同书、验收报告、技术鉴定等资料是否齐全并及时归档；</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④项目实施的人员条件、场地设备、信息支撑等是否落实到位。</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w:t>
            </w: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产出数量</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实际完成率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项目实施的实际产出数与计划产出数的比率，用以反映和考核项目产出数量目标的实现程度。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实际完成率=（实际产出数/计划产出数）×100%。</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计划产出数：项目绩效目标确定的在一定时期（本年度或项目期）内计划产出的产品或提供的服务数量。</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产出质量</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质量达标率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项目完成的质量达标产出数与实际产出数的比率，用以反映和考核项目产出质量目标的实现程度。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质量达标率=（质量达标产出数/实际产出数）×100%。</w:t>
            </w:r>
          </w:p>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产出时效</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完成及时性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项目实际完成时间与计划完成时间的比较，用以反映和考核项目产出时效目标的实现程度。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实际完成时间：项目实施单位完成该项目实际所耗用的时间。</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计划完成时间：按照项目实施计划或相关规定完成该项目所需的时间。</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产出成本</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成本节约率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完成项目计划工作目标的实际节约成本与计划成本的比率，用以反映和考核项目的成本节约程度。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成本节约率=[（计划成本-实际成本）/计划成本]×100%。</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计划成本：项目实施单位为完成工作目标计划安排的支出，一般以项目预算为参考。</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效益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项目效益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实施效益</w:t>
            </w:r>
          </w:p>
        </w:tc>
        <w:tc>
          <w:tcPr>
            <w:tcW w:w="680" w:type="pct"/>
            <w:shd w:val="clear" w:color="auto" w:fill="FFFFFF"/>
            <w:vAlign w:val="center"/>
          </w:tcPr>
          <w:p>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项目实施所产生的效益。</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项目实施所产生的社会效益、经济效益、生态效益、可持续影响等。可根据项目实际情况有选择地设置和细化。</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满意度</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社会公众或服务对象对项目实施效果的满意程度。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社会公众或服务对象是指因该项目实施而受到影响的部门（单位）、群体或个人。一般采取社会调查的方式。</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bl>
    <w:p>
      <w:pPr>
        <w:rPr>
          <w:rFonts w:hint="default" w:ascii="Times New Roman" w:hAnsi="Times New Roman" w:cs="Times New Roman"/>
          <w:color w:val="auto"/>
          <w:highlight w:val="none"/>
        </w:rPr>
        <w:sectPr>
          <w:pgSz w:w="16838" w:h="11906" w:orient="landscape"/>
          <w:pgMar w:top="1800" w:right="1440" w:bottom="1558" w:left="1440" w:header="851" w:footer="992" w:gutter="0"/>
          <w:cols w:space="425" w:num="1"/>
          <w:docGrid w:type="lines" w:linePitch="312" w:charSpace="0"/>
        </w:sectPr>
      </w:pPr>
    </w:p>
    <w:p>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2</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u w:val="none"/>
          <w:lang w:val="en-US" w:eastAsia="zh-CN" w:bidi="ar"/>
        </w:rPr>
      </w:pPr>
      <w:r>
        <w:rPr>
          <w:rFonts w:hint="eastAsia" w:ascii="仿宋_GB2312" w:hAnsi="仿宋_GB2312" w:eastAsia="仿宋_GB2312" w:cs="仿宋_GB2312"/>
          <w:b/>
          <w:bCs/>
          <w:i w:val="0"/>
          <w:iCs w:val="0"/>
          <w:color w:val="000000"/>
          <w:kern w:val="0"/>
          <w:sz w:val="28"/>
          <w:szCs w:val="28"/>
          <w:u w:val="none"/>
          <w:lang w:val="en-US" w:eastAsia="zh-CN" w:bidi="ar"/>
        </w:rPr>
        <w:t>项目支出绩效自评表</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u w:val="none"/>
          <w:lang w:val="en-US" w:eastAsia="zh-CN" w:bidi="ar"/>
        </w:rPr>
      </w:pPr>
      <w:r>
        <w:rPr>
          <w:rFonts w:hint="default" w:ascii="Times New Roman" w:hAnsi="Times New Roman" w:eastAsia="仿宋_GB2312" w:cs="Times New Roman"/>
          <w:b/>
          <w:bCs/>
          <w:i w:val="0"/>
          <w:iCs w:val="0"/>
          <w:color w:val="000000"/>
          <w:kern w:val="0"/>
          <w:sz w:val="22"/>
          <w:szCs w:val="22"/>
          <w:u w:val="none"/>
          <w:lang w:val="en-US" w:eastAsia="zh-CN" w:bidi="ar"/>
        </w:rPr>
        <w:t>（ 2024年度）</w:t>
      </w:r>
    </w:p>
    <w:tbl>
      <w:tblPr>
        <w:tblStyle w:val="1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17"/>
        <w:gridCol w:w="1110"/>
        <w:gridCol w:w="1327"/>
        <w:gridCol w:w="1523"/>
        <w:gridCol w:w="816"/>
        <w:gridCol w:w="1164"/>
        <w:gridCol w:w="766"/>
        <w:gridCol w:w="669"/>
        <w:gridCol w:w="1208"/>
        <w:gridCol w:w="777"/>
        <w:gridCol w:w="1032"/>
        <w:gridCol w:w="830"/>
        <w:gridCol w:w="748"/>
        <w:gridCol w:w="12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1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项目名称</w:t>
            </w:r>
          </w:p>
        </w:tc>
        <w:tc>
          <w:tcPr>
            <w:tcW w:w="4284"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default" w:ascii="仿宋_GB2312" w:hAnsi="仿宋_GB2312" w:eastAsia="仿宋_GB2312" w:cs="仿宋_GB2312"/>
                <w:i w:val="0"/>
                <w:iCs w:val="0"/>
                <w:color w:val="000000"/>
                <w:kern w:val="0"/>
                <w:sz w:val="18"/>
                <w:szCs w:val="18"/>
                <w:u w:val="none"/>
                <w:lang w:val="en-US" w:eastAsia="zh-CN" w:bidi="ar"/>
              </w:rPr>
              <w:t>巴财建[2023]66号2023年新疆专项[第一批]中央基建投资预算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1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主管部门</w:t>
            </w:r>
          </w:p>
        </w:tc>
        <w:tc>
          <w:tcPr>
            <w:tcW w:w="197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库尔勒市永安街道办事处</w:t>
            </w:r>
          </w:p>
        </w:tc>
        <w:tc>
          <w:tcPr>
            <w:tcW w:w="6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实施单位</w:t>
            </w:r>
          </w:p>
        </w:tc>
        <w:tc>
          <w:tcPr>
            <w:tcW w:w="164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库尔勒市永安街道办事处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8" w:hRule="atLeast"/>
        </w:trPr>
        <w:tc>
          <w:tcPr>
            <w:tcW w:w="71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项目资金</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（万元）</w:t>
            </w:r>
          </w:p>
        </w:tc>
        <w:tc>
          <w:tcPr>
            <w:tcW w:w="10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资金来源</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年初预算数</w:t>
            </w:r>
          </w:p>
        </w:tc>
        <w:tc>
          <w:tcPr>
            <w:tcW w:w="68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全年预算数</w:t>
            </w:r>
          </w:p>
        </w:tc>
        <w:tc>
          <w:tcPr>
            <w:tcW w:w="6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全年执行数</w:t>
            </w: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分值权重</w:t>
            </w: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执行率</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1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0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年度资金总额</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300.00</w:t>
            </w:r>
          </w:p>
        </w:tc>
        <w:tc>
          <w:tcPr>
            <w:tcW w:w="68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300.00</w:t>
            </w:r>
          </w:p>
        </w:tc>
        <w:tc>
          <w:tcPr>
            <w:tcW w:w="6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180.74</w:t>
            </w: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60.25%</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1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0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其中：当年财政拨款</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300.00</w:t>
            </w:r>
          </w:p>
        </w:tc>
        <w:tc>
          <w:tcPr>
            <w:tcW w:w="68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300.00</w:t>
            </w:r>
          </w:p>
        </w:tc>
        <w:tc>
          <w:tcPr>
            <w:tcW w:w="6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180.74</w:t>
            </w: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rPr>
              <w:t>-</w:t>
            </w: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rPr>
              <w:t>-</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1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005" w:type="pct"/>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其他资金</w:t>
            </w:r>
          </w:p>
        </w:tc>
        <w:tc>
          <w:tcPr>
            <w:tcW w:w="287"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rPr>
              <w:t>0.00</w:t>
            </w:r>
          </w:p>
        </w:tc>
        <w:tc>
          <w:tcPr>
            <w:tcW w:w="680" w:type="pct"/>
            <w:gridSpan w:val="2"/>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rPr>
              <w:t>0.00</w:t>
            </w:r>
          </w:p>
        </w:tc>
        <w:tc>
          <w:tcPr>
            <w:tcW w:w="662" w:type="pct"/>
            <w:gridSpan w:val="2"/>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rPr>
              <w:t>0.00</w:t>
            </w: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rPr>
              <w:t>-</w:t>
            </w: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rPr>
              <w:t>-</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年度总体目标</w:t>
            </w:r>
          </w:p>
        </w:tc>
        <w:tc>
          <w:tcPr>
            <w:tcW w:w="3027"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总体目标</w:t>
            </w:r>
          </w:p>
        </w:tc>
        <w:tc>
          <w:tcPr>
            <w:tcW w:w="164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总体目标完成情况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0"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3027" w:type="pct"/>
            <w:gridSpan w:val="8"/>
            <w:tcBorders>
              <w:top w:val="single" w:color="000000" w:sz="4" w:space="0"/>
              <w:left w:val="single" w:color="000000" w:sz="4" w:space="0"/>
              <w:bottom w:val="single" w:color="000000" w:sz="4" w:space="0"/>
              <w:right w:val="single" w:color="000000" w:sz="4" w:space="0"/>
            </w:tcBorders>
            <w:shd w:val="clear" w:color="auto" w:fill="auto"/>
            <w:vAlign w:val="top"/>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目标1：建设1栋综合服务楼； 目标2：保障项目按进度实施</w:t>
            </w:r>
          </w:p>
        </w:tc>
        <w:tc>
          <w:tcPr>
            <w:tcW w:w="164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建设1栋综合服务楼；保障项目按进度实施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绩效指标</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一级指标</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二级指标</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三级指标</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指标值</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指标值设置依据</w:t>
            </w:r>
          </w:p>
        </w:tc>
        <w:tc>
          <w:tcPr>
            <w:tcW w:w="2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上年完成值</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指标分值权重</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指标赋分规则</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佐证资料</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指标实际完成值</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完成率</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指标得分</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39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产出指标</w:t>
            </w:r>
          </w:p>
        </w:tc>
        <w:tc>
          <w:tcPr>
            <w:tcW w:w="468"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数量指标</w:t>
            </w:r>
          </w:p>
        </w:tc>
        <w:tc>
          <w:tcPr>
            <w:tcW w:w="537"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建设综合服务楼数量</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top"/>
          </w:tcPr>
          <w:p>
            <w:pPr>
              <w:spacing w:beforeLines="0" w:afterLines="0"/>
              <w:jc w:val="left"/>
              <w:rPr>
                <w:rFonts w:hint="eastAsia" w:ascii="宋体" w:hAnsi="宋体" w:eastAsia="宋体" w:cs="Times New Roman"/>
                <w:color w:val="000000"/>
                <w:kern w:val="2"/>
                <w:sz w:val="20"/>
                <w:szCs w:val="24"/>
                <w:lang w:val="en-US" w:eastAsia="zh-CN" w:bidi="ar-SA"/>
              </w:rPr>
            </w:pPr>
            <w:r>
              <w:rPr>
                <w:rFonts w:hint="eastAsia" w:ascii="宋体" w:hAnsi="宋体"/>
                <w:color w:val="000000"/>
                <w:sz w:val="20"/>
                <w:szCs w:val="24"/>
              </w:rPr>
              <w:t>&gt;=1栋</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计划标准</w:t>
            </w:r>
          </w:p>
        </w:tc>
        <w:tc>
          <w:tcPr>
            <w:tcW w:w="2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20</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按照正常比例赋分</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工作资料</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=1栋</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20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39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质量指标</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资金使用合规率</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top"/>
          </w:tcPr>
          <w:p>
            <w:pPr>
              <w:spacing w:beforeLines="0" w:afterLines="0"/>
              <w:jc w:val="left"/>
              <w:rPr>
                <w:rFonts w:hint="eastAsia" w:ascii="宋体" w:hAnsi="宋体" w:eastAsia="宋体" w:cs="Times New Roman"/>
                <w:color w:val="000000"/>
                <w:kern w:val="2"/>
                <w:sz w:val="20"/>
                <w:szCs w:val="24"/>
                <w:lang w:val="en-US" w:eastAsia="zh-CN" w:bidi="ar-SA"/>
              </w:rPr>
            </w:pPr>
            <w:r>
              <w:rPr>
                <w:rFonts w:hint="eastAsia" w:ascii="宋体" w:hAnsi="宋体"/>
                <w:color w:val="000000"/>
                <w:sz w:val="20"/>
                <w:szCs w:val="24"/>
              </w:rPr>
              <w:t>=100%</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计划标准</w:t>
            </w:r>
          </w:p>
        </w:tc>
        <w:tc>
          <w:tcPr>
            <w:tcW w:w="2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按照正常比例赋分</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工作资料</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39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468"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时效指标</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资金支付及时率</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top"/>
          </w:tcPr>
          <w:p>
            <w:pPr>
              <w:spacing w:beforeLines="0" w:afterLines="0"/>
              <w:jc w:val="left"/>
              <w:rPr>
                <w:rFonts w:hint="eastAsia" w:ascii="宋体" w:hAnsi="宋体" w:eastAsia="宋体" w:cs="Times New Roman"/>
                <w:color w:val="000000"/>
                <w:kern w:val="2"/>
                <w:sz w:val="20"/>
                <w:szCs w:val="24"/>
                <w:lang w:val="en-US" w:eastAsia="zh-CN" w:bidi="ar-SA"/>
              </w:rPr>
            </w:pPr>
            <w:r>
              <w:rPr>
                <w:rFonts w:hint="eastAsia" w:ascii="宋体" w:hAnsi="宋体"/>
                <w:color w:val="000000"/>
                <w:sz w:val="20"/>
                <w:szCs w:val="24"/>
              </w:rPr>
              <w:t>=100%</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计划标准</w:t>
            </w:r>
          </w:p>
        </w:tc>
        <w:tc>
          <w:tcPr>
            <w:tcW w:w="2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按照正常比例赋分</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工作资料</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成本指标</w:t>
            </w:r>
          </w:p>
        </w:tc>
        <w:tc>
          <w:tcPr>
            <w:tcW w:w="468"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red"/>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经济成本指标</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工程预付款成本</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&lt;=88万元</w:t>
            </w:r>
          </w:p>
        </w:tc>
        <w:tc>
          <w:tcPr>
            <w:tcW w:w="410"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计划标准</w:t>
            </w:r>
          </w:p>
        </w:tc>
        <w:tc>
          <w:tcPr>
            <w:tcW w:w="2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26"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原始凭证</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=88万元</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工程预付款成本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p>
        </w:tc>
        <w:tc>
          <w:tcPr>
            <w:tcW w:w="468"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经济成本指标</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工程进度款成本</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&lt;=212万元</w:t>
            </w:r>
          </w:p>
        </w:tc>
        <w:tc>
          <w:tcPr>
            <w:tcW w:w="410"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计划标准</w:t>
            </w:r>
          </w:p>
        </w:tc>
        <w:tc>
          <w:tcPr>
            <w:tcW w:w="2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26"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原始凭证</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=92.74万元</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43.75%</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4.38</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工程进度款成本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391" w:type="pct"/>
            <w:tcBorders>
              <w:top w:val="single" w:color="000000" w:sz="4" w:space="0"/>
              <w:left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效益指标</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社会效益指标</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受益综合服务楼</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&gt;=1栋</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计划标准</w:t>
            </w:r>
          </w:p>
        </w:tc>
        <w:tc>
          <w:tcPr>
            <w:tcW w:w="2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工作资料</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=1栋</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受益综合服务楼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满意度指标</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满意度指标</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群众满意度</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&gt;=95%</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计划标准</w:t>
            </w:r>
          </w:p>
        </w:tc>
        <w:tc>
          <w:tcPr>
            <w:tcW w:w="2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工作资料</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0.95</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群众满意度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720" w:type="pct"/>
            <w:gridSpan w:val="4"/>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总分</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410" w:type="pct"/>
            <w:tcBorders>
              <w:top w:val="single" w:color="000000" w:sz="4" w:space="0"/>
              <w:left w:val="nil"/>
              <w:bottom w:val="single" w:color="000000" w:sz="4" w:space="0"/>
              <w:right w:val="single" w:color="000000" w:sz="4" w:space="0"/>
            </w:tcBorders>
            <w:shd w:val="clear" w:color="auto" w:fill="auto"/>
            <w:vAlign w:val="center"/>
          </w:tcPr>
          <w:p>
            <w:pPr>
              <w:rPr>
                <w:rFonts w:hint="eastAsia" w:ascii="仿宋_GB2312" w:hAnsi="仿宋_GB2312" w:eastAsia="仿宋_GB2312" w:cs="仿宋_GB2312"/>
                <w:b/>
                <w:bCs/>
                <w:i w:val="0"/>
                <w:iCs w:val="0"/>
                <w:color w:val="000000"/>
                <w:sz w:val="18"/>
                <w:szCs w:val="18"/>
                <w:u w:val="none"/>
              </w:rPr>
            </w:pPr>
          </w:p>
        </w:tc>
        <w:tc>
          <w:tcPr>
            <w:tcW w:w="2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u w:val="none"/>
              </w:rPr>
            </w:pP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84.38</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u w:val="none"/>
              </w:rPr>
            </w:pPr>
          </w:p>
        </w:tc>
      </w:tr>
    </w:tbl>
    <w:p>
      <w:pPr>
        <w:rPr>
          <w:rFonts w:hint="default" w:ascii="Times New Roman" w:hAnsi="Times New Roman" w:cs="Times New Roman"/>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7"/>
          <w:jc w:val="center"/>
        </w:pPr>
        <w:r>
          <w:fldChar w:fldCharType="begin"/>
        </w:r>
        <w:r>
          <w:instrText xml:space="preserve">PAGE   \* MERGEFORMAT</w:instrText>
        </w:r>
        <w:r>
          <w:fldChar w:fldCharType="separate"/>
        </w:r>
        <w:r>
          <w:rPr>
            <w:lang w:val="zh-CN"/>
          </w:rPr>
          <w:t>13</w:t>
        </w:r>
        <w: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00172A27"/>
    <w:rsid w:val="006F7242"/>
    <w:rsid w:val="007B168A"/>
    <w:rsid w:val="008B2CFE"/>
    <w:rsid w:val="00F26FF6"/>
    <w:rsid w:val="01610122"/>
    <w:rsid w:val="02243995"/>
    <w:rsid w:val="02435F21"/>
    <w:rsid w:val="02510197"/>
    <w:rsid w:val="03EC461B"/>
    <w:rsid w:val="0461077D"/>
    <w:rsid w:val="046A6AD6"/>
    <w:rsid w:val="05A55720"/>
    <w:rsid w:val="07397B77"/>
    <w:rsid w:val="0793300A"/>
    <w:rsid w:val="08681A96"/>
    <w:rsid w:val="0A05688E"/>
    <w:rsid w:val="0AD007F3"/>
    <w:rsid w:val="0E3C619F"/>
    <w:rsid w:val="0EA14FA9"/>
    <w:rsid w:val="100F38EC"/>
    <w:rsid w:val="109810A4"/>
    <w:rsid w:val="11170296"/>
    <w:rsid w:val="128817ED"/>
    <w:rsid w:val="12C66037"/>
    <w:rsid w:val="12CD1ABC"/>
    <w:rsid w:val="13471461"/>
    <w:rsid w:val="13B90F01"/>
    <w:rsid w:val="14473628"/>
    <w:rsid w:val="1482161F"/>
    <w:rsid w:val="149472B6"/>
    <w:rsid w:val="155E4C4D"/>
    <w:rsid w:val="16333739"/>
    <w:rsid w:val="174A36DB"/>
    <w:rsid w:val="181066D2"/>
    <w:rsid w:val="1A4A6FC5"/>
    <w:rsid w:val="1B8E6DAA"/>
    <w:rsid w:val="1C671E73"/>
    <w:rsid w:val="1D322C47"/>
    <w:rsid w:val="1F186D09"/>
    <w:rsid w:val="1F755707"/>
    <w:rsid w:val="1FA74DBF"/>
    <w:rsid w:val="20C06885"/>
    <w:rsid w:val="23616034"/>
    <w:rsid w:val="23696C97"/>
    <w:rsid w:val="24480FA2"/>
    <w:rsid w:val="25227A45"/>
    <w:rsid w:val="25276E09"/>
    <w:rsid w:val="2629095F"/>
    <w:rsid w:val="26AC3A6A"/>
    <w:rsid w:val="28985B9D"/>
    <w:rsid w:val="2B616971"/>
    <w:rsid w:val="2B8C11E4"/>
    <w:rsid w:val="2B9D7E25"/>
    <w:rsid w:val="2C7C7A3B"/>
    <w:rsid w:val="2D6160B6"/>
    <w:rsid w:val="2F364819"/>
    <w:rsid w:val="2FD63906"/>
    <w:rsid w:val="2FF14728"/>
    <w:rsid w:val="30931F25"/>
    <w:rsid w:val="327E16FB"/>
    <w:rsid w:val="34F15E4E"/>
    <w:rsid w:val="350727B3"/>
    <w:rsid w:val="36E56B24"/>
    <w:rsid w:val="37215DAE"/>
    <w:rsid w:val="37A8202C"/>
    <w:rsid w:val="38242C4E"/>
    <w:rsid w:val="38CA40DD"/>
    <w:rsid w:val="395F2B56"/>
    <w:rsid w:val="396926A1"/>
    <w:rsid w:val="3AAC231C"/>
    <w:rsid w:val="3BBA0580"/>
    <w:rsid w:val="3BECE841"/>
    <w:rsid w:val="3CDE204C"/>
    <w:rsid w:val="3D363C36"/>
    <w:rsid w:val="3E9C3F6D"/>
    <w:rsid w:val="3EA07BB3"/>
    <w:rsid w:val="3EE0025D"/>
    <w:rsid w:val="3EE3118C"/>
    <w:rsid w:val="3FF7797D"/>
    <w:rsid w:val="401C7D85"/>
    <w:rsid w:val="402B755B"/>
    <w:rsid w:val="402F11F7"/>
    <w:rsid w:val="42EA3C83"/>
    <w:rsid w:val="43EF1FE0"/>
    <w:rsid w:val="46690BD8"/>
    <w:rsid w:val="47D227AD"/>
    <w:rsid w:val="49F70BF1"/>
    <w:rsid w:val="4B4340EE"/>
    <w:rsid w:val="4B663938"/>
    <w:rsid w:val="4C355D6F"/>
    <w:rsid w:val="4CAA28C2"/>
    <w:rsid w:val="4CFA671A"/>
    <w:rsid w:val="4F4D4F5C"/>
    <w:rsid w:val="4FF87AFF"/>
    <w:rsid w:val="4FFE6835"/>
    <w:rsid w:val="503D507A"/>
    <w:rsid w:val="517A638F"/>
    <w:rsid w:val="51FA74D0"/>
    <w:rsid w:val="522D277F"/>
    <w:rsid w:val="52AA4A52"/>
    <w:rsid w:val="52B12490"/>
    <w:rsid w:val="5559450E"/>
    <w:rsid w:val="58480E65"/>
    <w:rsid w:val="598820AA"/>
    <w:rsid w:val="59943D66"/>
    <w:rsid w:val="59BF6B67"/>
    <w:rsid w:val="59E051FD"/>
    <w:rsid w:val="59E6355E"/>
    <w:rsid w:val="5B1C4E96"/>
    <w:rsid w:val="5B821531"/>
    <w:rsid w:val="5BFF6039"/>
    <w:rsid w:val="5CA170D2"/>
    <w:rsid w:val="5CD8040E"/>
    <w:rsid w:val="5D76A616"/>
    <w:rsid w:val="5D7F20B9"/>
    <w:rsid w:val="5DAC7D0E"/>
    <w:rsid w:val="5DF503A8"/>
    <w:rsid w:val="5E474E90"/>
    <w:rsid w:val="5E736FE4"/>
    <w:rsid w:val="5F98B5AF"/>
    <w:rsid w:val="5FFE8511"/>
    <w:rsid w:val="5FFEACE2"/>
    <w:rsid w:val="6040379E"/>
    <w:rsid w:val="609D5BF6"/>
    <w:rsid w:val="61073070"/>
    <w:rsid w:val="61936E8D"/>
    <w:rsid w:val="61B9080E"/>
    <w:rsid w:val="61DF3FED"/>
    <w:rsid w:val="620B7EB9"/>
    <w:rsid w:val="63F46CCE"/>
    <w:rsid w:val="642B176B"/>
    <w:rsid w:val="64333F51"/>
    <w:rsid w:val="643EE26D"/>
    <w:rsid w:val="656019A0"/>
    <w:rsid w:val="65BE264B"/>
    <w:rsid w:val="65F242EE"/>
    <w:rsid w:val="666B5E4F"/>
    <w:rsid w:val="666D7E19"/>
    <w:rsid w:val="68170BF6"/>
    <w:rsid w:val="68376930"/>
    <w:rsid w:val="68F91E38"/>
    <w:rsid w:val="69757916"/>
    <w:rsid w:val="6B3158B9"/>
    <w:rsid w:val="6BA02A3F"/>
    <w:rsid w:val="6BDE20DF"/>
    <w:rsid w:val="6C1E5A53"/>
    <w:rsid w:val="6EF06218"/>
    <w:rsid w:val="6F5C41AC"/>
    <w:rsid w:val="6F712141"/>
    <w:rsid w:val="6FAF6C78"/>
    <w:rsid w:val="6FB4183B"/>
    <w:rsid w:val="70A40CD9"/>
    <w:rsid w:val="70D72A5F"/>
    <w:rsid w:val="712C50F8"/>
    <w:rsid w:val="716167CC"/>
    <w:rsid w:val="718A7AD1"/>
    <w:rsid w:val="720733A9"/>
    <w:rsid w:val="72A44BC2"/>
    <w:rsid w:val="72BF7C4E"/>
    <w:rsid w:val="7317C656"/>
    <w:rsid w:val="734ED73F"/>
    <w:rsid w:val="73C82B32"/>
    <w:rsid w:val="73F94DAE"/>
    <w:rsid w:val="74220495"/>
    <w:rsid w:val="747D1B6F"/>
    <w:rsid w:val="749E5641"/>
    <w:rsid w:val="76271066"/>
    <w:rsid w:val="77FD8BE9"/>
    <w:rsid w:val="78000AED"/>
    <w:rsid w:val="796E34DA"/>
    <w:rsid w:val="79A9BD3F"/>
    <w:rsid w:val="7B191EC6"/>
    <w:rsid w:val="7B776F12"/>
    <w:rsid w:val="7BFFFDD0"/>
    <w:rsid w:val="7C336E5F"/>
    <w:rsid w:val="7C8D4919"/>
    <w:rsid w:val="7CCC7AAC"/>
    <w:rsid w:val="7D7A5F86"/>
    <w:rsid w:val="7DB33E77"/>
    <w:rsid w:val="7E4B683A"/>
    <w:rsid w:val="7E5E656D"/>
    <w:rsid w:val="7E8F2BCB"/>
    <w:rsid w:val="7F37BB4E"/>
    <w:rsid w:val="7F3B58F3"/>
    <w:rsid w:val="7F9055A3"/>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3"/>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3"/>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12247</Words>
  <Characters>12571</Characters>
  <Lines>58</Lines>
  <Paragraphs>16</Paragraphs>
  <TotalTime>6</TotalTime>
  <ScaleCrop>false</ScaleCrop>
  <LinksUpToDate>false</LinksUpToDate>
  <CharactersWithSpaces>12606</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Administrator</cp:lastModifiedBy>
  <dcterms:modified xsi:type="dcterms:W3CDTF">2025-08-19T11:00:46Z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F1A32EB7C53F433780EB4BD1AD3DECDF_13</vt:lpwstr>
  </property>
  <property fmtid="{D5CDD505-2E9C-101B-9397-08002B2CF9AE}" pid="4" name="KSOTemplateDocerSaveRecord">
    <vt:lpwstr>eyJoZGlkIjoiNWVkMTY3ZjliZGFhN2VkODA0ZjYyODQwM2M2NGRhOGYifQ==</vt:lpwstr>
  </property>
</Properties>
</file>