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库尔勒市永安街道办事处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1、</w:t>
      </w:r>
      <w:r>
        <w:rPr>
          <w:rFonts w:hint="eastAsia" w:ascii="仿宋_GB2312" w:eastAsia="仿宋_GB2312"/>
          <w:b w:val="0"/>
          <w:sz w:val="32"/>
          <w:szCs w:val="32"/>
        </w:rPr>
        <w:t>新疆巴州库尔勒市永安街道办事处贯彻执行党和国家的各项方针、政策、法令、法规上级人民政府关于街道工作方面的决定，制定具体的管理办法并组织实施。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2、</w:t>
      </w:r>
      <w:r>
        <w:rPr>
          <w:rFonts w:hint="eastAsia" w:ascii="仿宋_GB2312" w:eastAsia="仿宋_GB2312"/>
          <w:b w:val="0"/>
          <w:sz w:val="32"/>
          <w:szCs w:val="32"/>
        </w:rPr>
        <w:t>负责辖区内的社会管理综合治理，人民调解、法律服务工作，依照有关规定管理外来流动人员。</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3、</w:t>
      </w:r>
      <w:r>
        <w:rPr>
          <w:rFonts w:hint="eastAsia" w:ascii="仿宋_GB2312" w:eastAsia="仿宋_GB2312"/>
          <w:b w:val="0"/>
          <w:sz w:val="32"/>
          <w:szCs w:val="32"/>
        </w:rPr>
        <w:t>开展社区服务、拥军优属工作，负责社区优抚、社会救济、社会福利工作，做好社区文化、科普、体育、教育工作。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4、</w:t>
      </w:r>
      <w:r>
        <w:rPr>
          <w:rFonts w:hint="eastAsia" w:ascii="仿宋_GB2312" w:eastAsia="仿宋_GB2312"/>
          <w:b w:val="0"/>
          <w:sz w:val="32"/>
          <w:szCs w:val="32"/>
        </w:rPr>
        <w:t>按照职责范围做好计划生育、爱国卫生、绿化、环境保护、劳动就业、安全生产等管理工作。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5、</w:t>
      </w:r>
      <w:r>
        <w:rPr>
          <w:rFonts w:hint="eastAsia" w:ascii="仿宋_GB2312" w:eastAsia="仿宋_GB2312"/>
          <w:b w:val="0"/>
          <w:sz w:val="32"/>
          <w:szCs w:val="32"/>
        </w:rPr>
        <w:t>配合有关部门做好防汛、防风、防火、防震、抢险和防灾救灾工作。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hint="eastAsia" w:ascii="仿宋_GB2312" w:eastAsia="仿宋_GB2312"/>
          <w:b w:val="0"/>
          <w:sz w:val="32"/>
          <w:szCs w:val="32"/>
          <w:lang w:val="en-US" w:eastAsia="zh-CN"/>
        </w:rPr>
        <w:t>6、</w:t>
      </w:r>
      <w:r>
        <w:rPr>
          <w:rFonts w:hint="eastAsia" w:ascii="仿宋_GB2312" w:eastAsia="仿宋_GB2312"/>
          <w:b w:val="0"/>
          <w:sz w:val="32"/>
          <w:szCs w:val="32"/>
        </w:rPr>
        <w:t>会同有关部门做好本辖区综治工作</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7、负责辖区内市容市貌和环境卫生的日常管理工作，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发动辖区单位和群众保护环境，开展爱国卫生运动;</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8、指导和帮助居民委员会的工作，调解解决行政事务、社会管理和公共服务方面的问题，促进居民委员会的依法建设。</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9、协助武装部门做好国防动员、民兵训练和公民服兵役工作;维护老年人、妇女、青少年、儿童和残疾人的合法权益。</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10、指导和帮助居民委员会的工作，解决行政事务、社会管理和公共服务方面的问题，促进居民委员会的依法建设。</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11、动员和领导居民及各单位、各部门开展社区建设工作;制定并实施社区建设规划和年度计划;</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12、向市党委、市政府反映居民群众的意见和要求，办理人民群众的来信来访等事项。</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13、承办市党委、市政府交办的其他事项。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库尔勒市永安街道办事处2024年度，实有人数40人，其中：在职人员37人，减少2人；离休人员0人，较上年无变化；退休人员3人，增加2人。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部门决算单位构成看，新疆巴州库尔勒市永安街道办事处部门决算包括：新疆巴州库尔勒市永安街道办事处决算。单位无下属预算单位，下设6个处室，分别是：综合执法办、综合协调办、党建办、综治网格化服务中心、社会退役军人服务中心、党群服务中心。</w:t>
      </w:r>
    </w:p>
    <w:p>
      <w:pPr>
        <w:widowControl/>
        <w:jc w:val="center"/>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2024年度收入总计1,595.52万元，其中：本年收入合计1,595.52万元，使用非财政拨款结余（含专用结余）0.00万元，年初结转和结余0.00万元。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2024年度支出总计1,595.52万元，其中：本年支出合计1,595.52万元，结余分配0.00万元，年末结转和结余0.00万元。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收入支出总体与上年相比，增加304.57万元，增长23.59%，主要原因是：2024年新增量大项目、哈赞其社区服务设施项目和康健社区服务设施项目。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本年收入1,595.52万元，其中：财政拨款收入1,595.52万元,占100.00%；上级补助收入0.00万元,占0.00%；事业收入0.00万元，占0.00%；经营收入0.00万元,占0.00%；附属单位上缴收入0.00万元，占0.00%；其他收入0.00万元，占0.00%。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本年支出1,595.52万元，其中：基本支出1,216.76万元，占76.26%；项目支出378.76万元，占23.74%；上缴上级支出0.00万元，占0.00%；经营支出0.00万元，占0.00%；对附属单位补助支出0.00万元，占0.00%。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财政拨款收入总计1,595.52万元，其中：年初财政拨款结转和结余0.00万元，本年财政拨款收入1,595.52万元。财政拨款支出总计1,595.52万元，其中：年末财政拨款结转和结余0.00万元，本年财政拨款支出1,595.52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财政拨款收入支出总体与上年相比，增加304.57万元，增长23.59%，主要原因是：2024年新增量大项目、哈赞其社区服务设施项目和康健社区服务设施项目。与年初预算相比，年初预算数1,847.43万元，决算数1,595.52万元，预决算差异率-13.64%，主要原因是：2024年我单位精减公益性岗位41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2024年度一般公共预算财政拨款支出1,470.15万元，占本年支出合计的92.14%。与上年相比，增加210.04万元，增长16.67%，主要原因是2024年新增量大项目、哈赞其社区服务设施项目和康健社区服务设施项目。与年初预算相比，年初预算数1,838.68万元，决算数1,470.15万元，预决算差异率-20.04%，主要原因是：2024年我单位精减公益性岗位41人。</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一般公共服务支出（类）1,059.90万元，占72.09%。</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教育支出（类）2.91万元，占0.20%。</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文化旅游体育与传媒支出（类）6.00万元，占0.41%。</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社会保障和就业支出（类）71.89万元，占4.89%。</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卫生健康支出（类）29.47万元，占2.00%。</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城乡社区支出（类）72.65万元，占4.94%。</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住房保障支出（类）46.59万元，占3.17%。</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其他支出（类）180.74万元，占12.29%。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val="en-US" w:eastAsia="zh-CN"/>
        </w:rPr>
      </w:pPr>
      <w:r>
        <w:rPr>
          <w:rFonts w:hint="eastAsia" w:ascii="仿宋_GB2312" w:eastAsia="仿宋_GB2312"/>
          <w:b w:val="0"/>
          <w:sz w:val="32"/>
          <w:szCs w:val="32"/>
          <w:lang w:val="en-US" w:eastAsia="zh-CN"/>
        </w:rPr>
        <w:t>一般公共服务支出（类）人大事务（款）代表工作（项）：支出决算数为0.41万元，比上年决算增加0.41万元，增长100.00%，主要原因是：2024年补发人大代表2023、2024年度履职补贴。</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一般公共服务支出（类）政府办公厅（室）及相关机构事务（款）行政运行（项）：支出决算数为931.91万元，比上年决算增加102.29万元，增长12.33%，主要原因是：本年人员工资基数调整及工资正常晋升，相应的行政运行经费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一般公共服务支出（类）政府办公厅（室）及相关机构事务（款）其他政府办公厅（室）及相关机构事务支出（项）：支出决算数为95.45万元，比上年决算增加95.45万元，增长100.00%，主要原因是：上年度未安排该预算，本年度新增此项目。</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一般公共服务支出（类）纪检监察事务（款）其他纪检监察事务支出（项）：支出决算数为3.00万元，比上年决算增加1.33万元，增长79.64%，主要原因是：为保障</w:t>
      </w:r>
      <w:r>
        <w:rPr>
          <w:rFonts w:hint="eastAsia" w:ascii="仿宋_GB2312" w:eastAsia="仿宋_GB2312"/>
          <w:b w:val="0"/>
          <w:sz w:val="32"/>
          <w:szCs w:val="32"/>
          <w:lang w:val="zh-CN" w:eastAsia="zh-CN"/>
        </w:rPr>
        <w:t>纪检各项工作顺利开展，本年度上级纪检专项经费下拨数增加，购买了纪检办案设备和办公用品等。</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一般公共服务支出（类）组织事务（款）其他组织事务支出（项）：支出决算数为29.13万元，比上年决算减少29.51万元，下降50.32%，主要原因是访惠聚工作队人员减少14人，所以相应的生活补助减少。</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教育支出（类）进修及培训（款）培训支出（项）：支出决算数为2.91万元，比上年决算增加2.60万元，增长838.71%，主要原因是：上级安排培训次数较往年较多。</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文化旅游体育与传媒支出（类）其他文化旅游体育与传媒支出（款）其他文化旅游体育与传媒支出（项）：支出决算数为6.00万元，比上年决算增加6.00万元，增长100.00%，主要原因是：上年度未安排该预算，本年度新增此项目。</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val="en-US" w:eastAsia="zh-CN"/>
        </w:rPr>
      </w:pPr>
      <w:r>
        <w:rPr>
          <w:rFonts w:hint="eastAsia" w:ascii="仿宋_GB2312" w:eastAsia="仿宋_GB2312"/>
          <w:b w:val="0"/>
          <w:sz w:val="32"/>
          <w:szCs w:val="32"/>
          <w:lang w:val="en-US" w:eastAsia="zh-CN"/>
        </w:rPr>
        <w:t>社会保障和就业支出（类）行政事业单位养老支出（款）行政单位离退休（项）：支出决算数为0.90万元，比上年决算减少5.65万元，下降86.26%，主要原因是：2024年新增职业年金款项，2023年职业年金款项属于行政单位离退休（项）。</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社会保障和就业支出（类）行政事业单位养老支出（款）机关事业单位基本养老保险缴费支出（项）：支出决算数为58.21万元，比上年决算增加2.08万元，增长3.71%，主要原因是：本年退休人员增加2人，而经费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社会保障和就业支出（类）行政事业单位养老支出（款）机关事业单位职业年金缴费支出（项）：支出决算数为12.77万元，比上年决算增加12.77万元，增长100.00%，主要原因是：该科目支出是本面新增支出。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社会保障和就业支出（类）就业补助（款）公益性岗位补贴（项）：支出决算数为0.00万元，比上年决算减少164.20万元，下降100.00%，主要原因是：年终功能科目调整，将社会保障和就业支出（类）就业补助（款）公益性岗位补贴（项）科目调整到其他科目使用，所以比上年减少。</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卫生健康支出（类）行政事业单位医疗（款）行政单位医疗（项）：支出决算数为26.64万元，比上年决算增加1.33万元，增长5.25%，主要原因是：社保缴费基数提高，职工基本医疗保险和公务员医疗补助增加。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卫生健康支出（类）行政事业单位医疗（款）公务员医疗补助（项）：支出决算数为2.83万元，比上年决算减少0.12万元，下降4.07%，主要原因是：1名行政在职在编干部退休、人员工资、社保、公积金等各项缴费减少，所以与上年减少</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val="en-US" w:eastAsia="zh-CN"/>
        </w:rPr>
      </w:pPr>
      <w:r>
        <w:rPr>
          <w:rFonts w:hint="eastAsia" w:ascii="仿宋_GB2312" w:eastAsia="仿宋_GB2312"/>
          <w:b w:val="0"/>
          <w:sz w:val="32"/>
          <w:szCs w:val="32"/>
          <w:lang w:val="en-US" w:eastAsia="zh-CN"/>
        </w:rPr>
        <w:t>城乡社区支出（类）城乡社区公共设施（款）其他城乡社区公共设施支出（项）：支出决算数为72.65万元，比上年决算增加72.65万元，增长100.00%，主要原因是：2025年新增康健社区服务设施项目款。</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val="en-US" w:eastAsia="zh-CN"/>
        </w:rPr>
      </w:pPr>
      <w:r>
        <w:rPr>
          <w:rFonts w:hint="eastAsia" w:ascii="仿宋_GB2312" w:eastAsia="仿宋_GB2312"/>
          <w:b w:val="0"/>
          <w:sz w:val="32"/>
          <w:szCs w:val="32"/>
          <w:lang w:val="en-US" w:eastAsia="zh-CN"/>
        </w:rPr>
        <w:t>农林水支出（类）巩固脱贫攻坚成果衔接乡村振兴（款）其他巩固脱贫攻坚成果衔接乡村振兴支出（项）：支出决算数为0.00万元，比上年决算减少0.30万元，下降100.00%，主要原因是：2025年年度未安排该预算，</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住房保障支出（类）住房改革支出（款）住房公积金（项）：支出决算数为46.59万元，比上年决算增加2.15万元，增长4.84%，主要原因是：本年度单位人员工资调增，住房公积金基数调增，住房公积金支出增加。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其他支出（类）其他支出（款）其他支出（项）：支出决算数为180.74万元，比上年决算增加110.74万元，增长158.20%，主要原因是：支付了哈赞其社区服务设施项目款。</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一般公共预算财政拨款基本支出1,216.76万元，其中：人员经费1,121.41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公用经费95.35万元，包括：办公费、水费、电费、邮电费、取暖费、维修（护）费、培训费、劳务费、工会经费、福利费、公务用车运行维护费和办公设备购置。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2024年度政府性基金预算财政拨款收入总计98.32万元，其中：年初结转和结余0.00万元，本年收入98.32万元。政府性基金预算财政拨款支出总计98.32万元，其中：年末结转和结余0.00万元，本年支出98.32万元。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政府性基金预算财政拨款收入支出总体与上年相比，增加94.06万元，增长2,207.98%，主要原因是：支付恰尓巴格社区服务设施项目款。与年初预算相比，年初预算数0.00万元，决算数98.32万元，预决算差异率100%，主要原因是：此科目年中追加预算。</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政府性基金预算财政拨款支出98.32万元。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城乡社区支出（类）国有土地使用权出让收入安排的支出（款）其他国有土地使用权出让收入安排的支出（项）：支出决算数为98.32万元，比上年决算增加94.06万元，增长2,207.98%，主要原因是：此科目年中追加预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2024年度国有资本经营预算财政拨款收入总计27.05万元，其中：年初结转和结余0.00万元，本年收入27.05万元。国有资本经营预算财政拨款支出总计27.05万元，其中：年末结转和结余0.00万元，本年支出27.05万元。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国有资本经营预算财政拨款收入支出总体与上年相比，增加0.48万元，增长1.81%，主要原因是：2024年国有企业退休人员增加。与年初预算相比，年初预算数8.75万元，决算数27.05万元，预决算差异率209.14%，主要原因是：因国有企业退休人数的增长，开展的活动较多，使用经费较多。</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国有资本经营预算财政拨款支出27.05万元。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国有资本经营预算支出（类）解决历史遗留问题及改革成本支出（款）国有企业退休人员社会化管理补助支出（项）：支出决算数为27.05万元，比上年决算增加0.48万元，增长1.81%，主要原因是：因国有企业退休人数的增长，开展的活动较多，使用经费较多。</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财政拨款“三公”经费支出3.00万元，比上年减少0.61万元，下降16.90%，主要原因是：根据中央八项规定，厉行节约。其中：因公出国（境）费支出0.00万元,占0.00%，与上年相比无变化，主要原因是：我单位无因公出国（境）费支出；公务用车购置及运行维护费支出3.00万元，占100.00%，比上年减少0.61万元，下降16.90%，主要原因是：；公务接待费支出0.00万元，占0.00%，与上年相比无变化，主要原因是：。</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具体情况如下：</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公务用车购置及运行维护费3.00万元，其中：公务用车购置费0.00万元，公务用车运行维护费3.00万元。公务用车运行维护费开支内容包括。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与全年预算相比，财政拨款“三公”经费支出全年预算数3.00万元，决算数3.00万元，预决算差异率0.00%，主要原因是：无差异。其中：因公出国（境）费全年预算数0.00万元，决算数0.00万元，预决算差异率0.00%，主要原因是：本单位无因公出国（境）人员，无此项经费支出。公务用车购置费全年预算数0.00万元，决算数0.00万元，预决算差异率0.00%，主要原因是：本单位本年无车辆购置费预算。公务用车运行维护费全年预算数3.00万元，决算数3.00万元，预决算差异率0.00%，主要原因是：无差异。公务接待费全年预算数0.00万元，决算数0.00万元，预决算差异率0.00%，主要原因是：本单位无公务接待人员，无此项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2024年度库尔勒市永安街道办事处部门机关运行经费支出95.35万元，比上年增加77.22万元，增长425.92%，主要原因是：各社区开展各类活动次数增加而经费增加。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2024年度政府采购支出总额375.42万元，其中：政府采购货物支出32.29万元、政府采购工程支出298.00万元、政府采购服务支出45.13万元。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授予中小企业合同金额368.02万元，占政府采购支出总额的98.03%，其中：授予小微企业合同金额112.63万元，占政府采购支出总额的30.00%。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截至2024年12月31日，房屋2,000.00平方米，价值105.10万元。车辆1辆，价值0.69万元，其中：副部（省）级及以上领导用车0辆、主要负责人用车0辆、机要通信用车0辆、应急保障用车0辆、执法执勤用车0辆、特种专业技术用车0辆、离退休干部服务用车0辆、其他用车1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根据预算绩效管理要求，本部门2024年度预算绩效管理形成整体支出绩效自评表1个，全年预算总额1595.52万元，实际执行总额1595.52万元；预算绩效评价项目9个，全年预算数709.43万元，全年执行数361.91万元。预算绩效管理取得的成效：在项目资金使用过程中，严格落实把关，再三审核。同时做好监督检查工作，严格按照项目管理规范进行，按照项目资金使用范围做好审核工作，让项目资金落于实处。 在项目完成后，通过利益相关深度，公众参与评价，通过问卷满意度调查，盛情邀请退休人员进行评价填写，将群众的意见纳入评价结果，做好调查工作。发现的问题及原因：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下一步改进措施：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本部门无其他需说明事项。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hint="eastAsia" w:ascii="仿宋_GB2312" w:eastAsia="仿宋_GB2312"/>
          <w:b w:val="0"/>
          <w:sz w:val="32"/>
          <w:szCs w:val="32"/>
          <w:lang w:val="en-US" w:eastAsia="zh-CN"/>
        </w:rPr>
      </w:pPr>
      <w:r>
        <w:rPr>
          <w:rFonts w:ascii="仿宋_GB2312" w:eastAsia="仿宋_GB2312"/>
          <w:b/>
          <w:sz w:val="32"/>
          <w:szCs w:val="32"/>
        </w:rPr>
        <w:t>一、财政拨款收入：</w:t>
      </w:r>
      <w:r>
        <w:rPr>
          <w:rFonts w:hint="eastAsia" w:ascii="仿宋_GB2312" w:eastAsia="仿宋_GB2312"/>
          <w:b w:val="0"/>
          <w:sz w:val="32"/>
          <w:szCs w:val="32"/>
          <w:lang w:val="en-US" w:eastAsia="zh-CN"/>
        </w:rPr>
        <w:t>指同级财政当年拨付的资金。</w:t>
      </w:r>
    </w:p>
    <w:p>
      <w:pPr>
        <w:widowControl/>
        <w:spacing w:before="0" w:beforeLines="0" w:beforeAutospacing="0" w:after="0" w:afterLines="0" w:afterAutospacing="0" w:line="240" w:lineRule="auto"/>
        <w:ind w:firstLine="643" w:firstLineChars="200"/>
        <w:jc w:val="left"/>
        <w:rPr>
          <w:rFonts w:hint="eastAsia" w:ascii="仿宋_GB2312" w:eastAsia="仿宋_GB2312"/>
          <w:b w:val="0"/>
          <w:sz w:val="32"/>
          <w:szCs w:val="32"/>
          <w:lang w:val="en-US" w:eastAsia="zh-CN"/>
        </w:rPr>
      </w:pPr>
      <w:r>
        <w:rPr>
          <w:rFonts w:ascii="仿宋_GB2312" w:eastAsia="仿宋_GB2312"/>
          <w:b/>
          <w:sz w:val="32"/>
          <w:szCs w:val="32"/>
        </w:rPr>
        <w:t>二、上级补助收入：</w:t>
      </w:r>
      <w:r>
        <w:rPr>
          <w:rFonts w:hint="eastAsia" w:ascii="仿宋_GB2312" w:eastAsia="仿宋_GB2312"/>
          <w:b w:val="0"/>
          <w:sz w:val="32"/>
          <w:szCs w:val="32"/>
          <w:lang w:val="en-US" w:eastAsia="zh-CN"/>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hint="eastAsia" w:ascii="仿宋_GB2312" w:eastAsia="仿宋_GB2312"/>
          <w:b w:val="0"/>
          <w:sz w:val="32"/>
          <w:szCs w:val="32"/>
          <w:lang w:val="en-US" w:eastAsia="zh-CN"/>
        </w:rPr>
      </w:pPr>
      <w:r>
        <w:rPr>
          <w:rFonts w:ascii="仿宋_GB2312" w:eastAsia="仿宋_GB2312"/>
          <w:b/>
          <w:sz w:val="32"/>
          <w:szCs w:val="32"/>
        </w:rPr>
        <w:t>三、事业收入：</w:t>
      </w:r>
      <w:r>
        <w:rPr>
          <w:rFonts w:hint="eastAsia" w:ascii="仿宋_GB2312" w:eastAsia="仿宋_GB2312"/>
          <w:b w:val="0"/>
          <w:sz w:val="32"/>
          <w:szCs w:val="32"/>
          <w:lang w:val="en-US" w:eastAsia="zh-CN"/>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hint="eastAsia" w:ascii="仿宋_GB2312" w:eastAsia="仿宋_GB2312"/>
          <w:b w:val="0"/>
          <w:sz w:val="32"/>
          <w:szCs w:val="32"/>
          <w:lang w:val="en-US" w:eastAsia="zh-CN"/>
        </w:rPr>
      </w:pPr>
      <w:r>
        <w:rPr>
          <w:rFonts w:ascii="仿宋_GB2312" w:eastAsia="仿宋_GB2312"/>
          <w:b/>
          <w:sz w:val="32"/>
          <w:szCs w:val="32"/>
        </w:rPr>
        <w:t>四、经营收入：</w:t>
      </w:r>
      <w:r>
        <w:rPr>
          <w:rFonts w:hint="eastAsia" w:ascii="仿宋_GB2312" w:eastAsia="仿宋_GB2312"/>
          <w:b w:val="0"/>
          <w:sz w:val="32"/>
          <w:szCs w:val="32"/>
          <w:lang w:val="en-US" w:eastAsia="zh-CN"/>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59264" behindDoc="0" locked="0" layoutInCell="1" allowOverlap="1">
            <wp:simplePos x="0" y="0"/>
            <wp:positionH relativeFrom="column">
              <wp:posOffset>-330835</wp:posOffset>
            </wp:positionH>
            <wp:positionV relativeFrom="paragraph">
              <wp:posOffset>128270</wp:posOffset>
            </wp:positionV>
            <wp:extent cx="6275705" cy="7672070"/>
            <wp:effectExtent l="0" t="0" r="10795" b="50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275705" cy="76720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0288" behindDoc="0" locked="0" layoutInCell="1" allowOverlap="1">
            <wp:simplePos x="0" y="0"/>
            <wp:positionH relativeFrom="column">
              <wp:posOffset>-174625</wp:posOffset>
            </wp:positionH>
            <wp:positionV relativeFrom="paragraph">
              <wp:posOffset>-363855</wp:posOffset>
            </wp:positionV>
            <wp:extent cx="6020435" cy="8629015"/>
            <wp:effectExtent l="0" t="0" r="18415" b="63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6020435" cy="862901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1312" behindDoc="0" locked="0" layoutInCell="1" allowOverlap="1">
            <wp:simplePos x="0" y="0"/>
            <wp:positionH relativeFrom="column">
              <wp:posOffset>-374015</wp:posOffset>
            </wp:positionH>
            <wp:positionV relativeFrom="paragraph">
              <wp:posOffset>-322580</wp:posOffset>
            </wp:positionV>
            <wp:extent cx="6238240" cy="8415655"/>
            <wp:effectExtent l="0" t="0" r="10160" b="444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6238240" cy="841565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2336" behindDoc="0" locked="0" layoutInCell="1" allowOverlap="1">
            <wp:simplePos x="0" y="0"/>
            <wp:positionH relativeFrom="column">
              <wp:posOffset>-753110</wp:posOffset>
            </wp:positionH>
            <wp:positionV relativeFrom="paragraph">
              <wp:posOffset>-121285</wp:posOffset>
            </wp:positionV>
            <wp:extent cx="7044055" cy="7926070"/>
            <wp:effectExtent l="0" t="0" r="4445" b="1778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7044055" cy="79260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3360" behindDoc="0" locked="0" layoutInCell="1" allowOverlap="1">
            <wp:simplePos x="0" y="0"/>
            <wp:positionH relativeFrom="column">
              <wp:posOffset>-278765</wp:posOffset>
            </wp:positionH>
            <wp:positionV relativeFrom="paragraph">
              <wp:posOffset>-485140</wp:posOffset>
            </wp:positionV>
            <wp:extent cx="6304915" cy="8688070"/>
            <wp:effectExtent l="0" t="0" r="635" b="1778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6304915" cy="86880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4384" behindDoc="0" locked="0" layoutInCell="1" allowOverlap="1">
            <wp:simplePos x="0" y="0"/>
            <wp:positionH relativeFrom="column">
              <wp:posOffset>-391795</wp:posOffset>
            </wp:positionH>
            <wp:positionV relativeFrom="paragraph">
              <wp:posOffset>-452120</wp:posOffset>
            </wp:positionV>
            <wp:extent cx="6467475" cy="8791575"/>
            <wp:effectExtent l="0" t="0" r="9525" b="952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467475" cy="87915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5408" behindDoc="0" locked="0" layoutInCell="1" allowOverlap="1">
            <wp:simplePos x="0" y="0"/>
            <wp:positionH relativeFrom="column">
              <wp:posOffset>-883285</wp:posOffset>
            </wp:positionH>
            <wp:positionV relativeFrom="paragraph">
              <wp:posOffset>162560</wp:posOffset>
            </wp:positionV>
            <wp:extent cx="7407275" cy="2906395"/>
            <wp:effectExtent l="0" t="0" r="3175" b="825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grayscl/>
                    </a:blip>
                    <a:stretch>
                      <a:fillRect/>
                    </a:stretch>
                  </pic:blipFill>
                  <pic:spPr>
                    <a:xfrm>
                      <a:off x="0" y="0"/>
                      <a:ext cx="7407275" cy="290639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bookmarkStart w:id="0" w:name="_GoBack"/>
      <w:r>
        <w:drawing>
          <wp:anchor distT="0" distB="0" distL="114300" distR="114300" simplePos="0" relativeHeight="251666432" behindDoc="0" locked="0" layoutInCell="1" allowOverlap="1">
            <wp:simplePos x="0" y="0"/>
            <wp:positionH relativeFrom="column">
              <wp:posOffset>-826135</wp:posOffset>
            </wp:positionH>
            <wp:positionV relativeFrom="paragraph">
              <wp:posOffset>-10160</wp:posOffset>
            </wp:positionV>
            <wp:extent cx="6938645" cy="2918460"/>
            <wp:effectExtent l="0" t="0" r="14605" b="1524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grayscl/>
                    </a:blip>
                    <a:stretch>
                      <a:fillRect/>
                    </a:stretch>
                  </pic:blipFill>
                  <pic:spPr>
                    <a:xfrm>
                      <a:off x="0" y="0"/>
                      <a:ext cx="6938645" cy="2918460"/>
                    </a:xfrm>
                    <a:prstGeom prst="rect">
                      <a:avLst/>
                    </a:prstGeom>
                    <a:noFill/>
                    <a:ln>
                      <a:noFill/>
                    </a:ln>
                  </pic:spPr>
                </pic:pic>
              </a:graphicData>
            </a:graphic>
          </wp:anchor>
        </w:drawing>
      </w:r>
      <w:bookmarkEnd w:id="0"/>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7456" behindDoc="0" locked="0" layoutInCell="1" allowOverlap="1">
            <wp:simplePos x="0" y="0"/>
            <wp:positionH relativeFrom="column">
              <wp:posOffset>-727075</wp:posOffset>
            </wp:positionH>
            <wp:positionV relativeFrom="paragraph">
              <wp:posOffset>85090</wp:posOffset>
            </wp:positionV>
            <wp:extent cx="6998335" cy="1574165"/>
            <wp:effectExtent l="0" t="0" r="12065" b="698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998335" cy="157416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ind w:firstLine="420" w:firstLineChars="200"/>
        <w:jc w:val="left"/>
        <w:outlineLvl w:val="1"/>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1026"/>
    <w:rsid w:val="00B63EBD"/>
    <w:rsid w:val="01237ABF"/>
    <w:rsid w:val="01574293"/>
    <w:rsid w:val="018433F5"/>
    <w:rsid w:val="03A17B1D"/>
    <w:rsid w:val="049C1BD1"/>
    <w:rsid w:val="04BA09EE"/>
    <w:rsid w:val="07BB07F4"/>
    <w:rsid w:val="09726E37"/>
    <w:rsid w:val="0A157EF5"/>
    <w:rsid w:val="0CA31FA4"/>
    <w:rsid w:val="0D0E1EAF"/>
    <w:rsid w:val="0E975930"/>
    <w:rsid w:val="0F3833FC"/>
    <w:rsid w:val="0FA14B86"/>
    <w:rsid w:val="11583AF5"/>
    <w:rsid w:val="121C197E"/>
    <w:rsid w:val="12510684"/>
    <w:rsid w:val="12835AFB"/>
    <w:rsid w:val="12A07961"/>
    <w:rsid w:val="12FA6577"/>
    <w:rsid w:val="13434E37"/>
    <w:rsid w:val="16F105DB"/>
    <w:rsid w:val="194862B7"/>
    <w:rsid w:val="1BDF5AB7"/>
    <w:rsid w:val="1D9B184A"/>
    <w:rsid w:val="1FF91630"/>
    <w:rsid w:val="20E46BFD"/>
    <w:rsid w:val="23C10EDB"/>
    <w:rsid w:val="23EC2CD0"/>
    <w:rsid w:val="24895F2E"/>
    <w:rsid w:val="252327C9"/>
    <w:rsid w:val="253A01CD"/>
    <w:rsid w:val="253A02BA"/>
    <w:rsid w:val="276B4C1F"/>
    <w:rsid w:val="28874AA7"/>
    <w:rsid w:val="28881113"/>
    <w:rsid w:val="2A1C3961"/>
    <w:rsid w:val="2B375215"/>
    <w:rsid w:val="2BA77AE0"/>
    <w:rsid w:val="2D2B79AE"/>
    <w:rsid w:val="2DC4199C"/>
    <w:rsid w:val="2E1D37FB"/>
    <w:rsid w:val="2EE7549C"/>
    <w:rsid w:val="31C447F0"/>
    <w:rsid w:val="32A572B6"/>
    <w:rsid w:val="34515D9D"/>
    <w:rsid w:val="36503EB4"/>
    <w:rsid w:val="374A17DC"/>
    <w:rsid w:val="38030971"/>
    <w:rsid w:val="382549FD"/>
    <w:rsid w:val="38F77C91"/>
    <w:rsid w:val="3967490F"/>
    <w:rsid w:val="39C95516"/>
    <w:rsid w:val="39CA61C7"/>
    <w:rsid w:val="3A783FE1"/>
    <w:rsid w:val="3BAB3ECE"/>
    <w:rsid w:val="3C5568C9"/>
    <w:rsid w:val="3E4F132C"/>
    <w:rsid w:val="41D873B1"/>
    <w:rsid w:val="43243950"/>
    <w:rsid w:val="44F71F76"/>
    <w:rsid w:val="499F3E8A"/>
    <w:rsid w:val="49C51FFC"/>
    <w:rsid w:val="4D056665"/>
    <w:rsid w:val="4E8C0408"/>
    <w:rsid w:val="4F017602"/>
    <w:rsid w:val="503443D5"/>
    <w:rsid w:val="504D4A9C"/>
    <w:rsid w:val="53872886"/>
    <w:rsid w:val="54CA4428"/>
    <w:rsid w:val="56346724"/>
    <w:rsid w:val="566870F1"/>
    <w:rsid w:val="58295F4A"/>
    <w:rsid w:val="59E264DE"/>
    <w:rsid w:val="5A5B7689"/>
    <w:rsid w:val="5C544657"/>
    <w:rsid w:val="5CB866A4"/>
    <w:rsid w:val="5CE95066"/>
    <w:rsid w:val="5FEF6B22"/>
    <w:rsid w:val="640819C5"/>
    <w:rsid w:val="648F7F97"/>
    <w:rsid w:val="66C864B5"/>
    <w:rsid w:val="67BD4A46"/>
    <w:rsid w:val="67E119AA"/>
    <w:rsid w:val="69844908"/>
    <w:rsid w:val="6B0C5129"/>
    <w:rsid w:val="6B6A2F15"/>
    <w:rsid w:val="6BE23103"/>
    <w:rsid w:val="6E795F88"/>
    <w:rsid w:val="6F124B41"/>
    <w:rsid w:val="7A1D0F59"/>
    <w:rsid w:val="7D3305E7"/>
    <w:rsid w:val="7DDF6042"/>
    <w:rsid w:val="7F3C181F"/>
    <w:rsid w:val="7FB760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2025-08-14T04:29:00Z</dcterms:created>
  <dc:creator>Administrator</dc:creator>
  <cp:lastModifiedBy>Administrator</cp:lastModifiedBy>
  <dcterms:modified xsi:type="dcterms:W3CDTF">2025-08-20T11:24:55Z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