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sz w:val="28"/>
          <w:szCs w:val="28"/>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库尔勒市水利局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both"/>
        <w:outlineLvl w:val="0"/>
        <w:rPr>
          <w:rFonts w:ascii="黑体" w:eastAsia="黑体"/>
          <w:b w:val="0"/>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jc w:val="both"/>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320" w:firstLineChars="100"/>
        <w:jc w:val="left"/>
        <w:outlineLvl w:val="1"/>
        <w:rPr>
          <w:rFonts w:ascii="仿宋_GB2312" w:eastAsia="仿宋_GB2312"/>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color w:val="auto"/>
          <w:sz w:val="32"/>
          <w:szCs w:val="32"/>
          <w:highlight w:val="none"/>
          <w:lang w:val="en-US" w:eastAsia="zh-CN"/>
        </w:rPr>
        <w:t>（</w:t>
      </w:r>
      <w:r>
        <w:rPr>
          <w:rFonts w:hint="eastAsia" w:ascii="仿宋_GB2312" w:eastAsia="仿宋_GB2312"/>
          <w:b w:val="0"/>
          <w:sz w:val="32"/>
          <w:szCs w:val="32"/>
          <w:lang w:val="en-US" w:eastAsia="zh-CN"/>
        </w:rPr>
        <w:t>一）负责保障水资源的合理开发利用。拟订库尔勒市水利发展规划和政策，起草相关地方性法规和政府规章草案，组织编制水资源发展规划，重要河流湖泊流域综合规划，防洪规划等重大水利规划。</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二）负责生活、生产经营和生态环境用水的统筹和保障。组织实施最严格水资源管理制度，实施水资源的统一监督管理，拟订库尔勒市水资源中长期供求规划、水量分配方案并监督实施，负责重要流城、区域以及重大调水工程的水资源调度。组织实施取水许可、水资源论证和防洪论证制度；指导开展水资源有偿使用工作。指导水利行业供水和各乡镇场供水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三）按规定拟定水利工程建设有关制度并组织实施，负责提出水利固定资产投资规模、方向、具体安排建议并组织实施，按规定权限审批、核准库尔勒市规划内和年度计划规模内固定资产投资项目，提出水利资金安排建议并负责项目实施的监督管理。</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（四）指导水资源保护工作。组织编制水资源保护规划。指导地下水开发利用和地下水资源管理保护。组织指导地下水超采区综合治理。</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（五）负责农村节约用水工作。拟订农村节约用水政策，组织编制节约用水规划并监督实施。组织实施用水总量控制等管理制度，指导和推动农村节水型社会建设工作。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（六）指导水利设施、水域及其岸线的管理、保护与综合利用。组织指导水利设施网络建设。</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（七）指导监督水利工程建设与运行管理。组织实施重要水利工程的建设与运行管理。指导监督水利工程安全运行。</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（八）负责水土保持工作。拟订水土保持规划并监督实施，组织水土流失的综合防治、监测预报并定期公告。负责建设项目水土保持监督管理工作，指导重点水土保持建设项目的实施。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（九）指导农村水利工作。组织开展大中型灌排工程建设与改造。指导农村饮水安全工程建设管理工作，指导节水灌溉有关工作。指导农村水利改革创新和社会化服务体系建设。</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（十）负责重大涉水违法事件的查处，协调和仲裁水事纠纷，指导组织水政监察和水行政执法。依法负责水利行业安全生产工作。指导水利建设市场的监督管理，组织实施水利工程建设的监督。</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（十一）开展水利科技工作。组织开展水利行业质量监督工作，拟订水利地方行业的技术标准、规程规范并监督实施。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十二）负责落实综合防灾减灾规划相关要求，组织编制洪水干旱灾害防治规划和防护标准并指导实施。承担水情旱情监测预警工作。组织编制重要河流湖泊和重要水工程的防御洪水抗御旱灾调度及应急水量调度方案，按程序报批并组织实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（十三）完成库尔勒市党委、市人民政府交办的其他任务。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十四）职能转变。库尔勒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lang w:val="en-US" w:eastAsia="zh-CN"/>
        </w:rPr>
        <w:t>（十五）与有关部门的职能分工。库尔勒市水利局负责农村节约用水工作，库尔勒市住建局负责城市节约用水工作。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库尔勒市水利局2024年度，实有人数103人，其中：在职人员57人，减少1人；离休人员0人，较上年无变化；退休人员46人，增加2人。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ascii="仿宋_GB2312" w:eastAsia="仿宋_GB2312"/>
          <w:b w:val="0"/>
          <w:sz w:val="32"/>
          <w:szCs w:val="32"/>
        </w:rPr>
        <w:t>库尔勒市水利局无下属预算单位，下设</w:t>
      </w:r>
      <w:r>
        <w:rPr>
          <w:rFonts w:hint="eastAsia" w:ascii="仿宋_GB2312" w:eastAsia="仿宋_GB2312"/>
          <w:b w:val="0"/>
          <w:sz w:val="32"/>
          <w:szCs w:val="32"/>
          <w:lang w:val="en-US" w:eastAsia="zh-CN"/>
        </w:rPr>
        <w:t>7</w:t>
      </w:r>
      <w:r>
        <w:rPr>
          <w:rFonts w:ascii="仿宋_GB2312" w:eastAsia="仿宋_GB2312"/>
          <w:b w:val="0"/>
          <w:sz w:val="32"/>
          <w:szCs w:val="32"/>
        </w:rPr>
        <w:t>个</w:t>
      </w:r>
      <w:r>
        <w:rPr>
          <w:rFonts w:hint="eastAsia" w:ascii="仿宋_GB2312" w:eastAsia="仿宋_GB2312"/>
          <w:b w:val="0"/>
          <w:sz w:val="32"/>
          <w:szCs w:val="32"/>
        </w:rPr>
        <w:t>处室</w:t>
      </w:r>
      <w:r>
        <w:rPr>
          <w:rFonts w:ascii="仿宋_GB2312" w:eastAsia="仿宋_GB2312"/>
          <w:b w:val="0"/>
          <w:sz w:val="32"/>
          <w:szCs w:val="32"/>
        </w:rPr>
        <w:t>，分别是：</w:t>
      </w:r>
      <w:r>
        <w:rPr>
          <w:rFonts w:hint="eastAsia" w:ascii="仿宋_GB2312" w:eastAsia="仿宋_GB2312"/>
          <w:b w:val="0"/>
          <w:sz w:val="32"/>
          <w:szCs w:val="32"/>
          <w:lang w:val="en-US" w:eastAsia="zh-CN"/>
        </w:rPr>
        <w:t>党政群机关、水政监察大队（参公管理）、地下水资源管理办公室、河湖长管理办公室（参公管理）、水土保持办公室、水利工程建设管理站、水利推广中心。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2024年度收入总计14,903.66万元，其中：本年收入合计14,903.66万元，使用非财政拨款结余（含专用结余）0.00万元，年初结转和结余0.00万元。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2024年度支出总计14,903.66万元，其中：本年支出合计14,903.66万元，结余分配0.00万元，年末结转和结余0.00万元。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收入支出总体与上年相比，增加7,730.05万元，增长107.76%，主要原因是：</w:t>
      </w:r>
      <w:r>
        <w:rPr>
          <w:rFonts w:hint="eastAsia" w:ascii="仿宋_GB2312" w:eastAsia="仿宋_GB2312"/>
          <w:b w:val="0"/>
          <w:sz w:val="32"/>
          <w:szCs w:val="32"/>
          <w:lang w:val="en-US" w:eastAsia="zh-CN"/>
        </w:rPr>
        <w:t>库尔楚水库建设项目，博斯腾灌区“十四五”续建配套与现代化改造工程等项目资金较往年增加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14,903.66万元，其中：财政拨款收入14,903.66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本年支出14,903.66万元，其中：基本支出1,278.66万元，占8.58%；项目支出13,625.00万元，占91.42%；上缴上级支出0.00万元，占0.00%；经营支出0.00万元，占0.00%；对附属单位补助支出0.00万元，占0.00%。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14,903.66万元，其中：年初财政拨款结转和结余0.00万元，本年财政拨款收入14,903.66万元。财政拨款支出总计14,903.66万元，其中：年末财政拨款结转和结余0.00万元，本年财政拨款支出14,903.66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财政拨款收入支出总体与上年相比，增加7,730.05万元，增长107.76%，主要原因是：</w:t>
      </w:r>
      <w:r>
        <w:rPr>
          <w:rFonts w:hint="eastAsia" w:ascii="仿宋_GB2312" w:eastAsia="仿宋_GB2312"/>
          <w:b w:val="0"/>
          <w:sz w:val="32"/>
          <w:szCs w:val="32"/>
          <w:lang w:val="en-US" w:eastAsia="zh-CN"/>
        </w:rPr>
        <w:t>库尔楚水库建设项目，博斯腾灌区“十四五”续建配套与现代化改造工程等项目资金较往年增加</w:t>
      </w:r>
      <w:r>
        <w:rPr>
          <w:rFonts w:ascii="仿宋_GB2312" w:eastAsia="仿宋_GB2312"/>
          <w:b w:val="0"/>
          <w:sz w:val="32"/>
          <w:szCs w:val="32"/>
        </w:rPr>
        <w:t>。与年初预算相比，年初预算数5,728.96万元，决算数14,903.66万元，预决算差异率160.15%，主要原因是：</w:t>
      </w:r>
      <w:r>
        <w:rPr>
          <w:rFonts w:hint="eastAsia" w:ascii="仿宋_GB2312" w:eastAsia="仿宋_GB2312"/>
          <w:b w:val="0"/>
          <w:sz w:val="32"/>
          <w:szCs w:val="32"/>
          <w:lang w:val="en-US" w:eastAsia="zh-CN"/>
        </w:rPr>
        <w:t>库尔楚水库建设项目，博斯腾灌区“十四五”续建配套与现代化改造工程等项目资金增加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2024年度一般公共预算财政拨款支出6,078.76万元，占本年支出合计的40.79%。与上年相比，增加898.02万元，增长17.33%，主要原因是：</w:t>
      </w:r>
      <w:r>
        <w:rPr>
          <w:rFonts w:hint="eastAsia" w:ascii="仿宋_GB2312" w:eastAsia="仿宋_GB2312"/>
          <w:b w:val="0"/>
          <w:sz w:val="32"/>
          <w:szCs w:val="32"/>
          <w:lang w:val="en-US" w:eastAsia="zh-CN"/>
        </w:rPr>
        <w:t>库尔楚水库建设项目资金较往年增加</w:t>
      </w:r>
      <w:r>
        <w:rPr>
          <w:rFonts w:ascii="仿宋_GB2312" w:eastAsia="仿宋_GB2312"/>
          <w:b w:val="0"/>
          <w:sz w:val="32"/>
          <w:szCs w:val="32"/>
        </w:rPr>
        <w:t>。与年初预算相比，年初预算数5,511.10万元，决算数6,078.76万元，预决算差异率10.30%，主要原因是：</w:t>
      </w:r>
      <w:r>
        <w:rPr>
          <w:rFonts w:hint="eastAsia" w:ascii="仿宋_GB2312" w:eastAsia="仿宋_GB2312"/>
          <w:b w:val="0"/>
          <w:sz w:val="32"/>
          <w:szCs w:val="32"/>
          <w:lang w:val="en-US" w:eastAsia="zh-CN"/>
        </w:rPr>
        <w:t>库尔楚水库建设项目资金增加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农林水支出（类）5,245.10万元，占86.29%。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其他支出（类）833.66万元，占13.71%。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教育支出（类）进修及培训（款）培训支出（项）：支出决算数为0.00万元，比上年决算减少1.49万元，下降100.00%，主要原因是：</w:t>
      </w:r>
      <w:r>
        <w:rPr>
          <w:rFonts w:hint="eastAsia" w:ascii="仿宋_GB2312" w:eastAsia="仿宋_GB2312"/>
          <w:b w:val="0"/>
          <w:sz w:val="32"/>
          <w:szCs w:val="32"/>
          <w:lang w:val="en-US" w:eastAsia="zh-CN"/>
        </w:rPr>
        <w:t>本年度培训支出经费合并至行政运行款中予以列支，因此与上年相比</w:t>
      </w:r>
      <w:r>
        <w:rPr>
          <w:rFonts w:ascii="仿宋_GB2312" w:eastAsia="仿宋_GB2312"/>
          <w:b w:val="0"/>
          <w:sz w:val="32"/>
          <w:szCs w:val="32"/>
        </w:rPr>
        <w:t>下降100.00%</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农林水支出（类）水利（款）行政运行（项）：支出决算数为1,212.69万元，比上年决算减少87.81万元，下降6.75%，主要原因是：</w:t>
      </w:r>
      <w:r>
        <w:rPr>
          <w:rFonts w:hint="eastAsia" w:ascii="仿宋_GB2312" w:eastAsia="仿宋_GB2312"/>
          <w:b w:val="0"/>
          <w:sz w:val="32"/>
          <w:szCs w:val="32"/>
          <w:lang w:val="en-US" w:eastAsia="zh-CN"/>
        </w:rPr>
        <w:t>今年在职人员减少一人，公益性岗位人员辞职三人，工资及社保经费相应减少，职工抚恤金支出较往年减少，因此与上年相比行政运行经费减少。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农林水支出（类）水利（款）水利工程建设（项）：支出决算数为3,783.00万元，比上年决算增加2,198.23万元，增长138.71%，主要原因是</w:t>
      </w:r>
      <w:r>
        <w:rPr>
          <w:rFonts w:hint="eastAsia" w:ascii="仿宋_GB2312" w:eastAsia="仿宋_GB2312"/>
          <w:b w:val="0"/>
          <w:sz w:val="32"/>
          <w:szCs w:val="32"/>
        </w:rPr>
        <w:t>库尔楚中型灌区续建配套节水改造工程项目</w:t>
      </w:r>
      <w:r>
        <w:rPr>
          <w:rFonts w:hint="eastAsia" w:ascii="仿宋_GB2312" w:eastAsia="仿宋_GB2312"/>
          <w:b w:val="0"/>
          <w:sz w:val="32"/>
          <w:szCs w:val="32"/>
          <w:lang w:eastAsia="zh-CN"/>
        </w:rPr>
        <w:t>、</w:t>
      </w:r>
      <w:r>
        <w:rPr>
          <w:rFonts w:hint="eastAsia" w:ascii="仿宋_GB2312" w:hAnsi="Times New Roman" w:eastAsia="仿宋_GB2312" w:cs="Times New Roman"/>
          <w:sz w:val="32"/>
          <w:szCs w:val="32"/>
          <w:lang w:val="en-US" w:eastAsia="zh-CN"/>
        </w:rPr>
        <w:t>博斯腾罐区“</w:t>
      </w:r>
      <w:r>
        <w:rPr>
          <w:rFonts w:hint="eastAsia" w:ascii="仿宋_GB2312" w:hAnsi="仿宋_GB2312" w:eastAsia="仿宋_GB2312" w:cs="仿宋_GB2312"/>
          <w:kern w:val="0"/>
          <w:sz w:val="32"/>
          <w:szCs w:val="32"/>
          <w:lang w:val="en-US" w:eastAsia="zh-CN"/>
        </w:rPr>
        <w:t>十四五”续建配套与现代化改造工程项目、库尔勒市地下水超采区和什力克乡社办渠防渗改造、2024年水资源管理工程项目及2024年春节前农民工工资（历年工程欠款）等项目资金较往年增加。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农林水支出（类）水利（款）水资源节约管理与保护（项）：支出决算数为0.00万元，比上年决算减少81.65万元，下降100.00%，主要原因是：</w:t>
      </w:r>
      <w:r>
        <w:rPr>
          <w:rFonts w:hint="eastAsia" w:eastAsia="仿宋_GB2312" w:cs="Times New Roman"/>
          <w:color w:val="auto"/>
          <w:kern w:val="2"/>
          <w:sz w:val="32"/>
          <w:szCs w:val="32"/>
          <w:highlight w:val="none"/>
          <w:lang w:val="en-US" w:eastAsia="zh-CN" w:bidi="ar-SA"/>
        </w:rPr>
        <w:t>库尔勒市地下水井电双控更新改造项目资金较往年减少。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农林水支出（类）水利（款）防汛（项）：支出决算数为249.41万元，比上年决算减少407.70万元，下降62.04%，主要原因是：</w:t>
      </w:r>
      <w:r>
        <w:rPr>
          <w:rFonts w:hint="eastAsia" w:eastAsia="仿宋_GB2312" w:cs="Times New Roman"/>
          <w:color w:val="auto"/>
          <w:kern w:val="2"/>
          <w:sz w:val="32"/>
          <w:szCs w:val="32"/>
          <w:highlight w:val="none"/>
          <w:lang w:val="en-US" w:eastAsia="zh-CN" w:bidi="ar-SA"/>
        </w:rPr>
        <w:t>库尔勒市</w:t>
      </w:r>
      <w:r>
        <w:rPr>
          <w:rFonts w:hint="eastAsia" w:ascii="仿宋_GB2312" w:eastAsia="仿宋_GB2312"/>
          <w:color w:val="auto"/>
          <w:spacing w:val="0"/>
          <w:sz w:val="32"/>
          <w:szCs w:val="32"/>
          <w:highlight w:val="none"/>
          <w:lang w:val="en-US" w:eastAsia="zh-CN"/>
        </w:rPr>
        <w:t>防汛防洪隐患整治工作项目资金较往年减少。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农林水支出（类）水利（款）抗旱（项）：支出决算数为0.00万元，比上年决算减少195.88万元，下降100.00%，主要原因是：</w:t>
      </w:r>
      <w:r>
        <w:rPr>
          <w:rFonts w:hint="eastAsia" w:ascii="仿宋_GB2312" w:eastAsia="仿宋_GB2312"/>
          <w:b w:val="0"/>
          <w:sz w:val="32"/>
          <w:szCs w:val="32"/>
          <w:lang w:val="en-US" w:eastAsia="zh-CN"/>
        </w:rPr>
        <w:t>库</w:t>
      </w:r>
      <w:r>
        <w:rPr>
          <w:rFonts w:hint="eastAsia" w:eastAsia="仿宋_GB2312" w:cs="Times New Roman"/>
          <w:color w:val="auto"/>
          <w:kern w:val="2"/>
          <w:sz w:val="32"/>
          <w:szCs w:val="32"/>
          <w:highlight w:val="none"/>
          <w:lang w:val="en-US" w:eastAsia="zh-CN" w:bidi="ar-SA"/>
        </w:rPr>
        <w:t>尔勒市农村饮水工程维修养护项目资金较往年 减少</w:t>
      </w:r>
      <w:r>
        <w:rPr>
          <w:rFonts w:hint="eastAsia" w:ascii="仿宋_GB2312" w:eastAsia="仿宋_GB2312"/>
          <w:b w:val="0"/>
          <w:sz w:val="32"/>
          <w:szCs w:val="32"/>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其他支出（类）其他支出（款）其他支出（项）：支出决算数为833.66万元，比上年决算减少525.68万元，下降38.67%，主要原因是：</w:t>
      </w:r>
      <w:r>
        <w:rPr>
          <w:rFonts w:hint="eastAsia" w:ascii="仿宋_GB2312" w:hAnsi="Times New Roman" w:eastAsia="仿宋_GB2312" w:cs="Times New Roman"/>
          <w:sz w:val="32"/>
          <w:szCs w:val="32"/>
          <w:lang w:val="en-US" w:eastAsia="zh-CN"/>
        </w:rPr>
        <w:t>库尔楚水库建设项目</w:t>
      </w:r>
      <w:r>
        <w:rPr>
          <w:rFonts w:hint="eastAsia" w:ascii="仿宋_GB2312" w:eastAsia="仿宋_GB2312" w:cs="Times New Roman"/>
          <w:sz w:val="32"/>
          <w:szCs w:val="32"/>
          <w:lang w:val="en-US" w:eastAsia="zh-CN"/>
        </w:rPr>
        <w:t>资金较往年减少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1,217.69万元，其中：人员经费1,148.29万元，包括：基本工资、津贴补贴、奖金、机关事业单位基本养老保险缴费、职业年金缴费、职工基本医疗保险缴费、公务员医疗补助缴费、其他社会保障缴费、住房公积金、医疗费、其他工资福利支出、退休费、抚恤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公用经费69.40万元，包括：办公费、电费、取暖费、差旅费、维修（护）费、培训费、工会经费、福利费、公务用车运行维护费和其他商品和服务支出。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2024年度政府性基金预算财政拨款收入总计8,824.90万元，其中：年初结转和结余0.00万元，本年收入8,824.90万元。政府性基金预算财政拨款支出总计8,824.90万元，其中：年末结转和结余0.00万元，本年支出8,824.90万元。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政府性基金预算财政拨款收入支出总体与上年相比，增加6,832.04万元，增长342.83%，主要原因是：</w:t>
      </w:r>
      <w:r>
        <w:rPr>
          <w:rFonts w:hint="eastAsia" w:ascii="仿宋_GB2312" w:eastAsia="仿宋_GB2312"/>
          <w:b w:val="0"/>
          <w:sz w:val="32"/>
          <w:szCs w:val="32"/>
          <w:lang w:val="en-US" w:eastAsia="zh-CN"/>
        </w:rPr>
        <w:t>库尔楚水库建设项目，博斯腾灌区“十四五”续建配套与现代化改造工程项目资金较往年增加</w:t>
      </w:r>
      <w:r>
        <w:rPr>
          <w:rFonts w:ascii="仿宋_GB2312" w:eastAsia="仿宋_GB2312"/>
          <w:b w:val="0"/>
          <w:sz w:val="32"/>
          <w:szCs w:val="32"/>
        </w:rPr>
        <w:t>。与年初预算相比，年初预算数217.86万元，决算数8,824.90万元，预决算差异率3,950.72%，主要原因是：</w:t>
      </w:r>
      <w:r>
        <w:rPr>
          <w:rFonts w:hint="eastAsia" w:ascii="仿宋_GB2312" w:eastAsia="仿宋_GB2312"/>
          <w:b w:val="0"/>
          <w:sz w:val="32"/>
          <w:szCs w:val="32"/>
          <w:lang w:val="en-US" w:eastAsia="zh-CN"/>
        </w:rPr>
        <w:t>库尔楚水库建设项目，博斯腾灌区“十四五”续建配套与现代化改造工程项目资金增加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政府性基金预算财政拨款支出8,824.90万元。</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城乡社区支出（类）国有土地使用权出让收入安排的支出（款）农村基础设施建设支出（项）：支出决算数为46.79万元，比上年决算增加46.79万元，增长100.00%，主要原因是：</w:t>
      </w:r>
      <w:r>
        <w:rPr>
          <w:rFonts w:hint="eastAsia" w:ascii="仿宋_GB2312" w:eastAsia="仿宋_GB2312"/>
          <w:b w:val="0"/>
          <w:sz w:val="32"/>
          <w:szCs w:val="32"/>
        </w:rPr>
        <w:t>库尔勒市普惠干渠应急输水工程款</w:t>
      </w:r>
      <w:r>
        <w:rPr>
          <w:rFonts w:hint="eastAsia" w:ascii="仿宋_GB2312" w:eastAsia="仿宋_GB2312"/>
          <w:b w:val="0"/>
          <w:sz w:val="32"/>
          <w:szCs w:val="32"/>
          <w:lang w:val="en-US" w:eastAsia="zh-CN"/>
        </w:rPr>
        <w:t>及库尔勒市老十八团渠泄洪通道损毁修复工程款及水土保持专家评审费等项目资金较往年增加。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城乡社区支出（类）国有土地使用权出让收入安排的支出（款）农业生产发展支出（项）：支出决算数为2,776.61万元，比上年决算增加2,576.61万元，增长1,288.31%，主要原因是：</w:t>
      </w:r>
      <w:r>
        <w:rPr>
          <w:rFonts w:hint="eastAsia" w:ascii="仿宋_GB2312" w:eastAsia="仿宋_GB2312"/>
          <w:b w:val="0"/>
          <w:sz w:val="32"/>
          <w:szCs w:val="32"/>
        </w:rPr>
        <w:t>库尔楚水库项目</w:t>
      </w:r>
      <w:r>
        <w:rPr>
          <w:rFonts w:hint="eastAsia" w:ascii="仿宋_GB2312" w:eastAsia="仿宋_GB2312"/>
          <w:b w:val="0"/>
          <w:sz w:val="32"/>
          <w:szCs w:val="32"/>
          <w:lang w:val="en-US" w:eastAsia="zh-CN"/>
        </w:rPr>
        <w:t>、博斯腾灌区“十四五”续建配套与现代化改造库尔勒片区工程项目、小型农田水利重点县工程项目及 2018年高效节水农田水利建设项目九标段等项目经费较往年增加。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城乡社区支出（类）国有土地使用权出让收入安排的支出（款）农业农村生态环境支出（项）：支出决算数为0.00万元，比上年决算减少1,206.27万元，下降100.00%，主要原因是：</w:t>
      </w:r>
      <w:r>
        <w:rPr>
          <w:rFonts w:hint="eastAsia" w:ascii="仿宋_GB2312" w:eastAsia="仿宋_GB2312"/>
          <w:b w:val="0"/>
          <w:sz w:val="32"/>
          <w:szCs w:val="32"/>
          <w:lang w:val="en-US" w:eastAsia="zh-CN"/>
        </w:rPr>
        <w:t>今年预算未安排此项目经费，因此与上年相比</w:t>
      </w:r>
      <w:r>
        <w:rPr>
          <w:rFonts w:ascii="仿宋_GB2312" w:eastAsia="仿宋_GB2312"/>
          <w:b w:val="0"/>
          <w:sz w:val="32"/>
          <w:szCs w:val="32"/>
        </w:rPr>
        <w:t>下降100.00%</w:t>
      </w:r>
      <w:r>
        <w:rPr>
          <w:rFonts w:hint="eastAsia" w:ascii="仿宋_GB2312" w:eastAsia="仿宋_GB2312"/>
          <w:b w:val="0"/>
          <w:sz w:val="32"/>
          <w:szCs w:val="32"/>
          <w:lang w:eastAsia="zh-CN"/>
        </w:rPr>
        <w:t>。</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城乡社区支出（类）国有土地使用权出让收入安排的支出（款）其他国有土地使用权出让收入安排的支出（项）：支出决算数为0.00万元，比上年决算减少585.10万元，下降100.00%，主要原因是：</w:t>
      </w:r>
      <w:r>
        <w:rPr>
          <w:rFonts w:hint="eastAsia" w:eastAsia="仿宋_GB2312" w:cs="Times New Roman"/>
          <w:color w:val="auto"/>
          <w:sz w:val="32"/>
          <w:szCs w:val="32"/>
          <w:highlight w:val="none"/>
          <w:lang w:val="en-US" w:eastAsia="zh-CN"/>
        </w:rPr>
        <w:t>库尔勒市农业灌溉机井井电双控取水智能计量系统项目资金支出较往年减少。</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农林水支出（类）大中型水库移民后期扶持基金支出（款）移民补助（项）：支出决算数为1.50万元，比上年决算增加1.50万元，增长100.00%，主要原因是：</w:t>
      </w:r>
      <w:r>
        <w:rPr>
          <w:rFonts w:hint="eastAsia" w:ascii="仿宋_GB2312" w:eastAsia="仿宋_GB2312"/>
          <w:b w:val="0"/>
          <w:sz w:val="32"/>
          <w:szCs w:val="32"/>
        </w:rPr>
        <w:t xml:space="preserve">大中型水库移民后期扶持基金 </w:t>
      </w:r>
      <w:r>
        <w:rPr>
          <w:rFonts w:hint="eastAsia" w:ascii="仿宋_GB2312" w:eastAsia="仿宋_GB2312"/>
          <w:b w:val="0"/>
          <w:sz w:val="32"/>
          <w:szCs w:val="32"/>
          <w:lang w:val="en-US" w:eastAsia="zh-CN"/>
        </w:rPr>
        <w:t>-</w:t>
      </w:r>
      <w:r>
        <w:rPr>
          <w:rFonts w:hint="eastAsia" w:ascii="仿宋_GB2312" w:eastAsia="仿宋_GB2312"/>
          <w:b w:val="0"/>
          <w:sz w:val="32"/>
          <w:szCs w:val="32"/>
        </w:rPr>
        <w:t>移民补助</w:t>
      </w:r>
      <w:r>
        <w:rPr>
          <w:rFonts w:hint="eastAsia" w:ascii="仿宋_GB2312" w:eastAsia="仿宋_GB2312"/>
          <w:b w:val="0"/>
          <w:sz w:val="32"/>
          <w:szCs w:val="32"/>
          <w:lang w:val="en-US" w:eastAsia="zh-CN"/>
        </w:rPr>
        <w:t>项目经费较往年增加。</w:t>
      </w:r>
    </w:p>
    <w:p>
      <w:pPr>
        <w:widowControl/>
        <w:numPr>
          <w:ilvl w:val="0"/>
          <w:numId w:val="2"/>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政府性基金及对应专项债务收入安排的支出（款）其他地方自行试点项目收益专项债券收入安排的支出（项）：支出决算数为6,000.00万元，比上年决算增加6,000.00万元，增长100.00%，主要原因是：</w:t>
      </w:r>
      <w:r>
        <w:rPr>
          <w:rFonts w:hint="eastAsia" w:ascii="仿宋_GB2312" w:eastAsia="仿宋_GB2312"/>
          <w:b w:val="0"/>
          <w:sz w:val="32"/>
          <w:szCs w:val="32"/>
        </w:rPr>
        <w:t>库尔勒市库尔楚水库建设项目</w:t>
      </w:r>
      <w:r>
        <w:rPr>
          <w:rFonts w:hint="eastAsia" w:ascii="仿宋_GB2312" w:eastAsia="仿宋_GB2312"/>
          <w:b w:val="0"/>
          <w:sz w:val="32"/>
          <w:szCs w:val="32"/>
          <w:lang w:val="en-US" w:eastAsia="zh-CN"/>
        </w:rPr>
        <w:t>资金较往年增加。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2024年度财政拨款“三公”经费支出9.11万元，比上年减少2.68万元，下降22.73%，主要原因是：</w:t>
      </w:r>
      <w:r>
        <w:rPr>
          <w:rFonts w:hint="eastAsia" w:ascii="仿宋_GB2312" w:eastAsia="仿宋_GB2312"/>
          <w:b w:val="0"/>
          <w:sz w:val="32"/>
          <w:szCs w:val="32"/>
          <w:lang w:val="en-US" w:eastAsia="zh-CN"/>
        </w:rPr>
        <w:t>严格控制三公经费支出，三公经费逐年递减</w:t>
      </w:r>
      <w:r>
        <w:rPr>
          <w:rFonts w:ascii="仿宋_GB2312" w:eastAsia="仿宋_GB2312"/>
          <w:b w:val="0"/>
          <w:sz w:val="32"/>
          <w:szCs w:val="32"/>
        </w:rPr>
        <w:t>。其中：因公出国（境）费支出0.00万元,占0.00%，与上年相比无变化，主要原因是</w:t>
      </w:r>
      <w:r>
        <w:rPr>
          <w:rFonts w:hint="eastAsia" w:ascii="仿宋_GB2312" w:hAnsi="Times New Roman" w:eastAsia="仿宋_GB2312" w:cs="Times New Roman"/>
          <w:sz w:val="32"/>
          <w:szCs w:val="32"/>
        </w:rPr>
        <w:t>本年无因公出国（境）费支出，与上年相比无</w:t>
      </w:r>
      <w:r>
        <w:rPr>
          <w:rFonts w:ascii="仿宋_GB2312" w:eastAsia="仿宋_GB2312"/>
          <w:b w:val="0"/>
          <w:sz w:val="32"/>
          <w:szCs w:val="32"/>
        </w:rPr>
        <w:t>变化；公务用车购置及运行维护费支出9.11万元，占100.00%，比上年减少2.68万元，下降22.73%，主要原因是：</w:t>
      </w:r>
      <w:r>
        <w:rPr>
          <w:rFonts w:hint="eastAsia" w:ascii="仿宋_GB2312" w:eastAsia="仿宋_GB2312"/>
          <w:b w:val="0"/>
          <w:sz w:val="32"/>
          <w:szCs w:val="32"/>
          <w:lang w:val="en-US" w:eastAsia="zh-CN"/>
        </w:rPr>
        <w:t>严格控制三公经费支出，</w:t>
      </w:r>
      <w:r>
        <w:rPr>
          <w:rFonts w:hint="eastAsia" w:ascii="仿宋_GB2312" w:hAnsi="Times New Roman" w:eastAsia="仿宋_GB2312" w:cs="Times New Roman"/>
          <w:sz w:val="32"/>
          <w:szCs w:val="32"/>
        </w:rPr>
        <w:t>加强公务车辆出行管理</w:t>
      </w:r>
      <w:r>
        <w:rPr>
          <w:rFonts w:hint="eastAsia" w:ascii="仿宋_GB2312" w:eastAsia="仿宋_GB2312"/>
          <w:b w:val="0"/>
          <w:sz w:val="32"/>
          <w:szCs w:val="32"/>
          <w:lang w:val="en-US" w:eastAsia="zh-CN"/>
        </w:rPr>
        <w:t>，</w:t>
      </w:r>
      <w:r>
        <w:rPr>
          <w:rFonts w:hint="eastAsia" w:ascii="仿宋_GB2312" w:eastAsia="仿宋_GB2312" w:cs="Times New Roman"/>
          <w:sz w:val="32"/>
          <w:szCs w:val="32"/>
          <w:lang w:val="en-US" w:eastAsia="zh-CN"/>
        </w:rPr>
        <w:t>合理安排公务用车</w:t>
      </w:r>
      <w:r>
        <w:rPr>
          <w:rFonts w:hint="eastAsia" w:ascii="仿宋_GB2312" w:eastAsia="仿宋_GB2312"/>
          <w:color w:val="auto"/>
          <w:sz w:val="32"/>
          <w:szCs w:val="32"/>
          <w:highlight w:val="none"/>
          <w:lang w:val="zh-CN" w:eastAsia="zh-CN"/>
        </w:rPr>
        <w:t>运行维护费，</w:t>
      </w:r>
      <w:r>
        <w:rPr>
          <w:rFonts w:ascii="仿宋_GB2312" w:eastAsia="仿宋_GB2312"/>
          <w:b w:val="0"/>
          <w:sz w:val="32"/>
          <w:szCs w:val="32"/>
        </w:rPr>
        <w:t>公务用车购置及运行维护费支出</w:t>
      </w:r>
      <w:r>
        <w:rPr>
          <w:rFonts w:hint="eastAsia" w:ascii="仿宋_GB2312" w:eastAsia="仿宋_GB2312"/>
          <w:b w:val="0"/>
          <w:sz w:val="32"/>
          <w:szCs w:val="32"/>
          <w:lang w:val="en-US" w:eastAsia="zh-CN"/>
        </w:rPr>
        <w:t>较往年减少</w:t>
      </w:r>
      <w:r>
        <w:rPr>
          <w:rFonts w:ascii="仿宋_GB2312" w:eastAsia="仿宋_GB2312"/>
          <w:b w:val="0"/>
          <w:sz w:val="32"/>
          <w:szCs w:val="32"/>
        </w:rPr>
        <w:t>；公务接待费支出0.00万元，占0.00%，与上年相比无变化，主要原因是：</w:t>
      </w:r>
      <w:r>
        <w:rPr>
          <w:rFonts w:hint="eastAsia" w:ascii="仿宋_GB2312" w:hAnsi="Times New Roman" w:eastAsia="仿宋_GB2312" w:cs="Times New Roman"/>
          <w:sz w:val="32"/>
          <w:szCs w:val="32"/>
          <w:lang w:val="en-US" w:eastAsia="zh-CN"/>
        </w:rPr>
        <w:t>今年未安排预算，</w:t>
      </w:r>
      <w:r>
        <w:rPr>
          <w:rFonts w:hint="eastAsia" w:ascii="仿宋_GB2312" w:hAnsi="Times New Roman" w:eastAsia="仿宋_GB2312" w:cs="Times New Roman"/>
          <w:sz w:val="32"/>
          <w:szCs w:val="32"/>
        </w:rPr>
        <w:t>公务接待费无变动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hAnsi="Times New Roman" w:eastAsia="仿宋_GB2312" w:cs="Times New Roman"/>
          <w:sz w:val="32"/>
          <w:szCs w:val="32"/>
        </w:rPr>
        <w:t>本年未安排因公出国（境）费支出，无开支内容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公务用车购置及运行维护费9.11万元，其中：公务用车购置费0.00万元，公务用车运行维护费9.11万元。公务用车运行维护费开支内容包括</w:t>
      </w:r>
      <w:r>
        <w:rPr>
          <w:rFonts w:hint="eastAsia" w:ascii="仿宋_GB2312" w:hAnsi="Times New Roman" w:eastAsia="仿宋_GB2312" w:cs="Times New Roman"/>
          <w:sz w:val="32"/>
          <w:szCs w:val="32"/>
          <w:lang w:val="en-US" w:eastAsia="zh-CN"/>
        </w:rPr>
        <w:t>公务用车油料款、公务用车维修费、公务用车保险费</w:t>
      </w:r>
      <w:r>
        <w:rPr>
          <w:rFonts w:ascii="仿宋_GB2312" w:eastAsia="仿宋_GB2312"/>
          <w:b w:val="0"/>
          <w:sz w:val="32"/>
          <w:szCs w:val="32"/>
        </w:rPr>
        <w:t>。公务用车购置数0辆，公务用车保有量4辆。国有资产占用情况中固定资产车辆4辆，与公务用车保有量差异原因是：</w:t>
      </w:r>
      <w:r>
        <w:rPr>
          <w:rFonts w:hint="eastAsia" w:ascii="仿宋_GB2312" w:eastAsia="仿宋_GB2312"/>
          <w:b w:val="0"/>
          <w:sz w:val="32"/>
          <w:szCs w:val="32"/>
          <w:lang w:val="zh-CN" w:eastAsia="zh-CN"/>
        </w:rPr>
        <w:t>公务用车保有量</w:t>
      </w:r>
      <w:r>
        <w:rPr>
          <w:rFonts w:hint="eastAsia" w:ascii="仿宋_GB2312" w:eastAsia="仿宋_GB2312"/>
          <w:b w:val="0"/>
          <w:sz w:val="32"/>
          <w:szCs w:val="32"/>
          <w:lang w:val="en-US" w:eastAsia="zh-CN"/>
        </w:rPr>
        <w:t>与</w:t>
      </w:r>
      <w:r>
        <w:rPr>
          <w:rFonts w:hint="eastAsia" w:ascii="仿宋_GB2312" w:eastAsia="仿宋_GB2312"/>
          <w:b w:val="0"/>
          <w:sz w:val="32"/>
          <w:szCs w:val="32"/>
          <w:lang w:val="zh-CN" w:eastAsia="zh-CN"/>
        </w:rPr>
        <w:t>国有资产占用情况</w:t>
      </w:r>
      <w:r>
        <w:rPr>
          <w:rFonts w:hint="eastAsia" w:ascii="仿宋_GB2312" w:eastAsia="仿宋_GB2312"/>
          <w:b w:val="0"/>
          <w:sz w:val="32"/>
          <w:szCs w:val="32"/>
          <w:lang w:val="en-US" w:eastAsia="zh-CN"/>
        </w:rPr>
        <w:t>中固定资产车辆数相同，无差异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hAnsi="Times New Roman" w:eastAsia="仿宋_GB2312" w:cs="Times New Roman"/>
          <w:sz w:val="32"/>
          <w:szCs w:val="32"/>
          <w:lang w:val="en-US" w:eastAsia="zh-CN"/>
        </w:rPr>
        <w:t>本</w:t>
      </w:r>
      <w:r>
        <w:rPr>
          <w:rFonts w:hint="eastAsia" w:ascii="仿宋_GB2312" w:hAnsi="Times New Roman" w:eastAsia="仿宋_GB2312" w:cs="Times New Roman"/>
          <w:sz w:val="32"/>
          <w:szCs w:val="32"/>
        </w:rPr>
        <w:t>年未安排公务接待费支出，无开支内容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与全年预算相比，财政拨款“三公”经费支出全年预算数9.11万元，决算数9.11万元，预决算差异率0.00%，主要原因是：</w:t>
      </w:r>
      <w:r>
        <w:rPr>
          <w:rFonts w:hint="eastAsia" w:ascii="仿宋_GB2312" w:hAnsi="Times New Roman" w:eastAsia="仿宋_GB2312" w:cs="Times New Roman"/>
          <w:sz w:val="32"/>
          <w:szCs w:val="32"/>
        </w:rPr>
        <w:t>加强公务车辆出行管理</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合理安排公务用车</w:t>
      </w:r>
      <w:r>
        <w:rPr>
          <w:rFonts w:hint="eastAsia" w:ascii="仿宋_GB2312" w:eastAsia="仿宋_GB2312"/>
          <w:color w:val="auto"/>
          <w:sz w:val="32"/>
          <w:szCs w:val="32"/>
          <w:highlight w:val="none"/>
          <w:lang w:val="zh-CN" w:eastAsia="zh-CN"/>
        </w:rPr>
        <w:t>运行维护费，</w:t>
      </w:r>
      <w:r>
        <w:rPr>
          <w:rFonts w:hint="eastAsia" w:ascii="仿宋_GB2312" w:hAnsi="Times New Roman" w:eastAsia="仿宋_GB2312" w:cs="Times New Roman"/>
          <w:sz w:val="32"/>
          <w:szCs w:val="32"/>
        </w:rPr>
        <w:t>预决算无差</w:t>
      </w:r>
      <w:r>
        <w:rPr>
          <w:rFonts w:hint="eastAsia" w:ascii="仿宋_GB2312" w:eastAsia="仿宋_GB2312" w:cs="Times New Roman"/>
          <w:sz w:val="32"/>
          <w:szCs w:val="32"/>
          <w:lang w:val="en-US" w:eastAsia="zh-CN"/>
        </w:rPr>
        <w:t>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en-US" w:eastAsia="zh-CN"/>
        </w:rPr>
        <w:t>今年未安排预算，</w:t>
      </w:r>
      <w:r>
        <w:rPr>
          <w:rFonts w:hint="eastAsia" w:ascii="仿宋_GB2312" w:eastAsia="仿宋_GB2312"/>
          <w:color w:val="auto"/>
          <w:sz w:val="32"/>
          <w:szCs w:val="32"/>
          <w:highlight w:val="none"/>
          <w:lang w:val="zh-CN" w:eastAsia="zh-CN"/>
        </w:rPr>
        <w:t>预决算无差异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今年未安排预算，</w:t>
      </w:r>
      <w:r>
        <w:rPr>
          <w:rFonts w:hint="eastAsia" w:ascii="仿宋_GB2312" w:eastAsia="仿宋_GB2312"/>
          <w:color w:val="auto"/>
          <w:sz w:val="32"/>
          <w:szCs w:val="32"/>
          <w:highlight w:val="none"/>
          <w:lang w:val="zh-CN" w:eastAsia="zh-CN"/>
        </w:rPr>
        <w:t>预决算无差异</w:t>
      </w:r>
      <w:r>
        <w:rPr>
          <w:rFonts w:ascii="仿宋_GB2312" w:eastAsia="仿宋_GB2312"/>
          <w:b w:val="0"/>
          <w:sz w:val="32"/>
          <w:szCs w:val="32"/>
        </w:rPr>
        <w:t>。公务用车运行维护费全年预算数9.11万元，决算数9.11万元，预决算差异率0.00%，主要原因是：</w:t>
      </w:r>
      <w:r>
        <w:rPr>
          <w:rFonts w:hint="eastAsia" w:ascii="仿宋_GB2312" w:eastAsia="仿宋_GB2312"/>
          <w:color w:val="auto"/>
          <w:sz w:val="32"/>
          <w:szCs w:val="32"/>
          <w:highlight w:val="none"/>
          <w:lang w:val="en-US" w:eastAsia="zh-CN"/>
        </w:rPr>
        <w:t>加</w:t>
      </w:r>
      <w:r>
        <w:rPr>
          <w:rFonts w:hint="eastAsia" w:ascii="仿宋_GB2312" w:eastAsia="仿宋_GB2312"/>
          <w:color w:val="auto"/>
          <w:sz w:val="32"/>
          <w:szCs w:val="32"/>
          <w:highlight w:val="none"/>
          <w:lang w:val="zh-CN" w:eastAsia="zh-CN"/>
        </w:rPr>
        <w:t>强公务车辆出行管理，</w:t>
      </w:r>
      <w:r>
        <w:rPr>
          <w:rFonts w:hint="eastAsia" w:ascii="仿宋_GB2312" w:eastAsia="仿宋_GB2312"/>
          <w:color w:val="auto"/>
          <w:sz w:val="32"/>
          <w:szCs w:val="32"/>
          <w:highlight w:val="none"/>
          <w:lang w:val="en-US" w:eastAsia="zh-CN"/>
        </w:rPr>
        <w:t>合理安排公务用车</w:t>
      </w:r>
      <w:r>
        <w:rPr>
          <w:rFonts w:hint="eastAsia" w:ascii="仿宋_GB2312" w:eastAsia="仿宋_GB2312"/>
          <w:color w:val="auto"/>
          <w:sz w:val="32"/>
          <w:szCs w:val="32"/>
          <w:highlight w:val="none"/>
          <w:lang w:val="zh-CN" w:eastAsia="zh-CN"/>
        </w:rPr>
        <w:t>运行维护费，预决算无差</w:t>
      </w:r>
      <w:r>
        <w:rPr>
          <w:rFonts w:hint="eastAsia" w:ascii="仿宋_GB2312" w:eastAsia="仿宋_GB2312"/>
          <w:color w:val="auto"/>
          <w:sz w:val="32"/>
          <w:szCs w:val="32"/>
          <w:highlight w:val="none"/>
          <w:lang w:val="en-US" w:eastAsia="zh-CN"/>
        </w:rPr>
        <w:t>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en-US" w:eastAsia="zh-CN"/>
        </w:rPr>
        <w:t>今年未安排预算，</w:t>
      </w:r>
      <w:r>
        <w:rPr>
          <w:rFonts w:hint="eastAsia" w:ascii="仿宋_GB2312" w:eastAsia="仿宋_GB2312"/>
          <w:color w:val="auto"/>
          <w:sz w:val="32"/>
          <w:szCs w:val="32"/>
          <w:highlight w:val="none"/>
          <w:lang w:val="zh-CN" w:eastAsia="zh-CN"/>
        </w:rPr>
        <w:t>预决算无差异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2024年度库尔勒市水利局单位机关运行经费支出116.19万元，比上年增加41.03万元，增长54.59%，主要原因是</w:t>
      </w:r>
      <w:r>
        <w:rPr>
          <w:rFonts w:hint="eastAsia" w:eastAsia="仿宋_GB2312" w:cs="Times New Roman"/>
          <w:color w:val="auto"/>
          <w:sz w:val="32"/>
          <w:szCs w:val="32"/>
          <w:highlight w:val="none"/>
          <w:lang w:val="en-US" w:eastAsia="zh-CN"/>
        </w:rPr>
        <w:t>办公费及维修维护费等经费较往年增加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2024年度政府采购支出总额3.39万元，其中：政府采购货物支出0.00万元、政府采购工程支出0.00万元、政府采购服务支出3.39万元。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授予中小企业合同金额2.53万元，占政府采购支出总额的74.63%，其中：授予小微企业合同金额2.53万元，占政府采购支出总额的74.63%。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4辆，价值57.73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hAnsi="Times New Roman" w:eastAsia="仿宋_GB2312" w:cs="Times New Roman"/>
          <w:sz w:val="32"/>
          <w:szCs w:val="32"/>
          <w:lang w:val="en-US" w:eastAsia="zh-CN"/>
        </w:rPr>
        <w:t>公务用车一辆、</w:t>
      </w:r>
      <w:r>
        <w:rPr>
          <w:rFonts w:hint="eastAsia" w:ascii="仿宋_GB2312" w:hAnsi="Times New Roman" w:eastAsia="仿宋_GB2312" w:cs="Times New Roman"/>
          <w:sz w:val="32"/>
          <w:szCs w:val="32"/>
        </w:rPr>
        <w:t>执法执勤用车</w:t>
      </w:r>
      <w:r>
        <w:rPr>
          <w:rFonts w:hint="eastAsia" w:ascii="仿宋_GB2312" w:hAnsi="Times New Roman" w:eastAsia="仿宋_GB2312" w:cs="Times New Roman"/>
          <w:sz w:val="32"/>
          <w:szCs w:val="32"/>
          <w:lang w:val="en-US" w:eastAsia="zh-CN"/>
        </w:rPr>
        <w:t>一</w:t>
      </w:r>
      <w:r>
        <w:rPr>
          <w:rFonts w:hint="eastAsia" w:ascii="仿宋_GB2312" w:hAnsi="Times New Roman" w:eastAsia="仿宋_GB2312" w:cs="Times New Roman"/>
          <w:sz w:val="32"/>
          <w:szCs w:val="32"/>
        </w:rPr>
        <w:t>辆</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河湖管理巡河及防洪防汛用车</w:t>
      </w:r>
      <w:r>
        <w:rPr>
          <w:rFonts w:hint="eastAsia" w:ascii="仿宋_GB2312" w:hAnsi="Times New Roman" w:eastAsia="仿宋_GB2312" w:cs="Times New Roman"/>
          <w:sz w:val="32"/>
          <w:szCs w:val="32"/>
          <w:lang w:val="en-US" w:eastAsia="zh-CN"/>
        </w:rPr>
        <w:t>一</w:t>
      </w:r>
      <w:r>
        <w:rPr>
          <w:rFonts w:hint="eastAsia" w:ascii="仿宋_GB2312" w:hAnsi="Times New Roman" w:eastAsia="仿宋_GB2312" w:cs="Times New Roman"/>
          <w:sz w:val="32"/>
          <w:szCs w:val="32"/>
        </w:rPr>
        <w:t>辆</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不再使用</w:t>
      </w:r>
      <w:r>
        <w:rPr>
          <w:rFonts w:hint="eastAsia" w:ascii="仿宋_GB2312" w:hAnsi="Times New Roman" w:eastAsia="仿宋_GB2312" w:cs="Times New Roman"/>
          <w:sz w:val="32"/>
          <w:szCs w:val="32"/>
          <w:lang w:val="en-US" w:eastAsia="zh-CN"/>
        </w:rPr>
        <w:t>车一辆</w:t>
      </w:r>
      <w:r>
        <w:rPr>
          <w:rFonts w:hint="eastAsia" w:ascii="仿宋_GB2312" w:hAnsi="Times New Roman" w:eastAsia="仿宋_GB2312" w:cs="Times New Roman"/>
          <w:sz w:val="32"/>
          <w:szCs w:val="32"/>
        </w:rPr>
        <w:t>，因已到报废年限</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14903.66</w:t>
      </w:r>
      <w:r>
        <w:rPr>
          <w:rFonts w:ascii="仿宋_GB2312" w:eastAsia="仿宋_GB2312"/>
          <w:b w:val="0"/>
          <w:sz w:val="32"/>
          <w:szCs w:val="32"/>
        </w:rPr>
        <w:t>万元，实际执行总额</w:t>
      </w:r>
      <w:r>
        <w:rPr>
          <w:rFonts w:hint="eastAsia" w:ascii="仿宋_GB2312" w:eastAsia="仿宋_GB2312"/>
          <w:b w:val="0"/>
          <w:sz w:val="32"/>
          <w:szCs w:val="32"/>
          <w:lang w:val="en-US" w:eastAsia="zh-CN"/>
        </w:rPr>
        <w:t>14903.66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6</w:t>
      </w:r>
      <w:r>
        <w:rPr>
          <w:rFonts w:ascii="仿宋_GB2312" w:eastAsia="仿宋_GB2312"/>
          <w:b w:val="0"/>
          <w:sz w:val="32"/>
          <w:szCs w:val="32"/>
        </w:rPr>
        <w:t>个，全年预算数</w:t>
      </w:r>
      <w:r>
        <w:rPr>
          <w:rFonts w:hint="eastAsia" w:ascii="仿宋_GB2312" w:eastAsia="仿宋_GB2312"/>
          <w:b w:val="0"/>
          <w:sz w:val="32"/>
          <w:szCs w:val="32"/>
          <w:lang w:val="en-US" w:eastAsia="zh-CN"/>
        </w:rPr>
        <w:t>4196.16</w:t>
      </w:r>
      <w:r>
        <w:rPr>
          <w:rFonts w:ascii="仿宋_GB2312" w:eastAsia="仿宋_GB2312"/>
          <w:b w:val="0"/>
          <w:sz w:val="32"/>
          <w:szCs w:val="32"/>
        </w:rPr>
        <w:t>万元，全年执行数</w:t>
      </w:r>
      <w:r>
        <w:rPr>
          <w:rFonts w:hint="eastAsia" w:ascii="仿宋_GB2312" w:eastAsia="仿宋_GB2312"/>
          <w:b w:val="0"/>
          <w:sz w:val="32"/>
          <w:szCs w:val="32"/>
          <w:lang w:val="en-US" w:eastAsia="zh-CN"/>
        </w:rPr>
        <w:t>3637.56</w:t>
      </w:r>
      <w:r>
        <w:rPr>
          <w:rFonts w:ascii="仿宋_GB2312" w:eastAsia="仿宋_GB2312"/>
          <w:b w:val="0"/>
          <w:sz w:val="32"/>
          <w:szCs w:val="32"/>
        </w:rPr>
        <w:t>万元。预算绩效管理取得的成效：</w:t>
      </w:r>
      <w:r>
        <w:rPr>
          <w:rFonts w:hint="eastAsia" w:ascii="仿宋_GB2312" w:eastAsia="仿宋_GB2312"/>
          <w:b w:val="0"/>
          <w:sz w:val="32"/>
          <w:szCs w:val="32"/>
        </w:rPr>
        <w:t>一是能做到严格执行各项财务管理制度，做到项目资金专款专用；二是政府采购项目实现节约、高效使用财政资金，采购过程公开、程序规范</w:t>
      </w:r>
      <w:r>
        <w:rPr>
          <w:rFonts w:ascii="仿宋_GB2312" w:eastAsia="仿宋_GB2312"/>
          <w:b w:val="0"/>
          <w:sz w:val="32"/>
          <w:szCs w:val="32"/>
        </w:rPr>
        <w:t>。发现的问题及原因：</w:t>
      </w:r>
      <w:r>
        <w:rPr>
          <w:rFonts w:hint="eastAsia" w:ascii="仿宋_GB2312" w:eastAsia="仿宋_GB2312"/>
          <w:b w:val="0"/>
          <w:sz w:val="32"/>
          <w:szCs w:val="32"/>
        </w:rPr>
        <w:t>一是预算绩效观念不强，对预算绩效管理工作重视程度还不足</w:t>
      </w:r>
      <w:r>
        <w:rPr>
          <w:rFonts w:hint="eastAsia" w:ascii="仿宋_GB2312" w:eastAsia="仿宋_GB2312"/>
          <w:b w:val="0"/>
          <w:sz w:val="32"/>
          <w:szCs w:val="32"/>
          <w:lang w:eastAsia="zh-CN"/>
        </w:rPr>
        <w:t>，</w:t>
      </w:r>
      <w:r>
        <w:rPr>
          <w:rFonts w:hint="eastAsia" w:ascii="仿宋_GB2312" w:eastAsia="仿宋_GB2312"/>
          <w:b w:val="0"/>
          <w:sz w:val="32"/>
          <w:szCs w:val="32"/>
        </w:rPr>
        <w:t>对预算绩效管理工作的意义、框架、思路、操作规程认识不够深入，申报绩效目标不够明确；二是</w:t>
      </w:r>
      <w:r>
        <w:rPr>
          <w:rFonts w:hint="eastAsia" w:ascii="仿宋_GB2312" w:eastAsia="仿宋_GB2312"/>
          <w:b w:val="0"/>
          <w:sz w:val="32"/>
          <w:szCs w:val="32"/>
          <w:lang w:val="en-US" w:eastAsia="zh-CN"/>
        </w:rPr>
        <w:t>项目</w:t>
      </w:r>
      <w:r>
        <w:rPr>
          <w:rFonts w:hint="eastAsia" w:ascii="仿宋_GB2312" w:eastAsia="仿宋_GB2312"/>
          <w:b w:val="0"/>
          <w:sz w:val="32"/>
          <w:szCs w:val="32"/>
        </w:rPr>
        <w:t>绩效申报时，编制的绩效目标不具体，</w:t>
      </w:r>
      <w:r>
        <w:rPr>
          <w:rFonts w:hint="eastAsia" w:ascii="仿宋_GB2312" w:eastAsia="仿宋_GB2312"/>
          <w:b w:val="0"/>
          <w:sz w:val="32"/>
          <w:szCs w:val="32"/>
          <w:lang w:val="en-US" w:eastAsia="zh-CN"/>
        </w:rPr>
        <w:t>没有</w:t>
      </w:r>
      <w:r>
        <w:rPr>
          <w:rFonts w:hint="eastAsia" w:ascii="仿宋_GB2312" w:eastAsia="仿宋_GB2312"/>
          <w:b w:val="0"/>
          <w:sz w:val="32"/>
          <w:szCs w:val="32"/>
        </w:rPr>
        <w:t>细化分解为具体工作任务，部分绩效指标不清晰、可衡量性有待提高</w:t>
      </w:r>
      <w:r>
        <w:rPr>
          <w:rFonts w:ascii="仿宋_GB2312" w:eastAsia="仿宋_GB2312"/>
          <w:b w:val="0"/>
          <w:sz w:val="32"/>
          <w:szCs w:val="32"/>
        </w:rPr>
        <w:t>。下一步改进措施：</w:t>
      </w:r>
      <w:r>
        <w:rPr>
          <w:rFonts w:hint="eastAsia" w:ascii="仿宋_GB2312" w:eastAsia="仿宋_GB2312"/>
          <w:b w:val="0"/>
          <w:sz w:val="32"/>
          <w:szCs w:val="32"/>
        </w:rPr>
        <w:t>一是加强绩效评价结果的应用，切实提高财政资金使用效益和管理水平；二是项目支出严格执行政府采购制度，规范签订采购合同，保证项目质量的同时节省财政资金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三是</w:t>
      </w:r>
      <w:r>
        <w:rPr>
          <w:rFonts w:hint="eastAsia" w:ascii="仿宋_GB2312" w:eastAsia="仿宋_GB2312"/>
          <w:b w:val="0"/>
          <w:sz w:val="32"/>
          <w:szCs w:val="32"/>
        </w:rPr>
        <w:t>在编制项目资金绩效目标时要求指向明确、细化量化、合理可行、相应匹配，健全规范验收手续，以保证项目的验收质量</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jc w:val="center"/>
        <w:outlineLvl w:val="0"/>
        <w:rPr>
          <w:rFonts w:ascii="黑体" w:eastAsia="黑体"/>
          <w:sz w:val="32"/>
          <w:szCs w:val="32"/>
        </w:rPr>
      </w:pPr>
      <w:r>
        <w:rPr>
          <w:b w:val="0"/>
          <w:sz w:val="0"/>
          <w:szCs w:val="0"/>
        </w:rPr>
        <w:br w:type="page"/>
      </w: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p>
      <w:pPr>
        <w:widowControl/>
      </w:pPr>
      <w:r>
        <w:drawing>
          <wp:inline distT="0" distB="0" distL="114300" distR="114300">
            <wp:extent cx="6101715" cy="7776210"/>
            <wp:effectExtent l="0" t="0" r="1333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01715" cy="7776210"/>
                    </a:xfrm>
                    <a:prstGeom prst="rect">
                      <a:avLst/>
                    </a:prstGeom>
                    <a:noFill/>
                    <a:ln>
                      <a:noFill/>
                    </a:ln>
                  </pic:spPr>
                </pic:pic>
              </a:graphicData>
            </a:graphic>
          </wp:inline>
        </w:drawing>
      </w:r>
      <w:r>
        <w:drawing>
          <wp:inline distT="0" distB="0" distL="114300" distR="114300">
            <wp:extent cx="6092190" cy="5302250"/>
            <wp:effectExtent l="0" t="0" r="381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grayscl/>
                    </a:blip>
                    <a:stretch>
                      <a:fillRect/>
                    </a:stretch>
                  </pic:blipFill>
                  <pic:spPr>
                    <a:xfrm>
                      <a:off x="0" y="0"/>
                      <a:ext cx="6092190" cy="5302250"/>
                    </a:xfrm>
                    <a:prstGeom prst="rect">
                      <a:avLst/>
                    </a:prstGeom>
                    <a:noFill/>
                    <a:ln>
                      <a:noFill/>
                    </a:ln>
                  </pic:spPr>
                </pic:pic>
              </a:graphicData>
            </a:graphic>
          </wp:inline>
        </w:drawing>
      </w:r>
      <w:r>
        <w:drawing>
          <wp:inline distT="0" distB="0" distL="114300" distR="114300">
            <wp:extent cx="5677535" cy="7436485"/>
            <wp:effectExtent l="0" t="0" r="1841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grayscl/>
                    </a:blip>
                    <a:stretch>
                      <a:fillRect/>
                    </a:stretch>
                  </pic:blipFill>
                  <pic:spPr>
                    <a:xfrm>
                      <a:off x="0" y="0"/>
                      <a:ext cx="5677535" cy="7436485"/>
                    </a:xfrm>
                    <a:prstGeom prst="rect">
                      <a:avLst/>
                    </a:prstGeom>
                    <a:noFill/>
                    <a:ln>
                      <a:noFill/>
                    </a:ln>
                  </pic:spPr>
                </pic:pic>
              </a:graphicData>
            </a:graphic>
          </wp:inline>
        </w:drawing>
      </w:r>
      <w:r>
        <w:drawing>
          <wp:inline distT="0" distB="0" distL="114300" distR="114300">
            <wp:extent cx="5718175" cy="8009255"/>
            <wp:effectExtent l="0" t="0" r="1587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718175" cy="8009255"/>
                    </a:xfrm>
                    <a:prstGeom prst="rect">
                      <a:avLst/>
                    </a:prstGeom>
                    <a:noFill/>
                    <a:ln>
                      <a:noFill/>
                    </a:ln>
                  </pic:spPr>
                </pic:pic>
              </a:graphicData>
            </a:graphic>
          </wp:inline>
        </w:drawing>
      </w:r>
      <w:r>
        <w:drawing>
          <wp:inline distT="0" distB="0" distL="114300" distR="114300">
            <wp:extent cx="5480685" cy="5883275"/>
            <wp:effectExtent l="0" t="0" r="571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grayscl/>
                    </a:blip>
                    <a:stretch>
                      <a:fillRect/>
                    </a:stretch>
                  </pic:blipFill>
                  <pic:spPr>
                    <a:xfrm>
                      <a:off x="0" y="0"/>
                      <a:ext cx="5480685" cy="5883275"/>
                    </a:xfrm>
                    <a:prstGeom prst="rect">
                      <a:avLst/>
                    </a:prstGeom>
                    <a:noFill/>
                    <a:ln>
                      <a:noFill/>
                    </a:ln>
                  </pic:spPr>
                </pic:pic>
              </a:graphicData>
            </a:graphic>
          </wp:inline>
        </w:drawing>
      </w:r>
      <w:r>
        <w:drawing>
          <wp:inline distT="0" distB="0" distL="114300" distR="114300">
            <wp:extent cx="5800725" cy="8182610"/>
            <wp:effectExtent l="0" t="0" r="952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800725" cy="8182610"/>
                    </a:xfrm>
                    <a:prstGeom prst="rect">
                      <a:avLst/>
                    </a:prstGeom>
                    <a:noFill/>
                    <a:ln>
                      <a:noFill/>
                    </a:ln>
                  </pic:spPr>
                </pic:pic>
              </a:graphicData>
            </a:graphic>
          </wp:inline>
        </w:drawing>
      </w:r>
      <w:r>
        <w:drawing>
          <wp:inline distT="0" distB="0" distL="114300" distR="114300">
            <wp:extent cx="5480050" cy="5133340"/>
            <wp:effectExtent l="0" t="0" r="635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grayscl/>
                    </a:blip>
                    <a:stretch>
                      <a:fillRect/>
                    </a:stretch>
                  </pic:blipFill>
                  <pic:spPr>
                    <a:xfrm>
                      <a:off x="0" y="0"/>
                      <a:ext cx="5480050" cy="5133340"/>
                    </a:xfrm>
                    <a:prstGeom prst="rect">
                      <a:avLst/>
                    </a:prstGeom>
                    <a:noFill/>
                    <a:ln>
                      <a:noFill/>
                    </a:ln>
                  </pic:spPr>
                </pic:pic>
              </a:graphicData>
            </a:graphic>
          </wp:inline>
        </w:drawing>
      </w:r>
    </w:p>
    <w:p>
      <w:pPr>
        <w:widowControl/>
      </w:pPr>
    </w:p>
    <w:p>
      <w:pPr>
        <w:widowControl/>
      </w:pPr>
    </w:p>
    <w:p>
      <w:pPr>
        <w:widowControl/>
      </w:pPr>
    </w:p>
    <w:p>
      <w:pPr>
        <w:widowControl/>
      </w:pPr>
      <w:r>
        <w:drawing>
          <wp:inline distT="0" distB="0" distL="114300" distR="114300">
            <wp:extent cx="5481320" cy="2801620"/>
            <wp:effectExtent l="0" t="0" r="5080" b="177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3"/>
                    <a:stretch>
                      <a:fillRect/>
                    </a:stretch>
                  </pic:blipFill>
                  <pic:spPr>
                    <a:xfrm>
                      <a:off x="0" y="0"/>
                      <a:ext cx="5481320" cy="2801620"/>
                    </a:xfrm>
                    <a:prstGeom prst="rect">
                      <a:avLst/>
                    </a:prstGeom>
                    <a:noFill/>
                    <a:ln>
                      <a:noFill/>
                    </a:ln>
                  </pic:spPr>
                </pic:pic>
              </a:graphicData>
            </a:graphic>
          </wp:inline>
        </w:drawing>
      </w: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p>
    <w:p>
      <w:pPr>
        <w:widowControl/>
      </w:pPr>
      <w:r>
        <w:drawing>
          <wp:inline distT="0" distB="0" distL="114300" distR="114300">
            <wp:extent cx="5480050" cy="2632710"/>
            <wp:effectExtent l="0" t="0" r="6350" b="152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80050" cy="2632710"/>
                    </a:xfrm>
                    <a:prstGeom prst="rect">
                      <a:avLst/>
                    </a:prstGeom>
                    <a:noFill/>
                    <a:ln>
                      <a:noFill/>
                    </a:ln>
                  </pic:spPr>
                </pic:pic>
              </a:graphicData>
            </a:graphic>
          </wp:inline>
        </w:drawing>
      </w:r>
      <w:bookmarkStart w:id="0" w:name="_GoBack"/>
      <w:bookmarkEnd w:id="0"/>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mMWI5ZTUwY2ZhZmViNWRiZGU3NGFkZDQ1Y2Y2MjkifQ=="/>
  </w:docVars>
  <w:rsids>
    <w:rsidRoot w:val="00000000"/>
    <w:rsid w:val="008D138C"/>
    <w:rsid w:val="0156352C"/>
    <w:rsid w:val="08206641"/>
    <w:rsid w:val="087370B9"/>
    <w:rsid w:val="08A76D63"/>
    <w:rsid w:val="0ACA0AE6"/>
    <w:rsid w:val="0DD00B0A"/>
    <w:rsid w:val="0E5B6625"/>
    <w:rsid w:val="0FCF632D"/>
    <w:rsid w:val="13C24A51"/>
    <w:rsid w:val="145A112D"/>
    <w:rsid w:val="147321EF"/>
    <w:rsid w:val="17EE4066"/>
    <w:rsid w:val="1B974A15"/>
    <w:rsid w:val="1C536B8E"/>
    <w:rsid w:val="1C8C53A3"/>
    <w:rsid w:val="1D1A75C3"/>
    <w:rsid w:val="1D4E6A68"/>
    <w:rsid w:val="1DCB664E"/>
    <w:rsid w:val="1E8079E2"/>
    <w:rsid w:val="1EF32C98"/>
    <w:rsid w:val="211865F8"/>
    <w:rsid w:val="21C96615"/>
    <w:rsid w:val="22853819"/>
    <w:rsid w:val="230D4226"/>
    <w:rsid w:val="23711FEF"/>
    <w:rsid w:val="25965D3D"/>
    <w:rsid w:val="25BD04D4"/>
    <w:rsid w:val="28F16948"/>
    <w:rsid w:val="29CE5AA6"/>
    <w:rsid w:val="2AC82E3D"/>
    <w:rsid w:val="2C471B3F"/>
    <w:rsid w:val="2C4958B7"/>
    <w:rsid w:val="2CE675AA"/>
    <w:rsid w:val="2D851856"/>
    <w:rsid w:val="2DCF44E2"/>
    <w:rsid w:val="301F52AD"/>
    <w:rsid w:val="30B8125D"/>
    <w:rsid w:val="324234D5"/>
    <w:rsid w:val="32713DBA"/>
    <w:rsid w:val="3369683F"/>
    <w:rsid w:val="34D53FD1"/>
    <w:rsid w:val="353D361E"/>
    <w:rsid w:val="35E52AF5"/>
    <w:rsid w:val="35F54D37"/>
    <w:rsid w:val="36414E71"/>
    <w:rsid w:val="36537489"/>
    <w:rsid w:val="374F0A5E"/>
    <w:rsid w:val="394C69E7"/>
    <w:rsid w:val="3D0F48FB"/>
    <w:rsid w:val="3DF31B27"/>
    <w:rsid w:val="3FF108B6"/>
    <w:rsid w:val="40C652D1"/>
    <w:rsid w:val="41A73AA2"/>
    <w:rsid w:val="43212C92"/>
    <w:rsid w:val="43DB577F"/>
    <w:rsid w:val="442C5D93"/>
    <w:rsid w:val="445953DC"/>
    <w:rsid w:val="461312C4"/>
    <w:rsid w:val="464F2D46"/>
    <w:rsid w:val="49AB1508"/>
    <w:rsid w:val="49BD4994"/>
    <w:rsid w:val="4ACA305A"/>
    <w:rsid w:val="4B2A399E"/>
    <w:rsid w:val="4B3814C1"/>
    <w:rsid w:val="4BDF36EB"/>
    <w:rsid w:val="4CB244AD"/>
    <w:rsid w:val="4D0E25C1"/>
    <w:rsid w:val="4E1C6E78"/>
    <w:rsid w:val="4F0040A4"/>
    <w:rsid w:val="520D0FB1"/>
    <w:rsid w:val="53837051"/>
    <w:rsid w:val="53E126F6"/>
    <w:rsid w:val="559D43FA"/>
    <w:rsid w:val="56086E84"/>
    <w:rsid w:val="59A0095D"/>
    <w:rsid w:val="5A7B0A82"/>
    <w:rsid w:val="5AD308BE"/>
    <w:rsid w:val="5C563555"/>
    <w:rsid w:val="601B6F8F"/>
    <w:rsid w:val="60397415"/>
    <w:rsid w:val="60711FEC"/>
    <w:rsid w:val="60A46F85"/>
    <w:rsid w:val="611D0AE5"/>
    <w:rsid w:val="63275C4B"/>
    <w:rsid w:val="65385EEE"/>
    <w:rsid w:val="656767D3"/>
    <w:rsid w:val="660B1854"/>
    <w:rsid w:val="672C1A82"/>
    <w:rsid w:val="676454D9"/>
    <w:rsid w:val="678C2521"/>
    <w:rsid w:val="68C61A62"/>
    <w:rsid w:val="69B06900"/>
    <w:rsid w:val="6CFA5B92"/>
    <w:rsid w:val="6D0D102D"/>
    <w:rsid w:val="6F9D61D9"/>
    <w:rsid w:val="703F2826"/>
    <w:rsid w:val="70A1703D"/>
    <w:rsid w:val="72A27E7C"/>
    <w:rsid w:val="730D56EB"/>
    <w:rsid w:val="73740A39"/>
    <w:rsid w:val="74DA18E8"/>
    <w:rsid w:val="7544268D"/>
    <w:rsid w:val="762A1882"/>
    <w:rsid w:val="78460FFD"/>
    <w:rsid w:val="7A65786F"/>
    <w:rsid w:val="7BCE2CB0"/>
    <w:rsid w:val="7BE443B0"/>
    <w:rsid w:val="7D036989"/>
    <w:rsid w:val="7DA957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2025-08-14T04:32:00Z</dcterms:created>
  <dc:creator>pc</dc:creator>
  <cp:lastModifiedBy>lenovo</cp:lastModifiedBy>
  <dcterms:modified xsi:type="dcterms:W3CDTF">2025-08-20T08:59:05Z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45454E270CBF471EAC9CC135B6CC713B_13</vt:lpwstr>
  </property>
</Properties>
</file>