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ascii="黑体" w:hAnsi="黑体" w:eastAsia="黑体" w:cs="宋体"/>
          <w:color w:val="333333"/>
          <w:sz w:val="32"/>
          <w:szCs w:val="32"/>
        </w:rPr>
      </w:pPr>
      <w:r>
        <w:rPr>
          <w:rFonts w:hint="eastAsia" w:ascii="黑体" w:hAnsi="黑体" w:eastAsia="黑体" w:cs="宋体"/>
          <w:color w:val="333333"/>
          <w:sz w:val="32"/>
          <w:szCs w:val="32"/>
        </w:rPr>
        <w:t>附件4：</w:t>
      </w: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keepNext w:val="0"/>
        <w:keepLines w:val="0"/>
        <w:pageBreakBefore w:val="0"/>
        <w:kinsoku/>
        <w:wordWrap/>
        <w:overflowPunct/>
        <w:topLinePunct w:val="0"/>
        <w:autoSpaceDE/>
        <w:autoSpaceDN/>
        <w:bidi w:val="0"/>
        <w:adjustRightInd/>
        <w:spacing w:line="560" w:lineRule="exact"/>
        <w:ind w:firstLine="1044"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库尔勒市民政局</w:t>
      </w: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numPr>
          <w:ilvl w:val="0"/>
          <w:numId w:val="0"/>
        </w:numPr>
        <w:kinsoku/>
        <w:wordWrap/>
        <w:overflowPunct/>
        <w:topLinePunct w:val="0"/>
        <w:autoSpaceDE/>
        <w:autoSpaceDN/>
        <w:bidi w:val="0"/>
        <w:adjustRightInd/>
        <w:snapToGrid w:val="0"/>
        <w:spacing w:line="560" w:lineRule="exact"/>
        <w:ind w:leftChars="200"/>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一、</w:t>
      </w:r>
      <w:r>
        <w:rPr>
          <w:rFonts w:hint="eastAsia" w:ascii="黑体" w:hAnsi="黑体" w:eastAsia="黑体" w:cs="宋体"/>
          <w:b/>
          <w:color w:val="000000" w:themeColor="text1"/>
          <w:sz w:val="32"/>
          <w:szCs w:val="32"/>
        </w:rPr>
        <w:t>基本概况：</w:t>
      </w:r>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ascii="Arial" w:hAnsi="Arial" w:cs="Arial"/>
          <w:b/>
          <w:bCs/>
          <w:color w:val="333333"/>
          <w:sz w:val="30"/>
          <w:szCs w:val="30"/>
        </w:rPr>
      </w:pPr>
      <w:r>
        <w:rPr>
          <w:rFonts w:hint="eastAsia" w:ascii="黑体" w:hAnsi="黑体" w:eastAsia="黑体" w:cs="宋体"/>
          <w:b/>
          <w:color w:val="000000" w:themeColor="text1"/>
          <w:sz w:val="32"/>
          <w:szCs w:val="32"/>
        </w:rPr>
        <w:t>（一）</w:t>
      </w:r>
      <w:r>
        <w:rPr>
          <w:rFonts w:ascii="黑体" w:hAnsi="黑体" w:eastAsia="黑体" w:cs="宋体"/>
          <w:b/>
          <w:color w:val="000000" w:themeColor="text1"/>
          <w:sz w:val="32"/>
          <w:szCs w:val="32"/>
        </w:rPr>
        <w:t>部门单位基本情况</w:t>
      </w:r>
      <w:r>
        <w:rPr>
          <w:rFonts w:hint="eastAsia" w:ascii="Arial" w:hAnsi="Arial" w:cs="Arial"/>
          <w:b/>
          <w:bCs/>
          <w:color w:val="333333"/>
          <w:sz w:val="30"/>
          <w:szCs w:val="30"/>
        </w:rPr>
        <w:t>：</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br w:type="textWrapping"/>
      </w:r>
      <w:r>
        <w:rPr>
          <w:rFonts w:hint="eastAsia" w:ascii="仿宋_GB2312" w:hAnsi="宋体" w:eastAsia="仿宋_GB2312"/>
          <w:bCs/>
          <w:sz w:val="32"/>
          <w:szCs w:val="32"/>
        </w:rPr>
        <w:t>（一）贯彻执行国家、自治区、自治州和库尔勒市关于民政工作的法律、法规、规章、政策；拟订库尔勒市民政事业发展规划并组织实施。</w:t>
      </w:r>
      <w:r>
        <w:rPr>
          <w:rFonts w:hint="eastAsia" w:ascii="仿宋_GB2312" w:hAnsi="宋体" w:eastAsia="仿宋_GB2312"/>
          <w:bCs/>
          <w:sz w:val="32"/>
          <w:szCs w:val="32"/>
        </w:rPr>
        <w:br w:type="textWrapping"/>
      </w:r>
      <w:r>
        <w:rPr>
          <w:rFonts w:hint="eastAsia" w:ascii="仿宋_GB2312" w:hAnsi="宋体" w:eastAsia="仿宋_GB2312"/>
          <w:bCs/>
          <w:sz w:val="32"/>
          <w:szCs w:val="32"/>
        </w:rPr>
        <w:t>（二）拟订库尔勒市社会救助规划、政策和标准，研究制定全市最低生活保障实施办法，制定保障标准，组织实施特困人员供养、最低生活保障、临时救助工作。</w:t>
      </w:r>
      <w:r>
        <w:rPr>
          <w:rFonts w:hint="eastAsia" w:ascii="仿宋_GB2312" w:hAnsi="宋体" w:eastAsia="仿宋_GB2312"/>
          <w:bCs/>
          <w:sz w:val="32"/>
          <w:szCs w:val="32"/>
        </w:rPr>
        <w:br w:type="textWrapping"/>
      </w:r>
      <w:r>
        <w:rPr>
          <w:rFonts w:hint="eastAsia" w:ascii="仿宋_GB2312" w:hAnsi="宋体" w:eastAsia="仿宋_GB2312"/>
          <w:bCs/>
          <w:sz w:val="32"/>
          <w:szCs w:val="32"/>
        </w:rPr>
        <w:t>（三）拟订库尔勒市社会团体、社会服务机构、基金会等社会组织登记和管理政策；依法对库尔勒市社会团体、社会服务机构、基金会进行登记管理和执法监督。</w:t>
      </w:r>
      <w:r>
        <w:rPr>
          <w:rFonts w:hint="eastAsia" w:ascii="仿宋_GB2312" w:hAnsi="宋体" w:eastAsia="仿宋_GB2312"/>
          <w:bCs/>
          <w:sz w:val="32"/>
          <w:szCs w:val="32"/>
        </w:rPr>
        <w:br w:type="textWrapping"/>
      </w:r>
      <w:r>
        <w:rPr>
          <w:rFonts w:hint="eastAsia" w:ascii="仿宋_GB2312" w:hAnsi="宋体" w:eastAsia="仿宋_GB2312"/>
          <w:bCs/>
          <w:sz w:val="32"/>
          <w:szCs w:val="32"/>
        </w:rPr>
        <w:t>（四）拟订库尔勒市城乡基层群众自治组织建设和社区治理政策；指导和加强城乡基层政权建设及社区治理，推动基层民主政治建设；指导城乡社区服务体系建设。</w:t>
      </w:r>
      <w:r>
        <w:rPr>
          <w:rFonts w:hint="eastAsia" w:ascii="仿宋_GB2312" w:hAnsi="宋体" w:eastAsia="仿宋_GB2312"/>
          <w:bCs/>
          <w:sz w:val="32"/>
          <w:szCs w:val="32"/>
        </w:rPr>
        <w:br w:type="textWrapping"/>
      </w:r>
      <w:r>
        <w:rPr>
          <w:rFonts w:hint="eastAsia" w:ascii="仿宋_GB2312" w:hAnsi="宋体" w:eastAsia="仿宋_GB2312"/>
          <w:bCs/>
          <w:sz w:val="32"/>
          <w:szCs w:val="32"/>
        </w:rPr>
        <w:t>（五）拟定库尔勒市行政区划、行政区域界线、地名管理政策和标准；指导、承办行政区域内行政区划调整、行政区域界线勘定和管理、地名管理；协调处理边界争议和纠纷。</w:t>
      </w:r>
      <w:r>
        <w:rPr>
          <w:rFonts w:hint="eastAsia" w:ascii="仿宋_GB2312" w:hAnsi="宋体" w:eastAsia="仿宋_GB2312"/>
          <w:bCs/>
          <w:sz w:val="32"/>
          <w:szCs w:val="32"/>
        </w:rPr>
        <w:br w:type="textWrapping"/>
      </w:r>
      <w:r>
        <w:rPr>
          <w:rFonts w:hint="eastAsia" w:ascii="仿宋_GB2312" w:hAnsi="宋体" w:eastAsia="仿宋_GB2312"/>
          <w:bCs/>
          <w:sz w:val="32"/>
          <w:szCs w:val="32"/>
        </w:rPr>
        <w:t>（六）贯彻落实库尔勒市婚姻登记、殡葬管理政策；指导全市婚姻登记、殡葬服务机构管理，推进婚俗和殡葬改革。</w:t>
      </w:r>
      <w:r>
        <w:rPr>
          <w:rFonts w:hint="eastAsia" w:ascii="仿宋_GB2312" w:hAnsi="宋体" w:eastAsia="仿宋_GB2312"/>
          <w:bCs/>
          <w:sz w:val="32"/>
          <w:szCs w:val="32"/>
        </w:rPr>
        <w:br w:type="textWrapping"/>
      </w:r>
      <w:r>
        <w:rPr>
          <w:rFonts w:hint="eastAsia" w:ascii="仿宋_GB2312" w:hAnsi="宋体" w:eastAsia="仿宋_GB2312"/>
          <w:bCs/>
          <w:sz w:val="32"/>
          <w:szCs w:val="32"/>
        </w:rPr>
        <w:t>（七）拟订库尔勒市老年人福利和养老服务业发展规划、政策，社会福利事业的彩票公益金，优先支持发展养老服务业，推进社会养老服务体系建设；负责有意愿的特困老人集中供养和孤儿集中收养工作。</w:t>
      </w:r>
      <w:r>
        <w:rPr>
          <w:rFonts w:hint="eastAsia" w:ascii="仿宋_GB2312" w:hAnsi="宋体" w:eastAsia="仿宋_GB2312"/>
          <w:bCs/>
          <w:sz w:val="32"/>
          <w:szCs w:val="32"/>
        </w:rPr>
        <w:br w:type="textWrapping"/>
      </w:r>
      <w:r>
        <w:rPr>
          <w:rFonts w:hint="eastAsia" w:ascii="仿宋_GB2312" w:hAnsi="宋体" w:eastAsia="仿宋_GB2312"/>
          <w:bCs/>
          <w:sz w:val="32"/>
          <w:szCs w:val="32"/>
        </w:rPr>
        <w:t>（八）贯彻落实库尔勒市儿童福利、儿童收养和儿童保护政策；健全农村留守儿童关爱体系和困境儿童保障制度；负责儿童福利收养登记、未成年人保护机构管理。负责生活无着流浪乞讨人员申请自愿救助工作。</w:t>
      </w:r>
      <w:r>
        <w:rPr>
          <w:rFonts w:hint="eastAsia" w:ascii="仿宋_GB2312" w:hAnsi="宋体" w:eastAsia="仿宋_GB2312"/>
          <w:bCs/>
          <w:sz w:val="32"/>
          <w:szCs w:val="32"/>
        </w:rPr>
        <w:br w:type="textWrapping"/>
      </w:r>
      <w:r>
        <w:rPr>
          <w:rFonts w:hint="eastAsia" w:ascii="仿宋_GB2312" w:hAnsi="宋体" w:eastAsia="仿宋_GB2312"/>
          <w:bCs/>
          <w:sz w:val="32"/>
          <w:szCs w:val="32"/>
        </w:rPr>
        <w:t>（九）拟订库尔勒市促进慈善事业发展规划、政策；指导社会捐助，监管慈善行为。</w:t>
      </w:r>
      <w:r>
        <w:rPr>
          <w:rFonts w:hint="eastAsia" w:ascii="仿宋_GB2312" w:hAnsi="宋体" w:eastAsia="仿宋_GB2312"/>
          <w:bCs/>
          <w:sz w:val="32"/>
          <w:szCs w:val="32"/>
        </w:rPr>
        <w:br w:type="textWrapping"/>
      </w:r>
      <w:r>
        <w:rPr>
          <w:rFonts w:hint="eastAsia" w:ascii="仿宋_GB2312" w:hAnsi="宋体" w:eastAsia="仿宋_GB2312"/>
          <w:bCs/>
          <w:sz w:val="32"/>
          <w:szCs w:val="32"/>
        </w:rPr>
        <w:t>（十）拟订库尔勒市社会工作发展规划、政策和职业规范，指导社会工作人才和志愿者队伍建设。</w:t>
      </w:r>
      <w:r>
        <w:rPr>
          <w:rFonts w:hint="eastAsia" w:ascii="仿宋_GB2312" w:hAnsi="宋体" w:eastAsia="仿宋_GB2312"/>
          <w:bCs/>
          <w:sz w:val="32"/>
          <w:szCs w:val="32"/>
        </w:rPr>
        <w:br w:type="textWrapping"/>
      </w:r>
      <w:r>
        <w:rPr>
          <w:rFonts w:hint="eastAsia" w:ascii="仿宋_GB2312" w:hAnsi="宋体" w:eastAsia="仿宋_GB2312"/>
          <w:bCs/>
          <w:sz w:val="32"/>
          <w:szCs w:val="32"/>
        </w:rPr>
        <w:t>（十一）负责全市民政事业财务工作，指导、监督民政事业经费的使用和管理。</w:t>
      </w:r>
      <w:r>
        <w:rPr>
          <w:rFonts w:hint="eastAsia" w:ascii="仿宋_GB2312" w:hAnsi="宋体" w:eastAsia="仿宋_GB2312"/>
          <w:bCs/>
          <w:sz w:val="32"/>
          <w:szCs w:val="32"/>
        </w:rPr>
        <w:br w:type="textWrapping"/>
      </w:r>
      <w:r>
        <w:rPr>
          <w:rFonts w:hint="eastAsia" w:ascii="仿宋_GB2312" w:hAnsi="宋体" w:eastAsia="仿宋_GB2312"/>
          <w:bCs/>
          <w:sz w:val="32"/>
          <w:szCs w:val="32"/>
        </w:rPr>
        <w:t>（十二）完成市党委、市人民政府交办的其他任务。</w:t>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库尔勒市民政局部门包括本级机关及0个直属事业单位，机关内设四个科室（办公室、综合一室、综合二室、综合三室）。</w:t>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库尔勒市民政局部门编制数31人，实有人数64人，其中：在职37人，增加0人；退休27人，减少1人；离休0人，增加0人。</w:t>
      </w:r>
      <w:bookmarkStart w:id="0" w:name="_Hlk43849111"/>
      <w:bookmarkEnd w:id="0"/>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（二）</w:t>
      </w:r>
      <w:r>
        <w:rPr>
          <w:rFonts w:ascii="黑体" w:hAnsi="黑体" w:eastAsia="黑体" w:cs="宋体"/>
          <w:b/>
          <w:color w:val="000000" w:themeColor="text1"/>
          <w:sz w:val="32"/>
          <w:szCs w:val="32"/>
        </w:rPr>
        <w:t>部门单位年度重点工作：</w:t>
      </w:r>
    </w:p>
    <w:p>
      <w:pPr>
        <w:keepNext w:val="0"/>
        <w:keepLines w:val="0"/>
        <w:pageBreakBefore w:val="0"/>
        <w:kinsoku/>
        <w:wordWrap/>
        <w:overflowPunct/>
        <w:topLinePunct w:val="0"/>
        <w:autoSpaceDE/>
        <w:autoSpaceDN/>
        <w:bidi w:val="0"/>
        <w:adjustRightInd/>
        <w:spacing w:line="560" w:lineRule="exact"/>
        <w:jc w:val="left"/>
        <w:textAlignment w:val="auto"/>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br w:type="textWrapping"/>
      </w:r>
      <w:r>
        <w:rPr>
          <w:rFonts w:hint="eastAsia" w:ascii="仿宋_GB2312" w:hAnsi="宋体" w:eastAsia="仿宋_GB2312"/>
          <w:bCs/>
          <w:sz w:val="32"/>
          <w:szCs w:val="32"/>
        </w:rPr>
        <w:t>目标1：按时发放干部职工工资津补贴、离退休干部生活补贴，对单位运行车辆进行日常维修保养，确保单位正常运转。</w:t>
      </w:r>
      <w:r>
        <w:rPr>
          <w:rFonts w:hint="eastAsia" w:ascii="仿宋_GB2312" w:hAnsi="宋体" w:eastAsia="仿宋_GB2312"/>
          <w:bCs/>
          <w:sz w:val="32"/>
          <w:szCs w:val="32"/>
        </w:rPr>
        <w:br w:type="textWrapping"/>
      </w:r>
      <w:r>
        <w:rPr>
          <w:rFonts w:hint="eastAsia" w:ascii="仿宋_GB2312" w:hAnsi="宋体" w:eastAsia="仿宋_GB2312"/>
          <w:bCs/>
          <w:sz w:val="32"/>
          <w:szCs w:val="32"/>
        </w:rPr>
        <w:t>目标2：特殊困难老年人家庭进行居家适老化改造257户。</w:t>
      </w:r>
      <w:r>
        <w:rPr>
          <w:rFonts w:hint="eastAsia" w:ascii="仿宋_GB2312" w:hAnsi="宋体" w:eastAsia="仿宋_GB2312"/>
          <w:bCs/>
          <w:sz w:val="32"/>
          <w:szCs w:val="32"/>
        </w:rPr>
        <w:br w:type="textWrapping"/>
      </w:r>
      <w:r>
        <w:rPr>
          <w:rFonts w:hint="eastAsia" w:ascii="仿宋_GB2312" w:hAnsi="宋体" w:eastAsia="仿宋_GB2312"/>
          <w:bCs/>
          <w:sz w:val="32"/>
          <w:szCs w:val="32"/>
        </w:rPr>
        <w:t>目标3：进行行政区划调整事项3项。</w:t>
      </w:r>
      <w:r>
        <w:rPr>
          <w:rFonts w:hint="eastAsia" w:ascii="仿宋_GB2312" w:hAnsi="宋体" w:eastAsia="仿宋_GB2312"/>
          <w:bCs/>
          <w:sz w:val="32"/>
          <w:szCs w:val="32"/>
        </w:rPr>
        <w:br w:type="textWrapping"/>
      </w:r>
      <w:r>
        <w:rPr>
          <w:rFonts w:hint="eastAsia" w:ascii="仿宋_GB2312" w:hAnsi="宋体" w:eastAsia="仿宋_GB2312"/>
          <w:bCs/>
          <w:sz w:val="32"/>
          <w:szCs w:val="32"/>
        </w:rPr>
        <w:t>目标4：完成改造社区日间照料中心1个。</w:t>
      </w:r>
      <w:r>
        <w:rPr>
          <w:rFonts w:hint="eastAsia" w:ascii="仿宋_GB2312" w:hAnsi="宋体" w:eastAsia="仿宋_GB2312"/>
          <w:bCs/>
          <w:sz w:val="32"/>
          <w:szCs w:val="32"/>
        </w:rPr>
        <w:br w:type="textWrapping"/>
      </w:r>
      <w:r>
        <w:rPr>
          <w:rFonts w:hint="eastAsia" w:ascii="仿宋_GB2312" w:hAnsi="宋体" w:eastAsia="仿宋_GB2312"/>
          <w:bCs/>
          <w:sz w:val="32"/>
          <w:szCs w:val="32"/>
        </w:rPr>
        <w:t>目标5：确保困难群众兜底保障工作更加规范有序；推进民生项目建设，提升我市基本民生设施建设；规范专项事务管理；加快推进提升殡葬服务一体化水平；加强未成年人保护相关工作。</w:t>
      </w:r>
      <w:r>
        <w:rPr>
          <w:rFonts w:hint="eastAsia" w:ascii="仿宋_GB2312" w:hAnsi="宋体" w:eastAsia="仿宋_GB2312"/>
          <w:bCs/>
          <w:sz w:val="32"/>
          <w:szCs w:val="32"/>
        </w:rPr>
        <w:br w:type="textWrapping"/>
      </w:r>
      <w:r>
        <w:rPr>
          <w:rFonts w:hint="eastAsia" w:ascii="仿宋_GB2312" w:hAnsi="宋体" w:eastAsia="仿宋_GB2312"/>
          <w:bCs/>
          <w:sz w:val="32"/>
          <w:szCs w:val="32"/>
        </w:rPr>
        <w:t>目标6：为生活无着流浪乞讨人员提供临时救助、协助其及时返乡，并做好回归稳固工作；</w:t>
      </w:r>
      <w:r>
        <w:rPr>
          <w:rFonts w:hint="eastAsia" w:ascii="仿宋_GB2312" w:hAnsi="宋体" w:eastAsia="仿宋_GB2312"/>
          <w:bCs/>
          <w:sz w:val="32"/>
          <w:szCs w:val="32"/>
        </w:rPr>
        <w:br w:type="textWrapping"/>
      </w:r>
      <w:r>
        <w:rPr>
          <w:rFonts w:hint="eastAsia" w:ascii="仿宋_GB2312" w:hAnsi="宋体" w:eastAsia="仿宋_GB2312"/>
          <w:bCs/>
          <w:sz w:val="32"/>
          <w:szCs w:val="32"/>
        </w:rPr>
        <w:t>目标7：切实保障孤儿和事实无人抚养儿童生存，促进其成长，使其生活得更有尊严，更好地融入社会。</w:t>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根据市委安排，库尔勒市民政局认真梳理2024年重点工作，现将2024年重点工作计划报告如下：</w:t>
      </w:r>
      <w:r>
        <w:rPr>
          <w:rFonts w:hint="eastAsia" w:ascii="仿宋_GB2312" w:hAnsi="宋体" w:eastAsia="仿宋_GB2312"/>
          <w:bCs/>
          <w:sz w:val="32"/>
          <w:szCs w:val="32"/>
        </w:rPr>
        <w:br w:type="textWrapping"/>
      </w:r>
      <w:r>
        <w:rPr>
          <w:rFonts w:hint="eastAsia" w:ascii="仿宋_GB2312" w:hAnsi="宋体" w:eastAsia="仿宋_GB2312"/>
          <w:bCs/>
          <w:sz w:val="32"/>
          <w:szCs w:val="32"/>
        </w:rPr>
        <w:t>(一)、加大特殊困难老年人的助餐服务力度。</w:t>
      </w:r>
      <w:r>
        <w:rPr>
          <w:rFonts w:hint="eastAsia" w:ascii="仿宋_GB2312" w:hAnsi="宋体" w:eastAsia="仿宋_GB2312"/>
          <w:bCs/>
          <w:sz w:val="32"/>
          <w:szCs w:val="32"/>
        </w:rPr>
        <w:br w:type="textWrapping"/>
      </w:r>
      <w:r>
        <w:rPr>
          <w:rFonts w:hint="eastAsia" w:ascii="仿宋_GB2312" w:hAnsi="宋体" w:eastAsia="仿宋_GB2312"/>
          <w:bCs/>
          <w:sz w:val="32"/>
          <w:szCs w:val="32"/>
        </w:rPr>
        <w:t>我市已建有老年助餐点16个，老年助餐供给能力仍有不足，同时当前我市针对特殊困难老年人的助餐服务专项政策仍未充分开展。</w:t>
      </w:r>
      <w:r>
        <w:rPr>
          <w:rFonts w:hint="eastAsia" w:ascii="仿宋_GB2312" w:hAnsi="宋体" w:eastAsia="仿宋_GB2312"/>
          <w:bCs/>
          <w:sz w:val="32"/>
          <w:szCs w:val="32"/>
        </w:rPr>
        <w:br w:type="textWrapping"/>
      </w:r>
      <w:r>
        <w:rPr>
          <w:rFonts w:hint="eastAsia" w:ascii="仿宋_GB2312" w:hAnsi="宋体" w:eastAsia="仿宋_GB2312"/>
          <w:bCs/>
          <w:sz w:val="32"/>
          <w:szCs w:val="32"/>
        </w:rPr>
        <w:t>为进一步强化老年助餐服务提质，我市计划今年建设27个老年助餐点，其中15个通过民营企业直接挂牌，民政局补贴；12个社区提供空闲场地，第三方建设，民政局补贴。为进一步加大对特殊困难老年人（指最低生活保障对象、特困人员、最低生活保障边缘家庭成员等低收入人口中的老年人，以及独居、空巢、留守、失能、残疾、高龄、计划生育特殊家庭等老年人）的助餐服务力度，今年我局通过第三方在6个助餐点（正在研究确定助餐点位）购买服务，对在其点位的特殊困难老年人给予2480人次150元/人/月就餐补助，确保6个助餐点正常运营。</w:t>
      </w:r>
      <w:r>
        <w:rPr>
          <w:rFonts w:hint="eastAsia" w:ascii="仿宋_GB2312" w:hAnsi="宋体" w:eastAsia="仿宋_GB2312"/>
          <w:bCs/>
          <w:sz w:val="32"/>
          <w:szCs w:val="32"/>
        </w:rPr>
        <w:br w:type="textWrapping"/>
      </w:r>
      <w:r>
        <w:rPr>
          <w:rFonts w:hint="eastAsia" w:ascii="仿宋_GB2312" w:hAnsi="宋体" w:eastAsia="仿宋_GB2312"/>
          <w:bCs/>
          <w:sz w:val="32"/>
          <w:szCs w:val="32"/>
        </w:rPr>
        <w:t>(二)、提高城市社区居家养老服务覆盖率。</w:t>
      </w:r>
      <w:r>
        <w:rPr>
          <w:rFonts w:hint="eastAsia" w:ascii="仿宋_GB2312" w:hAnsi="宋体" w:eastAsia="仿宋_GB2312"/>
          <w:bCs/>
          <w:sz w:val="32"/>
          <w:szCs w:val="32"/>
        </w:rPr>
        <w:br w:type="textWrapping"/>
      </w:r>
      <w:r>
        <w:rPr>
          <w:rFonts w:hint="eastAsia" w:ascii="仿宋_GB2312" w:hAnsi="宋体" w:eastAsia="仿宋_GB2312"/>
          <w:bCs/>
          <w:sz w:val="32"/>
          <w:szCs w:val="32"/>
        </w:rPr>
        <w:t>我市已建有日间照料中心15个，其中投入运营6个，为困难老年人提供社区居家养老服务，覆盖社区24个（城市社区74个），覆盖城市社区率32.4%，距离“十四五”养老服务规划要求的90%仍有较大差距。</w:t>
      </w:r>
      <w:r>
        <w:rPr>
          <w:rFonts w:hint="eastAsia" w:ascii="仿宋_GB2312" w:hAnsi="宋体" w:eastAsia="仿宋_GB2312"/>
          <w:bCs/>
          <w:sz w:val="32"/>
          <w:szCs w:val="32"/>
        </w:rPr>
        <w:br w:type="textWrapping"/>
      </w:r>
      <w:r>
        <w:rPr>
          <w:rFonts w:hint="eastAsia" w:ascii="仿宋_GB2312" w:hAnsi="宋体" w:eastAsia="仿宋_GB2312"/>
          <w:bCs/>
          <w:sz w:val="32"/>
          <w:szCs w:val="32"/>
        </w:rPr>
        <w:t>我市积极争取上级福彩资金255万元，改造萨依巴格社区日间照料中心，进一步覆盖2个社区，目前该项目已意向公开，将于2月初公开招标，停暖后立刻开始实施，8月前完成施工，争取12月前投入运营。保障剩余9个（7个招投标、2个竣工验收）日间照料中心今年正常投入使用。通过公建民营方式投入运营7个日间照料中心，发挥日间照料中心居家养老服务实效，目前日间照料中心公开招标工作有序进行。</w:t>
      </w:r>
      <w:r>
        <w:rPr>
          <w:rFonts w:hint="eastAsia" w:ascii="仿宋_GB2312" w:hAnsi="宋体" w:eastAsia="仿宋_GB2312"/>
          <w:bCs/>
          <w:sz w:val="32"/>
          <w:szCs w:val="32"/>
        </w:rPr>
        <w:br w:type="textWrapping"/>
      </w:r>
      <w:r>
        <w:rPr>
          <w:rFonts w:hint="eastAsia" w:ascii="仿宋_GB2312" w:hAnsi="宋体" w:eastAsia="仿宋_GB2312"/>
          <w:bCs/>
          <w:sz w:val="32"/>
          <w:szCs w:val="32"/>
        </w:rPr>
        <w:t>(三)、完成特殊困难老年人家庭进行居家适老化改造工程。</w:t>
      </w:r>
      <w:r>
        <w:rPr>
          <w:rFonts w:hint="eastAsia" w:ascii="仿宋_GB2312" w:hAnsi="宋体" w:eastAsia="仿宋_GB2312"/>
          <w:bCs/>
          <w:sz w:val="32"/>
          <w:szCs w:val="32"/>
        </w:rPr>
        <w:br w:type="textWrapping"/>
      </w:r>
      <w:r>
        <w:rPr>
          <w:rFonts w:hint="eastAsia" w:ascii="仿宋_GB2312" w:hAnsi="宋体" w:eastAsia="仿宋_GB2312"/>
          <w:bCs/>
          <w:sz w:val="32"/>
          <w:szCs w:val="32"/>
        </w:rPr>
        <w:t>我市老年人7万余人，家庭适老化改造方面存在巨大需求。目前已向上级部门申请专项资金90万元，计划于2024年2月中旬公开招标。同步要求乡镇街道宣传适老化改造工作，初步摸排有意愿的特殊困难家庭，将完成257户特殊困难老年人家庭（分散供养特困人员范围的高龄、失能、残疾老年人家庭、城乡低保对象中的高龄、失能、留守、空巢、残疾老年人家庭和计划生育特殊家庭）提供地面、门、卧室、如厕洗浴设备、厨房设备、物理环境、老年用品配置等适老化改造服务。</w:t>
      </w:r>
      <w:r>
        <w:rPr>
          <w:rFonts w:hint="eastAsia" w:ascii="仿宋_GB2312" w:hAnsi="宋体" w:eastAsia="仿宋_GB2312"/>
          <w:bCs/>
          <w:sz w:val="32"/>
          <w:szCs w:val="32"/>
        </w:rPr>
        <w:br w:type="textWrapping"/>
      </w:r>
      <w:r>
        <w:rPr>
          <w:rFonts w:hint="eastAsia" w:ascii="仿宋_GB2312" w:hAnsi="宋体" w:eastAsia="仿宋_GB2312"/>
          <w:bCs/>
          <w:sz w:val="32"/>
          <w:szCs w:val="32"/>
        </w:rPr>
        <w:t>(四)、进行铁克其、英下、恰尔巴格乡部分行政区域界线调整。</w:t>
      </w:r>
      <w:r>
        <w:rPr>
          <w:rFonts w:hint="eastAsia" w:ascii="仿宋_GB2312" w:hAnsi="宋体" w:eastAsia="仿宋_GB2312"/>
          <w:bCs/>
          <w:sz w:val="32"/>
          <w:szCs w:val="32"/>
        </w:rPr>
        <w:br w:type="textWrapping"/>
      </w:r>
      <w:r>
        <w:rPr>
          <w:rFonts w:hint="eastAsia" w:ascii="仿宋_GB2312" w:hAnsi="宋体" w:eastAsia="仿宋_GB2312"/>
          <w:bCs/>
          <w:sz w:val="32"/>
          <w:szCs w:val="32"/>
        </w:rPr>
        <w:t>2000年至今，库尔勒市进行县级行政区划调整事项2件（设立铁门关市和尉犁县西尼尔镇调整至库尔勒市），乡级行政区划调整事项3项（塔什店撤办事处设镇，上户、哈拉玉宫撤乡设镇）。随着库尔勒市经济的发展，铁克其、英下、恰尔巴格乡近郊三乡毗邻市域一侧的商住楼数量逐年增多，养老、环境卫生、公共服务等基础设施已实现城镇化，辖区居民多数从事第二、三产业，对于政府服务职能的需求逐年增加。2023年我市进行铁克其、英下、恰尔巴格乡部分行政区域界线调整工作，并完成界线勘测、市直部门论证、州市两级专家论证等前期工作，待市委常委会研究通过后逐级上报至自治区人民政府审批。</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(五)低收入人群扩围增效。通过强化低收入政策宣传普及，加强对困难群众精准排查，对于困难群众主动发现并及时救助，推进低收入人群工作提质扩面，全力筑牢民生保障底线。  </w:t>
      </w:r>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（三）</w:t>
      </w:r>
      <w:r>
        <w:rPr>
          <w:rFonts w:ascii="黑体" w:hAnsi="黑体" w:eastAsia="黑体" w:cs="宋体"/>
          <w:b/>
          <w:color w:val="000000" w:themeColor="text1"/>
          <w:sz w:val="32"/>
          <w:szCs w:val="32"/>
        </w:rPr>
        <w:t>部门单位整体预算规模及安排情况：</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2024年单位年初预算安排8231.5万元，其中财政拨款8231.5万元，其他资金0.00万元，主要用于人员类，公用经费类支出，困难群众社会救助补助资金，福利彩票公益金安排的支出。年中调整1390.41万元，调整后全年预算9621.94万元，预算调整率16.89%，调整预算的主要原因为2024年困难群众救助补助资金享受人数增加导致社会救助资金较上年增长，另一方面库尔勒市老年养护楼等项目市级财政配套资金增加，导致年初预算数与全年预算数有差距。</w:t>
      </w:r>
    </w:p>
    <w:p>
      <w:pPr>
        <w:keepNext w:val="0"/>
        <w:keepLines w:val="0"/>
        <w:pageBreakBefore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二、</w:t>
      </w:r>
      <w:r>
        <w:rPr>
          <w:rFonts w:hint="eastAsia" w:ascii="黑体" w:hAnsi="黑体" w:eastAsia="黑体" w:cs="宋体"/>
          <w:b/>
          <w:color w:val="000000" w:themeColor="text1"/>
          <w:sz w:val="32"/>
          <w:szCs w:val="32"/>
        </w:rPr>
        <w:t>部门单位整体支出管理及使用情况：</w:t>
      </w:r>
    </w:p>
    <w:p>
      <w:pPr>
        <w:keepNext w:val="0"/>
        <w:keepLines w:val="0"/>
        <w:pageBreakBefore w:val="0"/>
        <w:numPr>
          <w:ilvl w:val="0"/>
          <w:numId w:val="1"/>
        </w:numPr>
        <w:kinsoku/>
        <w:wordWrap/>
        <w:overflowPunct/>
        <w:topLinePunct w:val="0"/>
        <w:autoSpaceDE/>
        <w:autoSpaceDN/>
        <w:bidi w:val="0"/>
        <w:adjustRightIn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预算编制</w:t>
      </w:r>
    </w:p>
    <w:p>
      <w:pPr>
        <w:keepNext w:val="0"/>
        <w:keepLines w:val="0"/>
        <w:pageBreakBefore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坚持服务至上，保障预算安全，确保财务预算的合理性和准确性。</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财政局批复预算后，我部门按要求及时制定并报批部门预算支出计划，严格落实预算执行定期分析机制，靠前抓好支出执行，坚持严肃财经纪律，硬化预算约束，持续树牢厉行节约理念，严控一般性支出，努力降低行政运行成本。本年度我单位预算执行情况总体较好。通过加强项目管理，提高预算编制的科学性合准确性，建立健全监督机制以及加强财务人员培训等措施，有效改进预算执行情况。</w:t>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一年来，各科室按照相关预算和工作目标，特别是依照教学评价体系，进一步细化和改进工作方案，有序开展了各项采购和建设工作，目标任务基本完成，取得了较好的成效。</w:t>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p>
    <w:p>
      <w:pPr>
        <w:keepNext w:val="0"/>
        <w:keepLines w:val="0"/>
        <w:pageBreakBefore w:val="0"/>
        <w:numPr>
          <w:ilvl w:val="0"/>
          <w:numId w:val="0"/>
        </w:numPr>
        <w:kinsoku/>
        <w:wordWrap/>
        <w:overflowPunct/>
        <w:topLinePunct w:val="0"/>
        <w:autoSpaceDE/>
        <w:autoSpaceDN/>
        <w:bidi w:val="0"/>
        <w:adjustRightInd/>
        <w:spacing w:line="560" w:lineRule="exact"/>
        <w:ind w:left="319" w:leftChars="152"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我部门已按要求在库尔勒市人民政府门户网站公开部门预算信息，同步公开绩效目标表；在库尔勒市人民政府门户网站公开部门决算信息，同步公开自评表及自评报告。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基本支出1574.52万元，包括工资福利支出628.4万元，商品和服务支出873.64万元，对个人和家庭的补助72.47万元，资本性支出0.00万元。其中：“三公”经费支出3.06万元，比上年增加3.85万元，主要原因是车辆使用年龄长，已老化，维修、燃料费用增加；会议费支出0.00万元，比上年增加0.00万元，主要原因是2024年无会议费支出；培训费支出2.41万元，比上年减少0.5万元，主要原因是2024年培训次数减少。</w:t>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专项项目支出8047.42万元，占总支出的83.64％，其中：儿童福利项目支出59.10万元，主要用于孤儿，重病儿童基本生活保障；其他民政管理事务支出337.59万元，用于社会福利院，救助站运行经费，老年养护楼等项目前期费用；老年人福利项目支出628.78万元，用于80岁及以上高龄老人生活津贴，体检费项；民办养老机构补贴项目支出27.4万元，用于民办养老机构营运补贴；重病残疾人，残疾人两项补贴项目支出779.99万元，用于困难残疾人，重度残疾人护理补贴；城市户籍最低生活保障金项目支1644.58万元，用于城市户籍低保对象最低生活保障金；农村户籍最低生活保障金项目支出2641.24万元，用于农村户籍低保对象最低生活保障金；临时救助项目支出139.74万元，用于困难群众，困难学生临时救助；外来特困，流浪乞讨人员救助项目支出3.72万元，用于外来特困，流浪乞讨人员生活，医疗救助；城市户籍特困人员供养金项目支出140.87万元，用于城市户籍特困人员供养救助金；农村户籍特困人员供养金项目支出60.23万元，用于农村户籍特困人员供养救助金；其他生活救助423.33万元，主要用于困难群众冬季取暖救助；其他社会保障和就业支出2.39万元，用于纾困救助资金；福利彩票公益金安排社区养老服务中心等项目支出1158.48万元，用于萨依巴格日间照料中心，助餐点建设，经济失能老人补助等。</w:t>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年初我单位下发儿童福利项目，其他民政管理事务支出，老年人福利项目，民办养老机构补贴项目，重病残疾人，残疾人两项补贴项目支出，城市户籍最低生活保障金项目，农村户籍最低生活保障金项目，临时救助项目，外来特困、流浪乞讨人员救助项目，城市户籍特困人员供养金项目，农村户籍特困人员供养金项目，其他生活救助项目，其他社会保障和就业支出项目，福利彩票公益金安排项目等专项项目27项。</w:t>
      </w:r>
      <w:r>
        <w:rPr>
          <w:rFonts w:hint="eastAsia" w:ascii="仿宋_GB2312" w:hAnsi="宋体" w:eastAsia="仿宋_GB2312"/>
          <w:bCs/>
          <w:sz w:val="32"/>
          <w:szCs w:val="32"/>
        </w:rPr>
        <w:br w:type="textWrapping"/>
      </w:r>
      <w:r>
        <w:rPr>
          <w:rFonts w:hint="eastAsia" w:ascii="仿宋_GB2312" w:hAnsi="宋体" w:eastAsia="仿宋_GB2312"/>
          <w:bCs/>
          <w:sz w:val="32"/>
          <w:szCs w:val="32"/>
        </w:rPr>
        <w:t>以上专项、制定了专项工作计划，对项目的工作分工，任务分配，资金落实，完成时限等提出了明确，具体的要求，以确保项目保质，保量，按时完成。截至2024年12月31日，完成专项26个，未完成专项1个。为规范专项资金使用，提高专项资金使用效益，我局主要采取三项。一是制定专项资金管理制度；二是制定了项目实施方案；三是认真措施认真组织项目验收。切实保障专项资金都做到了专款专用。</w:t>
      </w:r>
      <w:r>
        <w:rPr>
          <w:rFonts w:hint="eastAsia" w:ascii="仿宋_GB2312" w:hAnsi="宋体" w:eastAsia="仿宋_GB2312"/>
          <w:bCs/>
          <w:sz w:val="32"/>
          <w:szCs w:val="32"/>
        </w:rPr>
        <w:br w:type="textWrapping"/>
      </w:r>
      <w:r>
        <w:rPr>
          <w:rFonts w:hint="eastAsia" w:ascii="仿宋_GB2312" w:hAnsi="宋体" w:eastAsia="仿宋_GB2312"/>
          <w:bCs/>
          <w:sz w:val="32"/>
          <w:szCs w:val="32"/>
        </w:rPr>
        <w:t>（1） 制订了《社会救助资金管理办法》《福利彩票公益金使用管理办法》专项资金管理办法，各项资金使用审批流程均按规定办理。涉及“三重一大”内容，严格按照规定提请党组会审议决定，包括项目资金分配，重大项目确定，大额资金支付等。</w:t>
      </w:r>
      <w:r>
        <w:rPr>
          <w:rFonts w:hint="eastAsia" w:ascii="仿宋_GB2312" w:hAnsi="宋体" w:eastAsia="仿宋_GB2312"/>
          <w:bCs/>
          <w:sz w:val="32"/>
          <w:szCs w:val="32"/>
        </w:rPr>
        <w:br w:type="textWrapping"/>
      </w:r>
      <w:r>
        <w:rPr>
          <w:rFonts w:hint="eastAsia" w:ascii="仿宋_GB2312" w:hAnsi="宋体" w:eastAsia="仿宋_GB2312"/>
          <w:bCs/>
          <w:sz w:val="32"/>
          <w:szCs w:val="32"/>
        </w:rPr>
        <w:t>（2） 制订了《建立社会救助何保障标准与物价上涨挂钩联动机制实施方案》，不断完善社会救助各项制度，坚决纠正违规行为，确保社会救助工作公开、公平、公证。确保项目资金专款专用，及时支付。</w:t>
      </w:r>
      <w:r>
        <w:rPr>
          <w:rFonts w:hint="eastAsia" w:ascii="仿宋_GB2312" w:hAnsi="宋体" w:eastAsia="仿宋_GB2312"/>
          <w:bCs/>
          <w:sz w:val="32"/>
          <w:szCs w:val="32"/>
        </w:rPr>
        <w:br w:type="textWrapping"/>
      </w:r>
      <w:r>
        <w:rPr>
          <w:rFonts w:hint="eastAsia" w:ascii="仿宋_GB2312" w:hAnsi="宋体" w:eastAsia="仿宋_GB2312"/>
          <w:bCs/>
          <w:sz w:val="32"/>
          <w:szCs w:val="32"/>
        </w:rPr>
        <w:t>认真组织项目验收，</w:t>
      </w:r>
      <w:r>
        <w:rPr>
          <w:rFonts w:hint="eastAsia" w:ascii="仿宋_GB2312" w:hAnsi="宋体" w:eastAsia="仿宋_GB2312"/>
          <w:bCs/>
          <w:sz w:val="32"/>
          <w:szCs w:val="32"/>
          <w:lang w:val="en-US" w:eastAsia="zh-CN"/>
        </w:rPr>
        <w:t>根</w:t>
      </w:r>
      <w:r>
        <w:rPr>
          <w:rFonts w:hint="eastAsia" w:ascii="仿宋_GB2312" w:hAnsi="宋体" w:eastAsia="仿宋_GB2312"/>
          <w:bCs/>
          <w:sz w:val="32"/>
          <w:szCs w:val="32"/>
        </w:rPr>
        <w:t>据《关于印发&lt;自治区财政资金使用</w:t>
      </w:r>
      <w:bookmarkStart w:id="1" w:name="_GoBack"/>
      <w:bookmarkEnd w:id="1"/>
      <w:r>
        <w:rPr>
          <w:rFonts w:hint="eastAsia" w:ascii="仿宋_GB2312" w:hAnsi="宋体" w:eastAsia="仿宋_GB2312"/>
          <w:bCs/>
          <w:sz w:val="32"/>
          <w:szCs w:val="32"/>
        </w:rPr>
        <w:t>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在资金管理上，我们本着专款专用，坚持依法管理，坚持《预算法》为指导，依法完善资金管理工作，确保所有资金行为都有章可循。</w:t>
      </w:r>
    </w:p>
    <w:p>
      <w:pPr>
        <w:keepNext w:val="0"/>
        <w:keepLines w:val="0"/>
        <w:pageBreakBefore w:val="0"/>
        <w:numPr>
          <w:ilvl w:val="0"/>
          <w:numId w:val="0"/>
        </w:numPr>
        <w:kinsoku/>
        <w:wordWrap/>
        <w:overflowPunct/>
        <w:topLinePunct w:val="0"/>
        <w:autoSpaceDE/>
        <w:autoSpaceDN/>
        <w:bidi w:val="0"/>
        <w:adjustRightInd/>
        <w:snapToGrid w:val="0"/>
        <w:spacing w:line="560" w:lineRule="exact"/>
        <w:ind w:leftChars="200"/>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三、</w:t>
      </w:r>
      <w:r>
        <w:rPr>
          <w:rFonts w:hint="eastAsia" w:ascii="黑体" w:hAnsi="黑体" w:eastAsia="黑体" w:cs="宋体"/>
          <w:b/>
          <w:color w:val="000000" w:themeColor="text1"/>
          <w:sz w:val="32"/>
          <w:szCs w:val="32"/>
        </w:rPr>
        <w:t>部门单位整体支出绩效分析：</w:t>
      </w:r>
    </w:p>
    <w:p>
      <w:pPr>
        <w:keepNext w:val="0"/>
        <w:keepLines w:val="0"/>
        <w:pageBreakBefore w:val="0"/>
        <w:kinsoku/>
        <w:wordWrap/>
        <w:overflowPunct/>
        <w:topLinePunct w:val="0"/>
        <w:autoSpaceDE/>
        <w:autoSpaceDN/>
        <w:bidi w:val="0"/>
        <w:adjustRightInd/>
        <w:spacing w:line="560" w:lineRule="exact"/>
        <w:ind w:left="319" w:leftChars="152" w:firstLine="320" w:firstLineChars="1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（一）预算执行情况分析</w:t>
      </w:r>
    </w:p>
    <w:p>
      <w:pPr>
        <w:keepNext w:val="0"/>
        <w:keepLines w:val="0"/>
        <w:pageBreakBefore w:val="0"/>
        <w:kinsoku/>
        <w:wordWrap/>
        <w:overflowPunct/>
        <w:topLinePunct w:val="0"/>
        <w:autoSpaceDE/>
        <w:autoSpaceDN/>
        <w:bidi w:val="0"/>
        <w:adjustRightInd/>
        <w:spacing w:line="560" w:lineRule="exact"/>
        <w:ind w:left="319" w:leftChars="152" w:firstLine="640" w:firstLineChars="200"/>
        <w:jc w:val="left"/>
        <w:textAlignment w:val="auto"/>
        <w:rPr>
          <w:rFonts w:ascii="仿宋_GB2312" w:hAnsi="宋体" w:eastAsia="仿宋_GB2312"/>
          <w:b/>
          <w:sz w:val="32"/>
          <w:szCs w:val="32"/>
        </w:rPr>
      </w:pPr>
      <w:r>
        <w:rPr>
          <w:rFonts w:hint="eastAsia" w:ascii="仿宋_GB2312" w:hAnsi="宋体" w:eastAsia="仿宋_GB2312"/>
          <w:bCs/>
          <w:sz w:val="32"/>
          <w:szCs w:val="32"/>
        </w:rPr>
        <w:t>2024年我部门总支出9621.94万元，预算执行率100%，其中：一般公共服务支出支出6.34万元，教育支出2.41万元，社会保障和就业支出8380.78万元，卫生健康支出29.00万元，住房保障支出44.93万元，其他支出1158.48万元。</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2024年，我单位基本支出1574.52万元，占总支出的16.36％，其中：一般公共服务支出支出6.34万元，教育支出2.41万元，社会保障和就业支出1491.84万元，卫生健康支出29.00万元，住房保障支出44.93万元。</w:t>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2024年，我单位项目支出8047.42万元，占总支出的83.63％。其中：</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项目支出8047.42万元，其中：儿童福利项目支出59.10万元；其他民政管理事务支出337.59万元；老年人福利项目支出628.78万元；民办养老机构补贴项目支出27.4万元；重病残疾人，残疾人两项补贴项目支出779.99万元；城市户籍最低生活保障金项目支1644.58万元；农村户籍最低生活保障金项目支出2641.24万元；临时救助项目支出139.74万元；外来特困，流浪乞讨人员救助项目支出3.72万元；城市户籍特困人员供养金项目支出140.87万元；农村户籍特困人员供养金项目支出60.23万元；其他生活救助423.33万元；其他社会保障和就业支出2.39万元；福利彩票公益金安排社区养老服务中心等项目支出1158.48万元。</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年初我单位设置部门整体绩效目标中包括一级指标1个，二级指标1个，三级指标4个，指标完成情况分析如下：</w:t>
      </w:r>
      <w:r>
        <w:rPr>
          <w:rFonts w:hint="eastAsia" w:ascii="仿宋_GB2312" w:hAnsi="宋体" w:eastAsia="仿宋_GB2312"/>
          <w:bCs/>
          <w:sz w:val="32"/>
          <w:szCs w:val="32"/>
        </w:rPr>
        <w:br w:type="textWrapping"/>
      </w:r>
      <w:r>
        <w:rPr>
          <w:rFonts w:hint="eastAsia" w:ascii="仿宋_GB2312" w:hAnsi="宋体" w:eastAsia="仿宋_GB2312"/>
          <w:bCs/>
          <w:sz w:val="32"/>
          <w:szCs w:val="32"/>
        </w:rPr>
        <w:t>1.履职效能</w:t>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1：特殊困难老年人家庭进行居家适老化改造户数，指标值：&gt;=257户，年中监控完成值：257户，自评完成值：257户，指标完成率100%。指标成效分析：通过单位正常运转，推动了特殊困难老年人家庭进行居家适老化改造工作，提高了他们的生活和生命质量，切实贯彻“老有所养、老有所医”战略目标。提高了老年人服务和保障能力，维护了老年人的基本生活权益。</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2：行政区划调整事项数量，指标值：&gt;=3项，年中监控完成值：3项，自评完成值：3项，指标完成率100%。指标成效分析：通过行政区划调整事项工作开展，推动城乡融合发展，提升基层治理效能，并为区域经济高质量发展奠定基础。</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指标3：建设老年助餐点个数，指标值：&gt;=27个 ，年中监控完成值：145个，自评完成值：157个，指标完成率581.48%，偏差481.48%。偏差原因及整改措施：建设老年助餐点个数指标值与实际完成值差距较大，是因为年初目标设置不够精准，后期精准编制年初预算，合理设置年初绩效目标，不断增强绩效和落实绩效管理责任，完善工作机制。指标成效分析：通过完成建设老年助餐点基本生活需求，提升便利性。促进社会参与，缓解孤独感，减轻家庭照护压力。</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4：改造社区日间照料中心个数，指标值：&gt;=1个，年中监控完成值：1个，自评完成值：1个，指标完成率100%。指标成效分析：通过完成改造社区日间照料中心工作，有效满足老年人多层次，多样化养老需求，让更多老年人在家门口享受到优质暖心的养老服务。</w:t>
      </w:r>
    </w:p>
    <w:p>
      <w:pPr>
        <w:keepNext w:val="0"/>
        <w:keepLines w:val="0"/>
        <w:pageBreakBefore w:val="0"/>
        <w:numPr>
          <w:ilvl w:val="0"/>
          <w:numId w:val="0"/>
        </w:numPr>
        <w:kinsoku/>
        <w:wordWrap/>
        <w:overflowPunct/>
        <w:topLinePunct w:val="0"/>
        <w:autoSpaceDE/>
        <w:autoSpaceDN/>
        <w:bidi w:val="0"/>
        <w:adjustRightInd/>
        <w:snapToGrid w:val="0"/>
        <w:spacing w:line="560" w:lineRule="exact"/>
        <w:ind w:leftChars="200"/>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四、</w:t>
      </w:r>
      <w:r>
        <w:rPr>
          <w:rFonts w:hint="eastAsia" w:ascii="黑体" w:hAnsi="黑体" w:eastAsia="黑体" w:cs="宋体"/>
          <w:b/>
          <w:color w:val="000000" w:themeColor="text1"/>
          <w:sz w:val="32"/>
          <w:szCs w:val="32"/>
        </w:rPr>
        <w:t>评价结论：</w:t>
      </w:r>
    </w:p>
    <w:p>
      <w:pPr>
        <w:keepNext w:val="0"/>
        <w:keepLines w:val="0"/>
        <w:pageBreakBefore w:val="0"/>
        <w:kinsoku/>
        <w:wordWrap/>
        <w:overflowPunct/>
        <w:topLinePunct w:val="0"/>
        <w:autoSpaceDE/>
        <w:autoSpaceDN/>
        <w:bidi w:val="0"/>
        <w:adjustRightInd/>
        <w:spacing w:line="560" w:lineRule="exact"/>
        <w:ind w:firstLine="960" w:firstLineChars="300"/>
        <w:jc w:val="left"/>
        <w:textAlignment w:val="auto"/>
        <w:rPr>
          <w:rFonts w:ascii="仿宋_GB2312" w:hAnsi="宋体" w:eastAsia="仿宋_GB2312"/>
          <w:bCs/>
          <w:sz w:val="32"/>
          <w:szCs w:val="32"/>
        </w:rPr>
      </w:pPr>
      <w:r>
        <w:rPr>
          <w:rFonts w:hint="eastAsia" w:ascii="仿宋_GB2312" w:hAnsi="宋体" w:eastAsia="仿宋_GB2312"/>
          <w:bCs/>
          <w:sz w:val="32"/>
          <w:szCs w:val="32"/>
        </w:rPr>
        <w:t>2024年度部门整体支出绩效自评综合得分100分，评价结果为“优</w:t>
      </w:r>
    </w:p>
    <w:p>
      <w:pPr>
        <w:keepNext w:val="0"/>
        <w:keepLines w:val="0"/>
        <w:pageBreakBefore w:val="0"/>
        <w:numPr>
          <w:ilvl w:val="0"/>
          <w:numId w:val="0"/>
        </w:numPr>
        <w:kinsoku/>
        <w:wordWrap/>
        <w:overflowPunct/>
        <w:topLinePunct w:val="0"/>
        <w:autoSpaceDE/>
        <w:autoSpaceDN/>
        <w:bidi w:val="0"/>
        <w:adjustRightInd/>
        <w:snapToGrid w:val="0"/>
        <w:spacing w:line="560" w:lineRule="exact"/>
        <w:ind w:leftChars="200"/>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五、</w:t>
      </w:r>
      <w:r>
        <w:rPr>
          <w:rFonts w:hint="eastAsia" w:ascii="黑体" w:hAnsi="黑体" w:eastAsia="黑体" w:cs="宋体"/>
          <w:b/>
          <w:color w:val="000000" w:themeColor="text1"/>
          <w:sz w:val="32"/>
          <w:szCs w:val="32"/>
        </w:rPr>
        <w:t>存在的主要问题及原因分析：</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主要体现为基层财务工作基础还需进一步夯实，财务工作人员少，工作压力大，财务工作水平仍需要进一步提高。面多这些问题我们将认真分析，切实加以解决，进一步完善财务制度，规范财经纪律，严格控制非生产性开支，进一步提高项目支出水平。</w:t>
      </w:r>
      <w:r>
        <w:rPr>
          <w:rFonts w:hint="eastAsia" w:ascii="仿宋_GB2312" w:hAnsi="宋体" w:eastAsia="仿宋_GB2312"/>
          <w:bCs/>
          <w:sz w:val="32"/>
          <w:szCs w:val="32"/>
        </w:rPr>
        <w:br w:type="textWrapping"/>
      </w:r>
      <w:r>
        <w:rPr>
          <w:rFonts w:hint="eastAsia" w:ascii="仿宋_GB2312" w:hAnsi="宋体" w:eastAsia="仿宋_GB2312"/>
          <w:bCs/>
          <w:sz w:val="32"/>
          <w:szCs w:val="32"/>
        </w:rPr>
        <w:t>（一）绩效指标设置不够明确</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我单位部分绩效指标设置存在不够精简、指标数据无法统计和指标值设置过低等问题，部分项目绩效指标值设定为定性的指标，指标设置的科学性、合理性有待进一步提高。</w:t>
      </w:r>
      <w:r>
        <w:rPr>
          <w:rFonts w:hint="eastAsia" w:ascii="仿宋_GB2312" w:hAnsi="宋体" w:eastAsia="仿宋_GB2312"/>
          <w:bCs/>
          <w:sz w:val="32"/>
          <w:szCs w:val="32"/>
        </w:rPr>
        <w:br w:type="textWrapping"/>
      </w:r>
      <w:r>
        <w:rPr>
          <w:rFonts w:hint="eastAsia" w:ascii="仿宋_GB2312" w:hAnsi="宋体" w:eastAsia="仿宋_GB2312"/>
          <w:bCs/>
          <w:sz w:val="32"/>
          <w:szCs w:val="32"/>
        </w:rPr>
        <w:t>（二）固定资产账务管理不够细致、严谨</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抽查发现，各单位固定资产账务管理普遍存在入账不及时、漏入、入账信息、金额不准确或资产台账未登记到具体使用人等问题。</w:t>
      </w:r>
      <w:r>
        <w:rPr>
          <w:rFonts w:hint="eastAsia" w:ascii="仿宋_GB2312" w:hAnsi="宋体" w:eastAsia="仿宋_GB2312"/>
          <w:bCs/>
          <w:sz w:val="32"/>
          <w:szCs w:val="32"/>
        </w:rPr>
        <w:br w:type="textWrapping"/>
      </w:r>
      <w:r>
        <w:rPr>
          <w:rFonts w:hint="eastAsia" w:ascii="仿宋_GB2312" w:hAnsi="宋体" w:eastAsia="仿宋_GB2312"/>
          <w:bCs/>
          <w:sz w:val="32"/>
          <w:szCs w:val="32"/>
        </w:rPr>
        <w:t>（三）项目监督工作存在薄弱环节</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项目实施过程中的上报、跟踪、反馈机制尚未真正形成，对我单位项目资金的使用、实施等监管措施仍然存在改进的空间。</w:t>
      </w:r>
    </w:p>
    <w:p>
      <w:pPr>
        <w:keepNext w:val="0"/>
        <w:keepLines w:val="0"/>
        <w:pageBreakBefore w:val="0"/>
        <w:numPr>
          <w:ilvl w:val="0"/>
          <w:numId w:val="0"/>
        </w:numPr>
        <w:kinsoku/>
        <w:wordWrap/>
        <w:overflowPunct/>
        <w:topLinePunct w:val="0"/>
        <w:autoSpaceDE/>
        <w:autoSpaceDN/>
        <w:bidi w:val="0"/>
        <w:adjustRightInd/>
        <w:snapToGrid w:val="0"/>
        <w:spacing w:line="560" w:lineRule="exact"/>
        <w:ind w:leftChars="200"/>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六、</w:t>
      </w:r>
      <w:r>
        <w:rPr>
          <w:rFonts w:hint="eastAsia" w:ascii="黑体" w:hAnsi="黑体" w:eastAsia="黑体" w:cs="宋体"/>
          <w:b/>
          <w:color w:val="000000" w:themeColor="text1"/>
          <w:sz w:val="32"/>
          <w:szCs w:val="32"/>
        </w:rPr>
        <w:t>改进措施和建议：</w:t>
      </w:r>
    </w:p>
    <w:p>
      <w:pPr>
        <w:keepNext w:val="0"/>
        <w:keepLines w:val="0"/>
        <w:pageBreakBefore w:val="0"/>
        <w:kinsoku/>
        <w:wordWrap/>
        <w:overflowPunct/>
        <w:topLinePunct w:val="0"/>
        <w:autoSpaceDE/>
        <w:autoSpaceDN/>
        <w:bidi w:val="0"/>
        <w:adjustRightInd/>
        <w:spacing w:line="560" w:lineRule="exact"/>
        <w:ind w:left="320" w:hanging="320" w:hangingChars="100"/>
        <w:jc w:val="left"/>
        <w:textAlignment w:val="auto"/>
        <w:rPr>
          <w:rFonts w:ascii="仿宋_GB2312" w:hAnsi="宋体" w:eastAsia="仿宋_GB2312"/>
          <w:bCs/>
          <w:sz w:val="32"/>
          <w:szCs w:val="32"/>
        </w:rPr>
      </w:pPr>
      <w:r>
        <w:rPr>
          <w:rFonts w:hint="eastAsia" w:ascii="仿宋_GB2312" w:hAnsi="宋体" w:eastAsia="仿宋_GB2312"/>
          <w:bCs/>
          <w:sz w:val="32"/>
          <w:szCs w:val="32"/>
        </w:rPr>
        <w:t>（一）强化部门绩效管理体系建设</w:t>
      </w:r>
      <w:r>
        <w:rPr>
          <w:rFonts w:hint="eastAsia" w:ascii="仿宋_GB2312" w:hAnsi="宋体" w:eastAsia="仿宋_GB2312"/>
          <w:bCs/>
          <w:sz w:val="32"/>
          <w:szCs w:val="32"/>
        </w:rPr>
        <w:br w:type="textWrapping"/>
      </w:r>
      <w:r>
        <w:rPr>
          <w:rFonts w:hint="eastAsia" w:ascii="仿宋_GB2312" w:hAnsi="宋体" w:eastAsia="仿宋_GB2312"/>
          <w:bCs/>
          <w:sz w:val="32"/>
          <w:szCs w:val="32"/>
        </w:rP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r>
      <w:r>
        <w:rPr>
          <w:rFonts w:hint="eastAsia" w:ascii="仿宋_GB2312" w:hAnsi="宋体" w:eastAsia="仿宋_GB2312"/>
          <w:bCs/>
          <w:sz w:val="32"/>
          <w:szCs w:val="32"/>
        </w:rPr>
        <w:br w:type="textWrapping"/>
      </w:r>
      <w:r>
        <w:rPr>
          <w:rFonts w:hint="eastAsia" w:ascii="仿宋_GB2312" w:hAnsi="宋体" w:eastAsia="仿宋_GB2312"/>
          <w:bCs/>
          <w:sz w:val="32"/>
          <w:szCs w:val="32"/>
        </w:rPr>
        <w:t>（二）加强固定资产账务管理，确保账实相符</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r>
        <w:rPr>
          <w:rFonts w:hint="eastAsia" w:ascii="仿宋_GB2312" w:hAnsi="宋体" w:eastAsia="仿宋_GB2312"/>
          <w:bCs/>
          <w:sz w:val="32"/>
          <w:szCs w:val="32"/>
        </w:rPr>
        <w:br w:type="textWrapping"/>
      </w:r>
      <w:r>
        <w:rPr>
          <w:rFonts w:hint="eastAsia" w:ascii="仿宋_GB2312" w:hAnsi="宋体" w:eastAsia="仿宋_GB2312"/>
          <w:bCs/>
          <w:sz w:val="32"/>
          <w:szCs w:val="32"/>
        </w:rPr>
        <w:t>（三）建立动态分析管理机制，提高项目监管主动性</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业务部门进行指导、监督和检查时进一步加强主动性，积极探索更有效和积极主动的监管方式。一方面要建立重点项目实施过程的反馈机制，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pPr>
        <w:keepNext w:val="0"/>
        <w:keepLines w:val="0"/>
        <w:pageBreakBefore w:val="0"/>
        <w:kinsoku/>
        <w:wordWrap/>
        <w:overflowPunct/>
        <w:topLinePunct w:val="0"/>
        <w:autoSpaceDE/>
        <w:autoSpaceDN/>
        <w:bidi w:val="0"/>
        <w:adjustRightInd/>
        <w:spacing w:line="560" w:lineRule="exact"/>
        <w:ind w:firstLine="420" w:firstLineChars="200"/>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F85AF8"/>
    <w:multiLevelType w:val="singleLevel"/>
    <w:tmpl w:val="D4F85AF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AwZmYzMDUwNzhmYmVmMzNlY2I1MjAwNzI2NzY5MDUifQ=="/>
  </w:docVars>
  <w:rsids>
    <w:rsidRoot w:val="00EB3604"/>
    <w:rsid w:val="00021B05"/>
    <w:rsid w:val="0005222F"/>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E4BE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9F1BA0"/>
    <w:rsid w:val="54F842B6"/>
    <w:rsid w:val="64F5745B"/>
    <w:rsid w:val="656071F2"/>
    <w:rsid w:val="6BF1756B"/>
    <w:rsid w:val="6EAE2804"/>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1137</Words>
  <Characters>6485</Characters>
  <Lines>54</Lines>
  <Paragraphs>15</Paragraphs>
  <TotalTime>8</TotalTime>
  <ScaleCrop>false</ScaleCrop>
  <LinksUpToDate>false</LinksUpToDate>
  <CharactersWithSpaces>7607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2025-08-15T03:18:00Z</dcterms:created>
  <dc:creator>hongbing liu</dc:creator>
  <cp:lastModifiedBy>lenovo</cp:lastModifiedBy>
  <dcterms:modified xsi:type="dcterms:W3CDTF">2025-09-02T03:41:20Z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