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B58F0">
      <w:pPr>
        <w:spacing w:line="240" w:lineRule="auto"/>
        <w:rPr>
          <w:rFonts w:ascii="宋体" w:eastAsia="宋体"/>
          <w:sz w:val="32"/>
          <w:szCs w:val="32"/>
        </w:rPr>
      </w:pPr>
    </w:p>
    <w:p w14:paraId="190AB315">
      <w:pPr>
        <w:spacing w:line="240" w:lineRule="auto"/>
        <w:rPr>
          <w:rFonts w:ascii="宋体" w:eastAsia="宋体"/>
          <w:sz w:val="44"/>
          <w:szCs w:val="44"/>
        </w:rPr>
      </w:pPr>
    </w:p>
    <w:p w14:paraId="20A4DA95">
      <w:pPr>
        <w:spacing w:line="240" w:lineRule="auto"/>
        <w:rPr>
          <w:rFonts w:ascii="宋体" w:eastAsia="宋体"/>
          <w:sz w:val="44"/>
          <w:szCs w:val="44"/>
        </w:rPr>
      </w:pPr>
    </w:p>
    <w:p w14:paraId="4B1044B7">
      <w:pPr>
        <w:spacing w:line="240" w:lineRule="auto"/>
        <w:rPr>
          <w:rFonts w:ascii="宋体" w:eastAsia="宋体"/>
          <w:sz w:val="44"/>
          <w:szCs w:val="44"/>
        </w:rPr>
      </w:pPr>
    </w:p>
    <w:p w14:paraId="6B6CBCAB">
      <w:pPr>
        <w:spacing w:line="240" w:lineRule="auto"/>
        <w:jc w:val="center"/>
        <w:outlineLvl w:val="0"/>
        <w:rPr>
          <w:rFonts w:ascii="宋体" w:eastAsia="黑体"/>
          <w:sz w:val="44"/>
          <w:szCs w:val="44"/>
        </w:rPr>
      </w:pPr>
      <w:r>
        <w:rPr>
          <w:rFonts w:ascii="宋体" w:eastAsia="黑体"/>
          <w:sz w:val="44"/>
          <w:szCs w:val="44"/>
        </w:rPr>
        <w:t>库尔勒市民政局</w:t>
      </w:r>
    </w:p>
    <w:p w14:paraId="757CB074">
      <w:pPr>
        <w:spacing w:line="240" w:lineRule="auto"/>
        <w:jc w:val="center"/>
        <w:outlineLvl w:val="0"/>
        <w:rPr>
          <w:rFonts w:ascii="黑体" w:eastAsia="黑体"/>
          <w:sz w:val="44"/>
          <w:szCs w:val="44"/>
        </w:rPr>
      </w:pPr>
      <w:r>
        <w:rPr>
          <w:rFonts w:ascii="黑体" w:eastAsia="黑体"/>
          <w:sz w:val="44"/>
          <w:szCs w:val="44"/>
        </w:rPr>
        <w:t>2024年度部门决算公开说明</w:t>
      </w:r>
    </w:p>
    <w:p w14:paraId="67612A34">
      <w:r>
        <w:rPr>
          <w:sz w:val="0"/>
          <w:szCs w:val="0"/>
        </w:rPr>
        <w:br w:type="page"/>
      </w:r>
    </w:p>
    <w:p w14:paraId="15FD39EF">
      <w:pPr>
        <w:spacing w:line="240" w:lineRule="auto"/>
        <w:jc w:val="center"/>
        <w:rPr>
          <w:rFonts w:ascii="黑体" w:eastAsia="黑体"/>
          <w:sz w:val="32"/>
          <w:szCs w:val="32"/>
        </w:rPr>
      </w:pPr>
      <w:r>
        <w:rPr>
          <w:rFonts w:ascii="黑体" w:eastAsia="黑体"/>
          <w:b/>
          <w:sz w:val="32"/>
          <w:szCs w:val="32"/>
        </w:rPr>
        <w:t>目录</w:t>
      </w:r>
    </w:p>
    <w:p w14:paraId="5926BE71">
      <w:pPr>
        <w:spacing w:line="240" w:lineRule="auto"/>
        <w:rPr>
          <w:rFonts w:ascii="仿宋_GB2312" w:eastAsia="仿宋_GB2312"/>
          <w:sz w:val="32"/>
          <w:szCs w:val="32"/>
        </w:rPr>
      </w:pPr>
      <w:r>
        <w:rPr>
          <w:rFonts w:ascii="仿宋_GB2312" w:eastAsia="仿宋_GB2312"/>
          <w:b/>
          <w:sz w:val="32"/>
          <w:szCs w:val="32"/>
        </w:rPr>
        <w:t>第一部分单位概况</w:t>
      </w:r>
    </w:p>
    <w:p w14:paraId="38555864">
      <w:pPr>
        <w:spacing w:line="240" w:lineRule="auto"/>
        <w:rPr>
          <w:rFonts w:ascii="仿宋_GB2312" w:eastAsia="仿宋_GB2312"/>
          <w:sz w:val="32"/>
          <w:szCs w:val="32"/>
        </w:rPr>
      </w:pPr>
      <w:r>
        <w:rPr>
          <w:rFonts w:ascii="仿宋_GB2312" w:eastAsia="仿宋_GB2312"/>
          <w:sz w:val="32"/>
          <w:szCs w:val="32"/>
        </w:rPr>
        <w:t>一、主要职能</w:t>
      </w:r>
    </w:p>
    <w:p w14:paraId="09F44F54">
      <w:pPr>
        <w:spacing w:line="240" w:lineRule="auto"/>
        <w:rPr>
          <w:rFonts w:ascii="仿宋_GB2312" w:eastAsia="仿宋_GB2312"/>
          <w:sz w:val="32"/>
          <w:szCs w:val="32"/>
        </w:rPr>
      </w:pPr>
      <w:r>
        <w:rPr>
          <w:rFonts w:ascii="仿宋_GB2312" w:eastAsia="仿宋_GB2312"/>
          <w:sz w:val="32"/>
          <w:szCs w:val="32"/>
        </w:rPr>
        <w:t>二、机构设置及人员情况</w:t>
      </w:r>
    </w:p>
    <w:p w14:paraId="1A5893E0">
      <w:pPr>
        <w:spacing w:line="240" w:lineRule="auto"/>
        <w:rPr>
          <w:rFonts w:ascii="仿宋_GB2312" w:eastAsia="仿宋_GB2312"/>
          <w:sz w:val="32"/>
          <w:szCs w:val="32"/>
        </w:rPr>
      </w:pPr>
      <w:r>
        <w:rPr>
          <w:rFonts w:ascii="仿宋_GB2312" w:eastAsia="仿宋_GB2312"/>
          <w:b/>
          <w:sz w:val="32"/>
          <w:szCs w:val="32"/>
        </w:rPr>
        <w:t>第二部分部门决算情况说明</w:t>
      </w:r>
    </w:p>
    <w:p w14:paraId="07DE1AEE">
      <w:pPr>
        <w:spacing w:line="240" w:lineRule="auto"/>
        <w:rPr>
          <w:rFonts w:ascii="仿宋_GB2312" w:eastAsia="仿宋_GB2312"/>
          <w:sz w:val="32"/>
          <w:szCs w:val="32"/>
        </w:rPr>
      </w:pPr>
      <w:r>
        <w:rPr>
          <w:rFonts w:ascii="仿宋_GB2312" w:eastAsia="仿宋_GB2312"/>
          <w:sz w:val="32"/>
          <w:szCs w:val="32"/>
        </w:rPr>
        <w:t>一、收入支出决算总体情况说明</w:t>
      </w:r>
    </w:p>
    <w:p w14:paraId="7C296B38">
      <w:pPr>
        <w:spacing w:line="240" w:lineRule="auto"/>
        <w:rPr>
          <w:rFonts w:ascii="仿宋_GB2312" w:eastAsia="仿宋_GB2312"/>
          <w:sz w:val="32"/>
          <w:szCs w:val="32"/>
        </w:rPr>
      </w:pPr>
      <w:r>
        <w:rPr>
          <w:rFonts w:ascii="仿宋_GB2312" w:eastAsia="仿宋_GB2312"/>
          <w:sz w:val="32"/>
          <w:szCs w:val="32"/>
        </w:rPr>
        <w:t>二、收入决算情况说明</w:t>
      </w:r>
    </w:p>
    <w:p w14:paraId="55A9D501">
      <w:pPr>
        <w:spacing w:line="240" w:lineRule="auto"/>
        <w:rPr>
          <w:rFonts w:ascii="仿宋_GB2312" w:eastAsia="仿宋_GB2312"/>
          <w:sz w:val="32"/>
          <w:szCs w:val="32"/>
        </w:rPr>
      </w:pPr>
      <w:r>
        <w:rPr>
          <w:rFonts w:ascii="仿宋_GB2312" w:eastAsia="仿宋_GB2312"/>
          <w:sz w:val="32"/>
          <w:szCs w:val="32"/>
        </w:rPr>
        <w:t>三、支出决算情况说明</w:t>
      </w:r>
    </w:p>
    <w:p w14:paraId="16E91BD5">
      <w:pPr>
        <w:spacing w:line="240" w:lineRule="auto"/>
        <w:rPr>
          <w:rFonts w:ascii="仿宋_GB2312" w:eastAsia="仿宋_GB2312"/>
          <w:sz w:val="32"/>
          <w:szCs w:val="32"/>
        </w:rPr>
      </w:pPr>
      <w:r>
        <w:rPr>
          <w:rFonts w:ascii="仿宋_GB2312" w:eastAsia="仿宋_GB2312"/>
          <w:sz w:val="32"/>
          <w:szCs w:val="32"/>
        </w:rPr>
        <w:t>四、财政拨款收入支出决算总体情况说明</w:t>
      </w:r>
    </w:p>
    <w:p w14:paraId="5A464BA2">
      <w:pPr>
        <w:spacing w:line="240" w:lineRule="auto"/>
        <w:rPr>
          <w:rFonts w:ascii="仿宋_GB2312" w:eastAsia="仿宋_GB2312"/>
          <w:sz w:val="32"/>
          <w:szCs w:val="32"/>
        </w:rPr>
      </w:pPr>
      <w:r>
        <w:rPr>
          <w:rFonts w:ascii="仿宋_GB2312" w:eastAsia="仿宋_GB2312"/>
          <w:sz w:val="32"/>
          <w:szCs w:val="32"/>
        </w:rPr>
        <w:t>五、一般公共预算财政拨款支出决算情况说明</w:t>
      </w:r>
    </w:p>
    <w:p w14:paraId="09EFAEFB">
      <w:pPr>
        <w:spacing w:line="240" w:lineRule="auto"/>
        <w:rPr>
          <w:rFonts w:ascii="仿宋_GB2312" w:eastAsia="仿宋_GB2312"/>
          <w:sz w:val="32"/>
          <w:szCs w:val="32"/>
        </w:rPr>
      </w:pPr>
      <w:r>
        <w:rPr>
          <w:rFonts w:ascii="仿宋_GB2312" w:eastAsia="仿宋_GB2312"/>
          <w:sz w:val="32"/>
          <w:szCs w:val="32"/>
        </w:rPr>
        <w:t>（一）一般公共预算财政拨款支出决算总体情况</w:t>
      </w:r>
    </w:p>
    <w:p w14:paraId="47E7E8EF">
      <w:pPr>
        <w:spacing w:line="240" w:lineRule="auto"/>
        <w:rPr>
          <w:rFonts w:ascii="仿宋_GB2312" w:eastAsia="仿宋_GB2312"/>
          <w:sz w:val="32"/>
          <w:szCs w:val="32"/>
        </w:rPr>
      </w:pPr>
      <w:r>
        <w:rPr>
          <w:rFonts w:ascii="仿宋_GB2312" w:eastAsia="仿宋_GB2312"/>
          <w:sz w:val="32"/>
          <w:szCs w:val="32"/>
        </w:rPr>
        <w:t>（二）一般公共预算财政拨款支出决算结构情况</w:t>
      </w:r>
    </w:p>
    <w:p w14:paraId="68B2BB03">
      <w:pPr>
        <w:spacing w:line="240" w:lineRule="auto"/>
        <w:rPr>
          <w:rFonts w:ascii="仿宋_GB2312" w:eastAsia="仿宋_GB2312"/>
          <w:sz w:val="32"/>
          <w:szCs w:val="32"/>
        </w:rPr>
      </w:pPr>
      <w:r>
        <w:rPr>
          <w:rFonts w:ascii="仿宋_GB2312" w:eastAsia="仿宋_GB2312"/>
          <w:sz w:val="32"/>
          <w:szCs w:val="32"/>
        </w:rPr>
        <w:t>（三）一般公共预算财政拨款支出决算具体情况</w:t>
      </w:r>
    </w:p>
    <w:p w14:paraId="6AB671C7">
      <w:pPr>
        <w:spacing w:line="240" w:lineRule="auto"/>
        <w:rPr>
          <w:rFonts w:ascii="仿宋_GB2312" w:eastAsia="仿宋_GB2312"/>
          <w:sz w:val="32"/>
          <w:szCs w:val="32"/>
        </w:rPr>
      </w:pPr>
      <w:r>
        <w:rPr>
          <w:rFonts w:ascii="仿宋_GB2312" w:eastAsia="仿宋_GB2312"/>
          <w:sz w:val="32"/>
          <w:szCs w:val="32"/>
        </w:rPr>
        <w:t>六、一般公共预算财政拨款基本支出决算情况说明</w:t>
      </w:r>
    </w:p>
    <w:p w14:paraId="3C7D2DFD">
      <w:pPr>
        <w:spacing w:line="240" w:lineRule="auto"/>
        <w:rPr>
          <w:rFonts w:ascii="仿宋_GB2312" w:eastAsia="仿宋_GB2312"/>
          <w:sz w:val="32"/>
          <w:szCs w:val="32"/>
        </w:rPr>
      </w:pPr>
      <w:r>
        <w:rPr>
          <w:rFonts w:ascii="仿宋_GB2312" w:eastAsia="仿宋_GB2312"/>
          <w:sz w:val="32"/>
          <w:szCs w:val="32"/>
        </w:rPr>
        <w:t>七、政府性基金预算财政拨款收入支出决算情况说明</w:t>
      </w:r>
    </w:p>
    <w:p w14:paraId="296D67EC">
      <w:pPr>
        <w:spacing w:line="240" w:lineRule="auto"/>
        <w:rPr>
          <w:rFonts w:ascii="仿宋_GB2312" w:eastAsia="仿宋_GB2312"/>
          <w:sz w:val="32"/>
          <w:szCs w:val="32"/>
        </w:rPr>
      </w:pPr>
      <w:r>
        <w:rPr>
          <w:rFonts w:ascii="仿宋_GB2312" w:eastAsia="仿宋_GB2312"/>
          <w:sz w:val="32"/>
          <w:szCs w:val="32"/>
        </w:rPr>
        <w:t>八、国有资本经营预算财政拨款收入支出决算情况说明</w:t>
      </w:r>
    </w:p>
    <w:p w14:paraId="42FB0C65">
      <w:pPr>
        <w:spacing w:line="240" w:lineRule="auto"/>
        <w:rPr>
          <w:rFonts w:ascii="仿宋_GB2312" w:eastAsia="仿宋_GB2312"/>
          <w:sz w:val="32"/>
          <w:szCs w:val="32"/>
        </w:rPr>
      </w:pPr>
      <w:r>
        <w:rPr>
          <w:rFonts w:ascii="仿宋_GB2312" w:eastAsia="仿宋_GB2312"/>
          <w:sz w:val="32"/>
          <w:szCs w:val="32"/>
        </w:rPr>
        <w:t>九、财政拨款“三公”经费支出决算情况说明</w:t>
      </w:r>
    </w:p>
    <w:p w14:paraId="54826195">
      <w:pPr>
        <w:spacing w:line="240" w:lineRule="auto"/>
        <w:rPr>
          <w:rFonts w:ascii="仿宋_GB2312" w:eastAsia="仿宋_GB2312"/>
          <w:sz w:val="32"/>
          <w:szCs w:val="32"/>
        </w:rPr>
      </w:pPr>
      <w:r>
        <w:rPr>
          <w:rFonts w:ascii="仿宋_GB2312" w:eastAsia="仿宋_GB2312"/>
          <w:sz w:val="32"/>
          <w:szCs w:val="32"/>
        </w:rPr>
        <w:t>十、其他重要事项的情况说明</w:t>
      </w:r>
    </w:p>
    <w:p w14:paraId="659B9DF0">
      <w:pPr>
        <w:spacing w:line="240" w:lineRule="auto"/>
        <w:rPr>
          <w:rFonts w:ascii="仿宋_GB2312" w:eastAsia="仿宋_GB2312"/>
          <w:sz w:val="32"/>
          <w:szCs w:val="32"/>
        </w:rPr>
      </w:pPr>
      <w:r>
        <w:rPr>
          <w:rFonts w:ascii="仿宋_GB2312" w:eastAsia="仿宋_GB2312"/>
          <w:sz w:val="32"/>
          <w:szCs w:val="32"/>
        </w:rPr>
        <w:t>（一）机关运行经费及公用经费支出情况</w:t>
      </w:r>
    </w:p>
    <w:p w14:paraId="0C4E27D7">
      <w:pPr>
        <w:spacing w:line="240" w:lineRule="auto"/>
        <w:rPr>
          <w:rFonts w:ascii="仿宋_GB2312" w:eastAsia="仿宋_GB2312"/>
          <w:sz w:val="32"/>
          <w:szCs w:val="32"/>
        </w:rPr>
      </w:pPr>
      <w:r>
        <w:rPr>
          <w:rFonts w:ascii="仿宋_GB2312" w:eastAsia="仿宋_GB2312"/>
          <w:sz w:val="32"/>
          <w:szCs w:val="32"/>
        </w:rPr>
        <w:t>（二）政府采购情况</w:t>
      </w:r>
    </w:p>
    <w:p w14:paraId="21A27A03">
      <w:pPr>
        <w:spacing w:line="240" w:lineRule="auto"/>
        <w:rPr>
          <w:rFonts w:ascii="仿宋_GB2312" w:eastAsia="仿宋_GB2312"/>
          <w:sz w:val="32"/>
          <w:szCs w:val="32"/>
        </w:rPr>
      </w:pPr>
      <w:r>
        <w:rPr>
          <w:rFonts w:ascii="仿宋_GB2312" w:eastAsia="仿宋_GB2312"/>
          <w:sz w:val="32"/>
          <w:szCs w:val="32"/>
        </w:rPr>
        <w:t>（三）国有资产占用情况说明</w:t>
      </w:r>
    </w:p>
    <w:p w14:paraId="7C694329">
      <w:pPr>
        <w:spacing w:line="240" w:lineRule="auto"/>
        <w:rPr>
          <w:rFonts w:ascii="仿宋_GB2312" w:eastAsia="仿宋_GB2312"/>
          <w:sz w:val="32"/>
          <w:szCs w:val="32"/>
        </w:rPr>
      </w:pPr>
      <w:r>
        <w:rPr>
          <w:rFonts w:ascii="仿宋_GB2312" w:eastAsia="仿宋_GB2312"/>
          <w:sz w:val="32"/>
          <w:szCs w:val="32"/>
        </w:rPr>
        <w:t>十一、预算绩效的情况说明</w:t>
      </w:r>
    </w:p>
    <w:p w14:paraId="61DAB1BE">
      <w:pPr>
        <w:spacing w:line="240" w:lineRule="auto"/>
        <w:rPr>
          <w:rFonts w:ascii="仿宋_GB2312" w:eastAsia="仿宋_GB2312"/>
          <w:sz w:val="32"/>
          <w:szCs w:val="32"/>
        </w:rPr>
      </w:pPr>
      <w:r>
        <w:rPr>
          <w:rFonts w:ascii="仿宋_GB2312" w:eastAsia="仿宋_GB2312"/>
          <w:sz w:val="32"/>
          <w:szCs w:val="32"/>
        </w:rPr>
        <w:t>十二、其他需说明的事项</w:t>
      </w:r>
    </w:p>
    <w:p w14:paraId="28E664D3">
      <w:pPr>
        <w:spacing w:line="240" w:lineRule="auto"/>
        <w:rPr>
          <w:rFonts w:ascii="仿宋_GB2312" w:eastAsia="仿宋_GB2312"/>
          <w:sz w:val="32"/>
          <w:szCs w:val="32"/>
        </w:rPr>
      </w:pPr>
      <w:r>
        <w:rPr>
          <w:rFonts w:ascii="仿宋_GB2312" w:eastAsia="仿宋_GB2312"/>
          <w:b/>
          <w:sz w:val="32"/>
          <w:szCs w:val="32"/>
        </w:rPr>
        <w:t>第三部分专业名词解释</w:t>
      </w:r>
    </w:p>
    <w:p w14:paraId="211D31F9">
      <w:pPr>
        <w:spacing w:line="240" w:lineRule="auto"/>
        <w:rPr>
          <w:rFonts w:ascii="仿宋_GB2312" w:eastAsia="仿宋_GB2312"/>
          <w:sz w:val="32"/>
          <w:szCs w:val="32"/>
        </w:rPr>
      </w:pPr>
      <w:r>
        <w:rPr>
          <w:rFonts w:ascii="仿宋_GB2312" w:eastAsia="仿宋_GB2312"/>
          <w:b/>
          <w:sz w:val="32"/>
          <w:szCs w:val="32"/>
        </w:rPr>
        <w:t>第四部分部门决算报表（见附表）</w:t>
      </w:r>
    </w:p>
    <w:p w14:paraId="4973607A">
      <w:pPr>
        <w:spacing w:line="240" w:lineRule="auto"/>
        <w:rPr>
          <w:rFonts w:ascii="仿宋_GB2312" w:eastAsia="仿宋_GB2312"/>
          <w:sz w:val="32"/>
          <w:szCs w:val="32"/>
        </w:rPr>
      </w:pPr>
      <w:r>
        <w:rPr>
          <w:rFonts w:ascii="仿宋_GB2312" w:eastAsia="仿宋_GB2312"/>
          <w:sz w:val="32"/>
          <w:szCs w:val="32"/>
        </w:rPr>
        <w:t>一、《收入支出决算总表》</w:t>
      </w:r>
    </w:p>
    <w:p w14:paraId="1F5BDC5C">
      <w:pPr>
        <w:spacing w:line="240" w:lineRule="auto"/>
        <w:rPr>
          <w:rFonts w:ascii="仿宋_GB2312" w:eastAsia="仿宋_GB2312"/>
          <w:sz w:val="32"/>
          <w:szCs w:val="32"/>
        </w:rPr>
      </w:pPr>
      <w:r>
        <w:rPr>
          <w:rFonts w:ascii="仿宋_GB2312" w:eastAsia="仿宋_GB2312"/>
          <w:sz w:val="32"/>
          <w:szCs w:val="32"/>
        </w:rPr>
        <w:t>二、《收入决算表》</w:t>
      </w:r>
    </w:p>
    <w:p w14:paraId="17071FEF">
      <w:pPr>
        <w:spacing w:line="240" w:lineRule="auto"/>
        <w:rPr>
          <w:rFonts w:ascii="仿宋_GB2312" w:eastAsia="仿宋_GB2312"/>
          <w:sz w:val="32"/>
          <w:szCs w:val="32"/>
        </w:rPr>
      </w:pPr>
      <w:r>
        <w:rPr>
          <w:rFonts w:ascii="仿宋_GB2312" w:eastAsia="仿宋_GB2312"/>
          <w:sz w:val="32"/>
          <w:szCs w:val="32"/>
        </w:rPr>
        <w:t>三、《支出决算表》</w:t>
      </w:r>
    </w:p>
    <w:p w14:paraId="14D3D746">
      <w:pPr>
        <w:spacing w:line="240" w:lineRule="auto"/>
        <w:rPr>
          <w:rFonts w:ascii="仿宋_GB2312" w:eastAsia="仿宋_GB2312"/>
          <w:sz w:val="32"/>
          <w:szCs w:val="32"/>
        </w:rPr>
      </w:pPr>
      <w:r>
        <w:rPr>
          <w:rFonts w:ascii="仿宋_GB2312" w:eastAsia="仿宋_GB2312"/>
          <w:sz w:val="32"/>
          <w:szCs w:val="32"/>
        </w:rPr>
        <w:t>四、《财政拨款收入支出决算总表》</w:t>
      </w:r>
    </w:p>
    <w:p w14:paraId="7E57D8BA">
      <w:pPr>
        <w:spacing w:line="240" w:lineRule="auto"/>
        <w:rPr>
          <w:rFonts w:ascii="仿宋_GB2312" w:eastAsia="仿宋_GB2312"/>
          <w:sz w:val="32"/>
          <w:szCs w:val="32"/>
        </w:rPr>
      </w:pPr>
      <w:r>
        <w:rPr>
          <w:rFonts w:ascii="仿宋_GB2312" w:eastAsia="仿宋_GB2312"/>
          <w:sz w:val="32"/>
          <w:szCs w:val="32"/>
        </w:rPr>
        <w:t>五、《一般公共预算财政拨款支出决算表》</w:t>
      </w:r>
    </w:p>
    <w:p w14:paraId="19E63933">
      <w:pPr>
        <w:spacing w:line="240" w:lineRule="auto"/>
        <w:rPr>
          <w:rFonts w:ascii="仿宋_GB2312" w:eastAsia="仿宋_GB2312"/>
          <w:sz w:val="32"/>
          <w:szCs w:val="32"/>
        </w:rPr>
      </w:pPr>
      <w:r>
        <w:rPr>
          <w:rFonts w:ascii="仿宋_GB2312" w:eastAsia="仿宋_GB2312"/>
          <w:sz w:val="32"/>
          <w:szCs w:val="32"/>
        </w:rPr>
        <w:t>六、《一般公共预算财政拨款基本支出决算表》</w:t>
      </w:r>
    </w:p>
    <w:p w14:paraId="2FFB952D">
      <w:pPr>
        <w:spacing w:line="240" w:lineRule="auto"/>
        <w:rPr>
          <w:rFonts w:ascii="仿宋_GB2312" w:eastAsia="仿宋_GB2312"/>
          <w:sz w:val="32"/>
          <w:szCs w:val="32"/>
        </w:rPr>
      </w:pPr>
      <w:r>
        <w:rPr>
          <w:rFonts w:ascii="仿宋_GB2312" w:eastAsia="仿宋_GB2312"/>
          <w:sz w:val="32"/>
          <w:szCs w:val="32"/>
        </w:rPr>
        <w:t>七、《政府性基金预算财政拨款收入支出决算表》</w:t>
      </w:r>
    </w:p>
    <w:p w14:paraId="23D51459">
      <w:pPr>
        <w:spacing w:line="240" w:lineRule="auto"/>
        <w:rPr>
          <w:rFonts w:ascii="仿宋_GB2312" w:eastAsia="仿宋_GB2312"/>
          <w:sz w:val="32"/>
          <w:szCs w:val="32"/>
        </w:rPr>
      </w:pPr>
      <w:r>
        <w:rPr>
          <w:rFonts w:ascii="仿宋_GB2312" w:eastAsia="仿宋_GB2312"/>
          <w:sz w:val="32"/>
          <w:szCs w:val="32"/>
        </w:rPr>
        <w:t>八、《国有资本经营预算财政拨款收入支出决算表》</w:t>
      </w:r>
    </w:p>
    <w:p w14:paraId="0DB93EA6">
      <w:pPr>
        <w:spacing w:line="240" w:lineRule="auto"/>
        <w:rPr>
          <w:rFonts w:ascii="仿宋_GB2312" w:eastAsia="仿宋_GB2312"/>
          <w:sz w:val="32"/>
          <w:szCs w:val="32"/>
        </w:rPr>
      </w:pPr>
      <w:r>
        <w:rPr>
          <w:rFonts w:ascii="仿宋_GB2312" w:eastAsia="仿宋_GB2312"/>
          <w:sz w:val="32"/>
          <w:szCs w:val="32"/>
        </w:rPr>
        <w:t>九、《财政拨款“三公”经费支出决算表》</w:t>
      </w:r>
    </w:p>
    <w:p w14:paraId="6CECF480">
      <w:r>
        <w:rPr>
          <w:sz w:val="0"/>
          <w:szCs w:val="0"/>
        </w:rPr>
        <w:br w:type="page"/>
      </w:r>
    </w:p>
    <w:p w14:paraId="2EFDF29C">
      <w:pPr>
        <w:spacing w:line="240" w:lineRule="auto"/>
        <w:jc w:val="center"/>
        <w:outlineLvl w:val="0"/>
        <w:rPr>
          <w:rFonts w:ascii="黑体" w:eastAsia="黑体"/>
          <w:sz w:val="32"/>
          <w:szCs w:val="32"/>
        </w:rPr>
      </w:pPr>
      <w:r>
        <w:rPr>
          <w:rFonts w:ascii="黑体" w:eastAsia="黑体"/>
          <w:sz w:val="32"/>
          <w:szCs w:val="32"/>
        </w:rPr>
        <w:t>第一部分单位概况</w:t>
      </w:r>
    </w:p>
    <w:p w14:paraId="3A85FB73">
      <w:pPr>
        <w:spacing w:line="240" w:lineRule="auto"/>
        <w:outlineLvl w:val="1"/>
        <w:rPr>
          <w:rFonts w:ascii="黑体" w:eastAsia="黑体"/>
          <w:sz w:val="32"/>
          <w:szCs w:val="32"/>
        </w:rPr>
      </w:pPr>
      <w:r>
        <w:rPr>
          <w:rFonts w:ascii="黑体" w:eastAsia="黑体"/>
          <w:sz w:val="32"/>
          <w:szCs w:val="32"/>
        </w:rPr>
        <w:t>一、主要职能</w:t>
      </w:r>
    </w:p>
    <w:p w14:paraId="783E3BE0">
      <w:pPr>
        <w:spacing w:line="560" w:lineRule="exact"/>
        <w:ind w:firstLine="800" w:firstLineChars="250"/>
        <w:rPr>
          <w:rFonts w:ascii="仿宋_GB2312" w:eastAsia="仿宋_GB2312"/>
          <w:sz w:val="32"/>
          <w:szCs w:val="32"/>
        </w:rPr>
      </w:pPr>
      <w:r>
        <w:rPr>
          <w:rFonts w:ascii="仿宋_GB2312" w:eastAsia="仿宋_GB2312"/>
          <w:sz w:val="32"/>
          <w:szCs w:val="32"/>
        </w:rPr>
        <w:t>新疆巴州库尔勒市民政局是全额拨款的行政单位。主要职责：贯彻执行党和国家关于民政工作的法律、法规和方针、政策；依法对全市社会团体、民办非企单位管理和监察责任；负责全市城乡低保、医疗救助、临时救助工作以及城乡社会救助体系建设工作；贯彻执行婚姻登记、殡葬管理、儿童收养政策并组织实施。</w:t>
      </w:r>
    </w:p>
    <w:p w14:paraId="3AE86FEC">
      <w:pPr>
        <w:spacing w:line="560" w:lineRule="exact"/>
        <w:ind w:firstLine="800" w:firstLineChars="250"/>
        <w:rPr>
          <w:rFonts w:ascii="仿宋_GB2312" w:eastAsia="仿宋_GB2312"/>
          <w:sz w:val="32"/>
          <w:szCs w:val="32"/>
        </w:rPr>
      </w:pPr>
      <w:r>
        <w:rPr>
          <w:rFonts w:ascii="仿宋_GB2312" w:eastAsia="仿宋_GB2312"/>
          <w:sz w:val="32"/>
          <w:szCs w:val="32"/>
        </w:rPr>
        <w:t>贯彻落实党中央关于民政工作的方针政策和决策部署，以及自治区、自治州、市党委的工作要求，在履行职责过程中坚持和加强党对民政工作的集中统一领导。主要职责是：</w:t>
      </w:r>
    </w:p>
    <w:p w14:paraId="1B0036DC">
      <w:pPr>
        <w:spacing w:line="560" w:lineRule="exact"/>
        <w:ind w:firstLine="800" w:firstLineChars="250"/>
        <w:rPr>
          <w:rFonts w:ascii="仿宋_GB2312" w:eastAsia="仿宋_GB2312"/>
          <w:sz w:val="32"/>
          <w:szCs w:val="32"/>
        </w:rPr>
      </w:pPr>
      <w:r>
        <w:rPr>
          <w:rFonts w:ascii="仿宋_GB2312" w:eastAsia="仿宋_GB2312"/>
          <w:sz w:val="32"/>
          <w:szCs w:val="32"/>
        </w:rPr>
        <w:t>（一）贯彻执行国家、自治区、自治州和库尔勒市关于民政工作的法律、法规、规章、政策；拟订库尔勒市民政事业发展规划并组织实施。</w:t>
      </w:r>
    </w:p>
    <w:p w14:paraId="41477CB9">
      <w:pPr>
        <w:spacing w:line="560" w:lineRule="exact"/>
        <w:ind w:firstLine="800" w:firstLineChars="250"/>
        <w:rPr>
          <w:rFonts w:ascii="仿宋_GB2312" w:eastAsia="仿宋_GB2312"/>
          <w:sz w:val="32"/>
          <w:szCs w:val="32"/>
        </w:rPr>
      </w:pPr>
      <w:r>
        <w:rPr>
          <w:rFonts w:ascii="仿宋_GB2312" w:eastAsia="仿宋_GB2312"/>
          <w:sz w:val="32"/>
          <w:szCs w:val="32"/>
        </w:rPr>
        <w:t>（二）库尔勒市社会救助规划、政策和标准，研究制定全市最低生活保障实施办法，制定保障标准，组织实施特困人员供养、最低生活保障、临时救助工作。</w:t>
      </w:r>
    </w:p>
    <w:p w14:paraId="015AA543">
      <w:pPr>
        <w:spacing w:line="560" w:lineRule="exact"/>
        <w:ind w:firstLine="800" w:firstLineChars="250"/>
        <w:rPr>
          <w:rFonts w:ascii="仿宋_GB2312" w:eastAsia="仿宋_GB2312"/>
          <w:sz w:val="32"/>
          <w:szCs w:val="32"/>
        </w:rPr>
      </w:pPr>
      <w:r>
        <w:rPr>
          <w:rFonts w:ascii="仿宋_GB2312" w:eastAsia="仿宋_GB2312"/>
          <w:sz w:val="32"/>
          <w:szCs w:val="32"/>
        </w:rPr>
        <w:t>（三）库尔勒市社会团体、社会服务机构、基金会等社会组织登记和管理政策；依法对库尔勒市社会团体、社会服务机构、基金会进行登记管理和执法监督。</w:t>
      </w:r>
    </w:p>
    <w:p w14:paraId="5E0F3C10">
      <w:pPr>
        <w:spacing w:line="560" w:lineRule="exact"/>
        <w:ind w:firstLine="800" w:firstLineChars="25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lang w:eastAsia="zh-CN"/>
        </w:rPr>
        <w:t>四</w:t>
      </w:r>
      <w:r>
        <w:rPr>
          <w:rFonts w:ascii="仿宋_GB2312" w:eastAsia="仿宋_GB2312"/>
          <w:sz w:val="32"/>
          <w:szCs w:val="32"/>
        </w:rPr>
        <w:t>）库尔勒市行政区划、行政区域界线、地名管理政策和标准；指导、承办行政区域内行政区划调整、行政区域界线勘定和管理、地名管理；协调处理边界争议和纠纷。</w:t>
      </w:r>
    </w:p>
    <w:p w14:paraId="7FAFB5CD">
      <w:pPr>
        <w:spacing w:line="560" w:lineRule="exact"/>
        <w:ind w:firstLine="800" w:firstLineChars="25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lang w:eastAsia="zh-CN"/>
        </w:rPr>
        <w:t>五</w:t>
      </w:r>
      <w:r>
        <w:rPr>
          <w:rFonts w:ascii="仿宋_GB2312" w:eastAsia="仿宋_GB2312"/>
          <w:sz w:val="32"/>
          <w:szCs w:val="32"/>
        </w:rPr>
        <w:t>）贯彻落实库尔勒市婚姻登记、殡葬管理政策；指导全市婚姻登</w:t>
      </w:r>
    </w:p>
    <w:p w14:paraId="6BDD7C1C">
      <w:pPr>
        <w:spacing w:line="560" w:lineRule="exact"/>
        <w:ind w:firstLine="800" w:firstLineChars="250"/>
        <w:rPr>
          <w:rFonts w:ascii="仿宋_GB2312" w:eastAsia="仿宋_GB2312"/>
          <w:sz w:val="32"/>
          <w:szCs w:val="32"/>
        </w:rPr>
      </w:pPr>
      <w:r>
        <w:rPr>
          <w:rFonts w:ascii="仿宋_GB2312" w:eastAsia="仿宋_GB2312"/>
          <w:sz w:val="32"/>
          <w:szCs w:val="32"/>
        </w:rPr>
        <w:t>记、殡葬服务机构管理，推进婚俗和殡葬改革。</w:t>
      </w:r>
    </w:p>
    <w:p w14:paraId="2FE67A03">
      <w:pPr>
        <w:spacing w:line="560" w:lineRule="exact"/>
        <w:ind w:firstLine="800" w:firstLineChars="25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lang w:eastAsia="zh-CN"/>
        </w:rPr>
        <w:t>六</w:t>
      </w:r>
      <w:r>
        <w:rPr>
          <w:rFonts w:ascii="仿宋_GB2312" w:eastAsia="仿宋_GB2312"/>
          <w:sz w:val="32"/>
          <w:szCs w:val="32"/>
        </w:rPr>
        <w:t>）库尔勒市老年人福利和养老服务业发展规划、政策，社会福利事业的彩票公益金，优先支持发展养老服务业，推进社会养老服务体系建设；负责有意愿的特困老人集中供养和孤儿集中收养工作。</w:t>
      </w:r>
    </w:p>
    <w:p w14:paraId="22384D92">
      <w:pPr>
        <w:spacing w:line="560" w:lineRule="exact"/>
        <w:ind w:firstLine="800" w:firstLineChars="25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lang w:eastAsia="zh-CN"/>
        </w:rPr>
        <w:t>七</w:t>
      </w:r>
      <w:r>
        <w:rPr>
          <w:rFonts w:ascii="仿宋_GB2312" w:eastAsia="仿宋_GB2312"/>
          <w:sz w:val="32"/>
          <w:szCs w:val="32"/>
        </w:rPr>
        <w:t>）贯彻落实库尔勒市儿童福利、儿童收养和儿童保护政策；健全农村留守儿童关爱体系和困境儿童保障制度；负责儿童福利收养登记、未成年人保护机构管理。负责生活无着流浪乞讨人员申请自愿救助工作。</w:t>
      </w:r>
    </w:p>
    <w:p w14:paraId="1D33A0B1">
      <w:pPr>
        <w:spacing w:line="560" w:lineRule="exact"/>
        <w:ind w:firstLine="800" w:firstLineChars="25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lang w:eastAsia="zh-CN"/>
        </w:rPr>
        <w:t>八</w:t>
      </w:r>
      <w:r>
        <w:rPr>
          <w:rFonts w:ascii="仿宋_GB2312" w:eastAsia="仿宋_GB2312"/>
          <w:sz w:val="32"/>
          <w:szCs w:val="32"/>
        </w:rPr>
        <w:t>）库尔勒市促进慈善事业发展规划、政策；指导社会捐助，监管慈善行为。</w:t>
      </w:r>
    </w:p>
    <w:p w14:paraId="5A36D20B">
      <w:pPr>
        <w:spacing w:line="560" w:lineRule="exact"/>
        <w:ind w:firstLine="800" w:firstLineChars="25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lang w:eastAsia="zh-CN"/>
        </w:rPr>
        <w:t>九</w:t>
      </w:r>
      <w:r>
        <w:rPr>
          <w:rFonts w:ascii="仿宋_GB2312" w:eastAsia="仿宋_GB2312"/>
          <w:sz w:val="32"/>
          <w:szCs w:val="32"/>
        </w:rPr>
        <w:t>）库尔勒市社会工作发展规划、政策和职业规范，指导社会工作人才和志愿者队伍建设。</w:t>
      </w:r>
    </w:p>
    <w:p w14:paraId="1F973AB7">
      <w:pPr>
        <w:spacing w:line="560" w:lineRule="exact"/>
        <w:ind w:firstLine="800" w:firstLineChars="250"/>
        <w:rPr>
          <w:rFonts w:ascii="仿宋_GB2312" w:eastAsia="仿宋_GB2312"/>
          <w:sz w:val="32"/>
          <w:szCs w:val="32"/>
        </w:rPr>
      </w:pPr>
      <w:r>
        <w:rPr>
          <w:rFonts w:ascii="仿宋_GB2312" w:eastAsia="仿宋_GB2312"/>
          <w:sz w:val="32"/>
          <w:szCs w:val="32"/>
        </w:rPr>
        <w:t>（十）负责全市民政事业财务工作，指导、监督民政事业经费的使用和管理。</w:t>
      </w:r>
    </w:p>
    <w:p w14:paraId="73684D72">
      <w:pPr>
        <w:spacing w:line="560" w:lineRule="exact"/>
        <w:ind w:firstLine="800" w:firstLineChars="250"/>
        <w:rPr>
          <w:rFonts w:ascii="仿宋_GB2312" w:eastAsia="仿宋_GB2312"/>
          <w:sz w:val="32"/>
          <w:szCs w:val="32"/>
        </w:rPr>
      </w:pPr>
      <w:r>
        <w:rPr>
          <w:rFonts w:ascii="仿宋_GB2312" w:eastAsia="仿宋_GB2312"/>
          <w:sz w:val="32"/>
          <w:szCs w:val="32"/>
        </w:rPr>
        <w:t>（十</w:t>
      </w:r>
      <w:r>
        <w:rPr>
          <w:rFonts w:hint="eastAsia" w:ascii="仿宋_GB2312" w:eastAsia="仿宋_GB2312"/>
          <w:sz w:val="32"/>
          <w:szCs w:val="32"/>
          <w:lang w:eastAsia="zh-CN"/>
        </w:rPr>
        <w:t>一</w:t>
      </w:r>
      <w:r>
        <w:rPr>
          <w:rFonts w:ascii="仿宋_GB2312" w:eastAsia="仿宋_GB2312"/>
          <w:sz w:val="32"/>
          <w:szCs w:val="32"/>
        </w:rPr>
        <w:t>）完成市党委、市人民政府交办的其他任务。</w:t>
      </w:r>
    </w:p>
    <w:p w14:paraId="2107D796">
      <w:pPr>
        <w:spacing w:line="240" w:lineRule="auto"/>
        <w:ind w:firstLine="640" w:firstLineChars="200"/>
        <w:jc w:val="both"/>
        <w:rPr>
          <w:rFonts w:ascii="仿宋_GB2312" w:eastAsia="仿宋_GB2312"/>
          <w:sz w:val="32"/>
          <w:szCs w:val="32"/>
        </w:rPr>
      </w:pPr>
    </w:p>
    <w:p w14:paraId="23321226">
      <w:pPr>
        <w:spacing w:line="240" w:lineRule="auto"/>
        <w:outlineLvl w:val="1"/>
        <w:rPr>
          <w:rFonts w:ascii="黑体" w:eastAsia="黑体"/>
          <w:sz w:val="32"/>
          <w:szCs w:val="32"/>
        </w:rPr>
      </w:pPr>
      <w:r>
        <w:rPr>
          <w:rFonts w:ascii="黑体" w:eastAsia="黑体"/>
          <w:sz w:val="32"/>
          <w:szCs w:val="32"/>
        </w:rPr>
        <w:t>二、机构设置及人员情况</w:t>
      </w:r>
    </w:p>
    <w:p w14:paraId="7D3404A9">
      <w:pPr>
        <w:spacing w:line="240" w:lineRule="auto"/>
        <w:ind w:firstLine="640" w:firstLineChars="200"/>
        <w:jc w:val="both"/>
        <w:rPr>
          <w:rFonts w:ascii="仿宋_GB2312" w:eastAsia="仿宋_GB2312"/>
          <w:sz w:val="32"/>
          <w:szCs w:val="32"/>
        </w:rPr>
      </w:pPr>
      <w:r>
        <w:rPr>
          <w:rFonts w:ascii="仿宋_GB2312" w:eastAsia="仿宋_GB2312"/>
          <w:sz w:val="32"/>
          <w:szCs w:val="32"/>
        </w:rPr>
        <w:t>库尔勒市民政局2024年度，实有人数64人，其中：在职人员37人，较上年无变化；离休人员0人，较上年无变化；退休人员27人，减少1人。</w:t>
      </w:r>
    </w:p>
    <w:p w14:paraId="53A0A7B3">
      <w:pPr>
        <w:spacing w:line="240" w:lineRule="auto"/>
        <w:ind w:firstLine="640" w:firstLineChars="200"/>
        <w:jc w:val="both"/>
        <w:rPr>
          <w:rFonts w:ascii="仿宋_GB2312" w:eastAsia="仿宋_GB2312"/>
          <w:sz w:val="32"/>
          <w:szCs w:val="32"/>
        </w:rPr>
      </w:pPr>
      <w:r>
        <w:rPr>
          <w:rFonts w:ascii="仿宋_GB2312" w:eastAsia="仿宋_GB2312"/>
          <w:sz w:val="32"/>
          <w:szCs w:val="32"/>
        </w:rPr>
        <w:t>库尔勒市民政局无下属预算单位，下设</w:t>
      </w:r>
      <w:r>
        <w:rPr>
          <w:rFonts w:hint="eastAsia" w:ascii="仿宋_GB2312" w:eastAsia="仿宋_GB2312"/>
          <w:sz w:val="32"/>
          <w:szCs w:val="32"/>
          <w:lang w:val="en-US" w:eastAsia="zh-CN"/>
        </w:rPr>
        <w:t>4</w:t>
      </w:r>
      <w:r>
        <w:rPr>
          <w:rFonts w:ascii="仿宋_GB2312" w:eastAsia="仿宋_GB2312"/>
          <w:sz w:val="32"/>
          <w:szCs w:val="32"/>
        </w:rPr>
        <w:t>个，分别是：</w:t>
      </w:r>
      <w:r>
        <w:rPr>
          <w:rFonts w:hint="eastAsia" w:ascii="仿宋_GB2312" w:eastAsia="仿宋_GB2312"/>
          <w:sz w:val="32"/>
          <w:szCs w:val="32"/>
          <w:lang w:eastAsia="zh-CN"/>
        </w:rPr>
        <w:t>综合一室，综合二室，综合三室，办公室</w:t>
      </w:r>
      <w:r>
        <w:rPr>
          <w:rFonts w:ascii="仿宋_GB2312" w:eastAsia="仿宋_GB2312"/>
          <w:sz w:val="32"/>
          <w:szCs w:val="32"/>
        </w:rPr>
        <w:t>。</w:t>
      </w:r>
    </w:p>
    <w:p w14:paraId="5A7307BA">
      <w:r>
        <w:rPr>
          <w:sz w:val="0"/>
          <w:szCs w:val="0"/>
        </w:rPr>
        <w:br w:type="page"/>
      </w:r>
    </w:p>
    <w:p w14:paraId="76C284C4">
      <w:pPr>
        <w:spacing w:line="240" w:lineRule="auto"/>
        <w:jc w:val="center"/>
        <w:outlineLvl w:val="0"/>
        <w:rPr>
          <w:rFonts w:ascii="黑体" w:eastAsia="黑体"/>
          <w:sz w:val="32"/>
          <w:szCs w:val="32"/>
        </w:rPr>
      </w:pPr>
      <w:r>
        <w:rPr>
          <w:rFonts w:ascii="黑体" w:eastAsia="黑体"/>
          <w:sz w:val="32"/>
          <w:szCs w:val="32"/>
        </w:rPr>
        <w:t>第二部分部门决算情况说明</w:t>
      </w:r>
    </w:p>
    <w:p w14:paraId="4D7574B8">
      <w:pPr>
        <w:spacing w:line="240" w:lineRule="auto"/>
        <w:outlineLvl w:val="1"/>
        <w:rPr>
          <w:rFonts w:ascii="黑体" w:eastAsia="黑体"/>
          <w:color w:val="FF0000"/>
          <w:sz w:val="32"/>
          <w:szCs w:val="32"/>
        </w:rPr>
      </w:pPr>
      <w:r>
        <w:rPr>
          <w:rFonts w:ascii="黑体" w:eastAsia="黑体"/>
          <w:sz w:val="32"/>
          <w:szCs w:val="32"/>
        </w:rPr>
        <w:t>一、收入支出决算总体情况说明</w:t>
      </w:r>
    </w:p>
    <w:p w14:paraId="4815F1CF">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2024年度收入总计9,621.94万元，其中：本年收入合计9,621.94万元，使用非财政拨款结余（含专用结余）0.00万元，年初结转和结余0.00万元。</w:t>
      </w:r>
    </w:p>
    <w:p w14:paraId="6E01D047">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2024年度支出总计9,621.94万元，其中：本年支出合计9,621.94万元，结余分配0.00万元，年末结转和结余0.00万元。</w:t>
      </w:r>
    </w:p>
    <w:p w14:paraId="5D930C33">
      <w:pPr>
        <w:spacing w:line="240" w:lineRule="auto"/>
        <w:ind w:firstLine="640" w:firstLineChars="200"/>
        <w:jc w:val="both"/>
        <w:rPr>
          <w:rFonts w:ascii="仿宋_GB2312" w:eastAsia="仿宋_GB2312"/>
          <w:sz w:val="32"/>
          <w:szCs w:val="32"/>
        </w:rPr>
      </w:pPr>
      <w:r>
        <w:rPr>
          <w:rFonts w:ascii="仿宋_GB2312" w:eastAsia="仿宋_GB2312"/>
          <w:sz w:val="32"/>
          <w:szCs w:val="32"/>
        </w:rPr>
        <w:t>收入支出总体与上年相比，增加247.58万元，增长2.64%，主要原因是：</w:t>
      </w:r>
      <w:r>
        <w:rPr>
          <w:rFonts w:hint="eastAsia" w:ascii="仿宋_GB2312" w:eastAsia="仿宋_GB2312"/>
          <w:sz w:val="32"/>
          <w:szCs w:val="32"/>
          <w:lang w:eastAsia="zh-CN"/>
        </w:rPr>
        <w:t>职工工资福利按政策调整，社保、公积金缴费基数上涨导致人员经费增加，困难群众救助补助资金，残疾人两项补贴，80岁以上高龄老人生活补助享受人数增加导致社会救助资金增加</w:t>
      </w:r>
      <w:r>
        <w:rPr>
          <w:rFonts w:ascii="仿宋_GB2312" w:eastAsia="仿宋_GB2312"/>
          <w:sz w:val="32"/>
          <w:szCs w:val="32"/>
        </w:rPr>
        <w:t>。</w:t>
      </w:r>
    </w:p>
    <w:p w14:paraId="6C4213B6">
      <w:pPr>
        <w:spacing w:line="240" w:lineRule="auto"/>
        <w:outlineLvl w:val="1"/>
        <w:rPr>
          <w:rFonts w:ascii="黑体" w:eastAsia="黑体"/>
          <w:sz w:val="32"/>
          <w:szCs w:val="32"/>
        </w:rPr>
      </w:pPr>
      <w:r>
        <w:rPr>
          <w:rFonts w:ascii="黑体" w:eastAsia="黑体"/>
          <w:sz w:val="32"/>
          <w:szCs w:val="32"/>
        </w:rPr>
        <w:t>二、收入决算情况说明</w:t>
      </w:r>
    </w:p>
    <w:p w14:paraId="4166F17D">
      <w:pPr>
        <w:spacing w:line="240" w:lineRule="auto"/>
        <w:ind w:firstLine="640" w:firstLineChars="200"/>
        <w:jc w:val="both"/>
        <w:rPr>
          <w:rFonts w:ascii="仿宋_GB2312" w:eastAsia="仿宋_GB2312"/>
          <w:sz w:val="32"/>
          <w:szCs w:val="32"/>
        </w:rPr>
      </w:pPr>
      <w:r>
        <w:rPr>
          <w:rFonts w:ascii="仿宋_GB2312" w:eastAsia="仿宋_GB2312"/>
          <w:sz w:val="32"/>
          <w:szCs w:val="32"/>
        </w:rPr>
        <w:t>本年收入9,621.94万元，其中：财政拨款收入9,621.94万元,占100.00%；上级补助收入0.00万元,占0.00%；事业收入0.00万元，占0.00%；经营收入0.00万元,占0.00%；附属单位上缴收入0.00万元，占0.00%；其他收入0.00万元，占0.00%。</w:t>
      </w:r>
    </w:p>
    <w:p w14:paraId="50AF9887">
      <w:pPr>
        <w:spacing w:line="240" w:lineRule="auto"/>
        <w:outlineLvl w:val="1"/>
        <w:rPr>
          <w:rFonts w:ascii="黑体" w:eastAsia="黑体"/>
          <w:sz w:val="32"/>
          <w:szCs w:val="32"/>
        </w:rPr>
      </w:pPr>
      <w:r>
        <w:rPr>
          <w:rFonts w:ascii="黑体" w:eastAsia="黑体"/>
          <w:sz w:val="32"/>
          <w:szCs w:val="32"/>
        </w:rPr>
        <w:t>三、支出决算情况说明</w:t>
      </w:r>
    </w:p>
    <w:p w14:paraId="6AE88E3A">
      <w:pPr>
        <w:spacing w:line="240" w:lineRule="auto"/>
        <w:ind w:firstLine="640" w:firstLineChars="200"/>
        <w:jc w:val="both"/>
        <w:rPr>
          <w:rFonts w:ascii="仿宋_GB2312" w:eastAsia="仿宋_GB2312"/>
          <w:sz w:val="32"/>
          <w:szCs w:val="32"/>
        </w:rPr>
      </w:pPr>
      <w:r>
        <w:rPr>
          <w:rFonts w:ascii="仿宋_GB2312" w:eastAsia="仿宋_GB2312"/>
          <w:sz w:val="32"/>
          <w:szCs w:val="32"/>
        </w:rPr>
        <w:t>本年支出9,621.94万元，其中：基本支出1,574.52万元，占16.36%；项目支出8,047.42万元，占83.64%；上缴上级支出0.00万元，占0.00%；经营支出0.00万元，占0.00%；对附属单位补助支出0.00万元，占0.00%。</w:t>
      </w:r>
    </w:p>
    <w:p w14:paraId="06EBD3CE">
      <w:pPr>
        <w:spacing w:line="240" w:lineRule="auto"/>
        <w:outlineLvl w:val="1"/>
        <w:rPr>
          <w:rFonts w:ascii="黑体" w:eastAsia="黑体"/>
          <w:sz w:val="32"/>
          <w:szCs w:val="32"/>
        </w:rPr>
      </w:pPr>
      <w:r>
        <w:rPr>
          <w:rFonts w:ascii="黑体" w:eastAsia="黑体"/>
          <w:sz w:val="32"/>
          <w:szCs w:val="32"/>
        </w:rPr>
        <w:t>四、财政拨款收入支出决算总体情况说明</w:t>
      </w:r>
    </w:p>
    <w:p w14:paraId="7273689D">
      <w:pPr>
        <w:spacing w:line="240" w:lineRule="auto"/>
        <w:ind w:firstLine="640" w:firstLineChars="200"/>
        <w:jc w:val="both"/>
        <w:rPr>
          <w:rFonts w:ascii="仿宋_GB2312" w:eastAsia="仿宋_GB2312"/>
          <w:sz w:val="32"/>
          <w:szCs w:val="32"/>
        </w:rPr>
      </w:pPr>
      <w:r>
        <w:rPr>
          <w:rFonts w:ascii="仿宋_GB2312" w:eastAsia="仿宋_GB2312"/>
          <w:sz w:val="32"/>
          <w:szCs w:val="32"/>
        </w:rPr>
        <w:t>2024年度财政拨款收入总计9,621.94万元，其中：年初财政拨款结转和结余0.00万元，本年财政拨款收入9,621.94万元。财政拨款支出总计9,621.94万元，其中：年末财政拨款结转和结余0.00万元，本年财政拨款支出9,621.94万元。</w:t>
      </w:r>
    </w:p>
    <w:p w14:paraId="18211240">
      <w:pPr>
        <w:spacing w:line="240" w:lineRule="auto"/>
        <w:ind w:firstLine="640" w:firstLineChars="200"/>
        <w:jc w:val="both"/>
        <w:rPr>
          <w:rFonts w:ascii="仿宋_GB2312" w:eastAsia="仿宋_GB2312"/>
          <w:sz w:val="32"/>
          <w:szCs w:val="32"/>
        </w:rPr>
      </w:pPr>
      <w:r>
        <w:rPr>
          <w:rFonts w:ascii="仿宋_GB2312" w:eastAsia="仿宋_GB2312"/>
          <w:sz w:val="32"/>
          <w:szCs w:val="32"/>
        </w:rPr>
        <w:t>财政拨款收入支出总体与上年相比，增加248.73万元，增长2.65%，主要原因是：</w:t>
      </w:r>
      <w:r>
        <w:rPr>
          <w:rFonts w:hint="eastAsia" w:ascii="仿宋_GB2312" w:eastAsia="仿宋_GB2312"/>
          <w:sz w:val="32"/>
          <w:szCs w:val="32"/>
          <w:lang w:eastAsia="zh-CN"/>
        </w:rPr>
        <w:t>职工工资福利按政策调整，社保、公积金缴费基数上涨导致人员经费增加，困难群众救助补助资金，残疾人两项补贴，80岁以上高龄老人生活补助享受人数增加导致社会救助资金增加</w:t>
      </w:r>
      <w:r>
        <w:rPr>
          <w:rFonts w:ascii="仿宋_GB2312" w:eastAsia="仿宋_GB2312"/>
          <w:sz w:val="32"/>
          <w:szCs w:val="32"/>
        </w:rPr>
        <w:t>。</w:t>
      </w:r>
    </w:p>
    <w:p w14:paraId="1C75DEF4">
      <w:pPr>
        <w:ind w:firstLine="640" w:firstLineChars="200"/>
        <w:rPr>
          <w:rFonts w:ascii="仿宋_GB2312" w:eastAsia="仿宋_GB2312"/>
          <w:sz w:val="32"/>
          <w:szCs w:val="32"/>
        </w:rPr>
      </w:pPr>
      <w:r>
        <w:rPr>
          <w:rFonts w:ascii="仿宋_GB2312" w:eastAsia="仿宋_GB2312"/>
          <w:sz w:val="32"/>
          <w:szCs w:val="32"/>
        </w:rPr>
        <w:t>与年初预算相比，年初预算数8,231.50万元，决算数9,621.94万元，预决算差异率16.89%，主要原因是：</w:t>
      </w:r>
      <w:r>
        <w:rPr>
          <w:rFonts w:hint="eastAsia" w:ascii="仿宋_GB2312" w:eastAsia="仿宋_GB2312"/>
          <w:sz w:val="32"/>
          <w:szCs w:val="32"/>
        </w:rPr>
        <w:t>202</w:t>
      </w:r>
      <w:r>
        <w:rPr>
          <w:rFonts w:hint="eastAsia" w:ascii="仿宋_GB2312" w:eastAsia="仿宋_GB2312"/>
          <w:sz w:val="32"/>
          <w:szCs w:val="32"/>
          <w:lang w:eastAsia="zh-CN"/>
        </w:rPr>
        <w:t>4</w:t>
      </w:r>
      <w:r>
        <w:rPr>
          <w:rFonts w:hint="eastAsia" w:ascii="仿宋_GB2312" w:eastAsia="仿宋_GB2312"/>
          <w:sz w:val="32"/>
          <w:szCs w:val="32"/>
        </w:rPr>
        <w:t>年福利彩票公益金决算数比年初预算安排数大</w:t>
      </w:r>
      <w:r>
        <w:rPr>
          <w:rFonts w:hint="eastAsia" w:ascii="仿宋_GB2312" w:eastAsia="仿宋_GB2312"/>
          <w:sz w:val="32"/>
          <w:szCs w:val="32"/>
          <w:lang w:eastAsia="zh-CN"/>
        </w:rPr>
        <w:t>，</w:t>
      </w:r>
      <w:r>
        <w:rPr>
          <w:rFonts w:hint="eastAsia" w:ascii="仿宋_GB2312" w:eastAsia="仿宋_GB2312"/>
          <w:sz w:val="32"/>
          <w:szCs w:val="32"/>
        </w:rPr>
        <w:t>导致预决算数有差异。</w:t>
      </w:r>
    </w:p>
    <w:p w14:paraId="5B314E56">
      <w:pPr>
        <w:spacing w:line="240" w:lineRule="auto"/>
        <w:outlineLvl w:val="1"/>
        <w:rPr>
          <w:rFonts w:ascii="黑体" w:eastAsia="黑体"/>
          <w:sz w:val="32"/>
          <w:szCs w:val="32"/>
        </w:rPr>
      </w:pPr>
      <w:r>
        <w:rPr>
          <w:rFonts w:ascii="黑体" w:eastAsia="黑体"/>
          <w:sz w:val="32"/>
          <w:szCs w:val="32"/>
        </w:rPr>
        <w:t>五、一般公共预算财政拨款支出决算情况说明</w:t>
      </w:r>
    </w:p>
    <w:p w14:paraId="6A367265">
      <w:pPr>
        <w:spacing w:line="240" w:lineRule="auto"/>
        <w:ind w:firstLine="643" w:firstLineChars="200"/>
        <w:outlineLvl w:val="2"/>
        <w:rPr>
          <w:rFonts w:ascii="仿宋_GB2312" w:eastAsia="仿宋_GB2312"/>
          <w:sz w:val="32"/>
          <w:szCs w:val="32"/>
        </w:rPr>
      </w:pPr>
      <w:r>
        <w:rPr>
          <w:rFonts w:ascii="仿宋_GB2312" w:eastAsia="仿宋_GB2312"/>
          <w:b/>
          <w:sz w:val="32"/>
          <w:szCs w:val="32"/>
        </w:rPr>
        <w:t>（一）一般公共预算财政拨款支出决算总体情况</w:t>
      </w:r>
    </w:p>
    <w:p w14:paraId="4462B992">
      <w:pPr>
        <w:spacing w:line="600" w:lineRule="exact"/>
        <w:ind w:firstLine="640" w:firstLineChars="200"/>
        <w:rPr>
          <w:rFonts w:ascii="仿宋_GB2312" w:eastAsia="仿宋_GB2312"/>
          <w:sz w:val="32"/>
          <w:szCs w:val="32"/>
          <w:lang w:eastAsia="zh-CN"/>
        </w:rPr>
      </w:pPr>
      <w:r>
        <w:rPr>
          <w:rFonts w:ascii="仿宋_GB2312" w:eastAsia="仿宋_GB2312"/>
          <w:sz w:val="32"/>
          <w:szCs w:val="32"/>
        </w:rPr>
        <w:t>2024年度一般公共预算财政拨款支出8,463.46万元，占本年支出合计的87.96%。与上年相比，增加1,016.80万元，增长13.65%，主要原因是：</w:t>
      </w:r>
      <w:r>
        <w:rPr>
          <w:rFonts w:hint="eastAsia" w:ascii="仿宋_GB2312" w:eastAsia="仿宋_GB2312"/>
          <w:sz w:val="32"/>
          <w:szCs w:val="32"/>
          <w:lang w:eastAsia="zh-CN"/>
        </w:rPr>
        <w:t>2024年职工工资福利按政策调整，社保、公积金缴费基数上涨导致人员经费增加，困难群众救助补助资金增加，市级财政春节前农民工工资增加等原因导致</w:t>
      </w:r>
      <w:r>
        <w:rPr>
          <w:rFonts w:hint="eastAsia" w:ascii="仿宋_GB2312" w:eastAsia="仿宋_GB2312"/>
          <w:sz w:val="32"/>
          <w:szCs w:val="32"/>
        </w:rPr>
        <w:t>一般公共预算财政拨款支出</w:t>
      </w:r>
      <w:r>
        <w:rPr>
          <w:rFonts w:hint="eastAsia" w:ascii="仿宋_GB2312" w:eastAsia="仿宋_GB2312"/>
          <w:sz w:val="32"/>
          <w:szCs w:val="32"/>
          <w:lang w:eastAsia="zh-CN"/>
        </w:rPr>
        <w:t>较上年</w:t>
      </w:r>
      <w:r>
        <w:rPr>
          <w:rFonts w:hint="eastAsia" w:ascii="仿宋_GB2312" w:eastAsia="仿宋_GB2312"/>
          <w:sz w:val="32"/>
          <w:szCs w:val="32"/>
        </w:rPr>
        <w:t>增加</w:t>
      </w:r>
      <w:r>
        <w:rPr>
          <w:rFonts w:ascii="仿宋_GB2312" w:eastAsia="仿宋_GB2312"/>
          <w:sz w:val="32"/>
          <w:szCs w:val="32"/>
        </w:rPr>
        <w:t>。与年初预算相比，年初预算数6,986.00万元，决算数8,463.46万元，预决算差异率21.15%，主要原因是：</w:t>
      </w:r>
      <w:r>
        <w:rPr>
          <w:rFonts w:hint="eastAsia" w:ascii="仿宋_GB2312" w:eastAsia="仿宋_GB2312"/>
          <w:sz w:val="32"/>
          <w:szCs w:val="32"/>
          <w:lang w:eastAsia="zh-CN"/>
        </w:rPr>
        <w:t>政策调整，实际业务变动等原因</w:t>
      </w:r>
      <w:r>
        <w:rPr>
          <w:rFonts w:hint="eastAsia" w:ascii="仿宋_GB2312" w:eastAsia="仿宋_GB2312"/>
          <w:sz w:val="32"/>
          <w:szCs w:val="32"/>
        </w:rPr>
        <w:t>导致预决算数有差异。</w:t>
      </w:r>
      <w:r>
        <w:rPr>
          <w:rFonts w:hint="eastAsia" w:ascii="仿宋_GB2312" w:eastAsia="仿宋_GB2312"/>
          <w:sz w:val="32"/>
          <w:szCs w:val="32"/>
          <w:lang w:eastAsia="zh-CN"/>
        </w:rPr>
        <w:t>比如救助对象人数，人员工资调整等基础数据变动也导致预算数与实际完成数有差异。</w:t>
      </w:r>
    </w:p>
    <w:p w14:paraId="5B00D290">
      <w:pPr>
        <w:spacing w:line="240" w:lineRule="auto"/>
        <w:ind w:firstLine="643" w:firstLineChars="200"/>
        <w:jc w:val="both"/>
        <w:rPr>
          <w:rFonts w:ascii="仿宋_GB2312" w:eastAsia="仿宋_GB2312"/>
          <w:sz w:val="32"/>
          <w:szCs w:val="32"/>
        </w:rPr>
      </w:pPr>
      <w:r>
        <w:rPr>
          <w:rFonts w:ascii="仿宋_GB2312" w:eastAsia="仿宋_GB2312"/>
          <w:b/>
          <w:sz w:val="32"/>
          <w:szCs w:val="32"/>
        </w:rPr>
        <w:t>（二）一般公共预算财政拨款支出决算结构情况</w:t>
      </w:r>
    </w:p>
    <w:p w14:paraId="7AEAA45F">
      <w:pPr>
        <w:spacing w:line="240" w:lineRule="auto"/>
        <w:ind w:firstLine="640" w:firstLineChars="200"/>
        <w:jc w:val="both"/>
        <w:rPr>
          <w:rFonts w:ascii="仿宋_GB2312" w:eastAsia="仿宋_GB2312"/>
          <w:sz w:val="32"/>
          <w:szCs w:val="32"/>
        </w:rPr>
      </w:pPr>
      <w:r>
        <w:rPr>
          <w:rFonts w:ascii="仿宋_GB2312" w:eastAsia="仿宋_GB2312"/>
          <w:sz w:val="32"/>
          <w:szCs w:val="32"/>
        </w:rPr>
        <w:t>一般公共服务支出（类）6.34万元，占0.07%。</w:t>
      </w:r>
    </w:p>
    <w:p w14:paraId="313D20D0">
      <w:pPr>
        <w:spacing w:line="240" w:lineRule="auto"/>
        <w:ind w:firstLine="640" w:firstLineChars="200"/>
        <w:jc w:val="both"/>
        <w:rPr>
          <w:rFonts w:ascii="仿宋_GB2312" w:eastAsia="仿宋_GB2312"/>
          <w:sz w:val="32"/>
          <w:szCs w:val="32"/>
        </w:rPr>
      </w:pPr>
      <w:r>
        <w:rPr>
          <w:rFonts w:ascii="仿宋_GB2312" w:eastAsia="仿宋_GB2312"/>
          <w:sz w:val="32"/>
          <w:szCs w:val="32"/>
        </w:rPr>
        <w:t>教育支出（类）2.41万元，占0.03%。</w:t>
      </w:r>
    </w:p>
    <w:p w14:paraId="4B1E75B6">
      <w:pPr>
        <w:spacing w:line="240" w:lineRule="auto"/>
        <w:ind w:firstLine="640" w:firstLineChars="200"/>
        <w:jc w:val="both"/>
        <w:rPr>
          <w:rFonts w:ascii="仿宋_GB2312" w:eastAsia="仿宋_GB2312"/>
          <w:sz w:val="32"/>
          <w:szCs w:val="32"/>
        </w:rPr>
      </w:pPr>
      <w:r>
        <w:rPr>
          <w:rFonts w:ascii="仿宋_GB2312" w:eastAsia="仿宋_GB2312"/>
          <w:sz w:val="32"/>
          <w:szCs w:val="32"/>
        </w:rPr>
        <w:t>社会保障和就业支出（类）8,380.78万元，占99.02%。</w:t>
      </w:r>
    </w:p>
    <w:p w14:paraId="521D28A6">
      <w:pPr>
        <w:spacing w:line="240" w:lineRule="auto"/>
        <w:ind w:firstLine="640" w:firstLineChars="200"/>
        <w:jc w:val="both"/>
        <w:rPr>
          <w:rFonts w:ascii="仿宋_GB2312" w:eastAsia="仿宋_GB2312"/>
          <w:sz w:val="32"/>
          <w:szCs w:val="32"/>
        </w:rPr>
      </w:pPr>
      <w:r>
        <w:rPr>
          <w:rFonts w:ascii="仿宋_GB2312" w:eastAsia="仿宋_GB2312"/>
          <w:sz w:val="32"/>
          <w:szCs w:val="32"/>
        </w:rPr>
        <w:t>卫生健康支出（类）29.00万元，占0.34%。</w:t>
      </w:r>
    </w:p>
    <w:p w14:paraId="70DF9896">
      <w:pPr>
        <w:spacing w:line="240" w:lineRule="auto"/>
        <w:ind w:firstLine="640" w:firstLineChars="200"/>
        <w:jc w:val="both"/>
        <w:rPr>
          <w:rFonts w:ascii="仿宋_GB2312" w:eastAsia="仿宋_GB2312"/>
          <w:sz w:val="32"/>
          <w:szCs w:val="32"/>
        </w:rPr>
      </w:pPr>
      <w:r>
        <w:rPr>
          <w:rFonts w:ascii="仿宋_GB2312" w:eastAsia="仿宋_GB2312"/>
          <w:sz w:val="32"/>
          <w:szCs w:val="32"/>
        </w:rPr>
        <w:t>住房保障支出（类）44.93万元，占0.53%。</w:t>
      </w:r>
    </w:p>
    <w:p w14:paraId="2B7A44E4">
      <w:pPr>
        <w:spacing w:line="240" w:lineRule="auto"/>
        <w:ind w:firstLine="643" w:firstLineChars="200"/>
        <w:outlineLvl w:val="2"/>
        <w:rPr>
          <w:rFonts w:ascii="仿宋_GB2312" w:eastAsia="仿宋_GB2312"/>
          <w:sz w:val="32"/>
          <w:szCs w:val="32"/>
        </w:rPr>
      </w:pPr>
      <w:r>
        <w:rPr>
          <w:rFonts w:ascii="仿宋_GB2312" w:eastAsia="仿宋_GB2312"/>
          <w:b/>
          <w:sz w:val="32"/>
          <w:szCs w:val="32"/>
        </w:rPr>
        <w:t>（三）一般公共预算财政拨款支出决算具体情况</w:t>
      </w:r>
    </w:p>
    <w:p w14:paraId="7AFB5D33">
      <w:pPr>
        <w:numPr>
          <w:ilvl w:val="0"/>
          <w:numId w:val="1"/>
        </w:numPr>
        <w:rPr>
          <w:rFonts w:ascii="仿宋_GB2312" w:eastAsia="仿宋_GB2312"/>
          <w:sz w:val="32"/>
          <w:szCs w:val="32"/>
        </w:rPr>
      </w:pPr>
      <w:r>
        <w:rPr>
          <w:rFonts w:ascii="仿宋_GB2312" w:eastAsia="仿宋_GB2312"/>
          <w:sz w:val="32"/>
          <w:szCs w:val="32"/>
        </w:rPr>
        <w:t>一般公共服务支出（类）组织事务（款）其他组织事务支出（项）：支出决算数为6.34万元，比上年决算增加6.34万元，增长100.00%，主要原因是：</w:t>
      </w:r>
      <w:r>
        <w:rPr>
          <w:rFonts w:hint="eastAsia" w:ascii="仿宋_GB2312" w:eastAsia="仿宋_GB2312"/>
          <w:sz w:val="32"/>
          <w:szCs w:val="32"/>
          <w:lang w:eastAsia="zh-CN"/>
        </w:rPr>
        <w:t>决算统计口径变更，2024年访惠聚工作队经费列入</w:t>
      </w:r>
      <w:r>
        <w:rPr>
          <w:rFonts w:ascii="仿宋_GB2312" w:eastAsia="仿宋_GB2312"/>
          <w:sz w:val="32"/>
          <w:szCs w:val="32"/>
        </w:rPr>
        <w:t>其他组织事务支出</w:t>
      </w:r>
      <w:r>
        <w:rPr>
          <w:rFonts w:hint="eastAsia" w:ascii="仿宋_GB2312" w:eastAsia="仿宋_GB2312"/>
          <w:sz w:val="32"/>
          <w:szCs w:val="32"/>
          <w:lang w:eastAsia="zh-CN"/>
        </w:rPr>
        <w:t>功能科目。</w:t>
      </w:r>
    </w:p>
    <w:p w14:paraId="0D3D59D9">
      <w:pPr>
        <w:numPr>
          <w:ilvl w:val="0"/>
          <w:numId w:val="1"/>
        </w:numPr>
        <w:rPr>
          <w:rFonts w:ascii="仿宋_GB2312" w:eastAsia="仿宋_GB2312"/>
          <w:sz w:val="32"/>
          <w:szCs w:val="32"/>
        </w:rPr>
      </w:pPr>
      <w:r>
        <w:rPr>
          <w:rFonts w:ascii="仿宋_GB2312" w:eastAsia="仿宋_GB2312"/>
          <w:sz w:val="32"/>
          <w:szCs w:val="32"/>
        </w:rPr>
        <w:t>教育支出（类）进修及培训（款）培训支出（项）：支出决算数为2.41万元，比上年决算减少0.49万元，下降16.90%，主要原因是：</w:t>
      </w:r>
      <w:r>
        <w:rPr>
          <w:rFonts w:hint="eastAsia" w:ascii="仿宋_GB2312" w:eastAsia="仿宋_GB2312"/>
          <w:sz w:val="32"/>
          <w:szCs w:val="32"/>
          <w:lang w:eastAsia="zh-CN"/>
        </w:rPr>
        <w:t>培训次数较上年减少导致培训费减少。</w:t>
      </w:r>
    </w:p>
    <w:p w14:paraId="43AC64C2">
      <w:pPr>
        <w:numPr>
          <w:ilvl w:val="0"/>
          <w:numId w:val="1"/>
        </w:numPr>
        <w:rPr>
          <w:rFonts w:ascii="仿宋_GB2312" w:eastAsia="仿宋_GB2312"/>
          <w:sz w:val="32"/>
          <w:szCs w:val="32"/>
        </w:rPr>
      </w:pPr>
      <w:r>
        <w:rPr>
          <w:rFonts w:ascii="仿宋_GB2312" w:eastAsia="仿宋_GB2312"/>
          <w:sz w:val="32"/>
          <w:szCs w:val="32"/>
        </w:rPr>
        <w:t>社会保障和就业支出（类）民政管理事务（款）行政运行（项）：支出决算数为602.35万元，比上年决算减少2.25万元，下降0.37%，主要原因是：</w:t>
      </w:r>
      <w:r>
        <w:rPr>
          <w:rFonts w:hint="eastAsia" w:ascii="仿宋_GB2312" w:eastAsia="仿宋_GB2312"/>
          <w:sz w:val="32"/>
          <w:szCs w:val="32"/>
          <w:lang w:eastAsia="zh-CN"/>
        </w:rPr>
        <w:t>决算统计口径变更，2023年访惠聚工作的经费用本科目核算，2024年用其他民主管理事务支出核算，导致</w:t>
      </w:r>
      <w:r>
        <w:rPr>
          <w:rFonts w:ascii="仿宋_GB2312" w:eastAsia="仿宋_GB2312"/>
          <w:sz w:val="32"/>
          <w:szCs w:val="32"/>
        </w:rPr>
        <w:t>行政运行</w:t>
      </w:r>
      <w:r>
        <w:rPr>
          <w:rFonts w:hint="eastAsia" w:ascii="仿宋_GB2312" w:eastAsia="仿宋_GB2312"/>
          <w:sz w:val="32"/>
          <w:szCs w:val="32"/>
          <w:lang w:eastAsia="zh-CN"/>
        </w:rPr>
        <w:t>支出。</w:t>
      </w:r>
    </w:p>
    <w:p w14:paraId="218F81FE">
      <w:pPr>
        <w:numPr>
          <w:ilvl w:val="0"/>
          <w:numId w:val="1"/>
        </w:numPr>
        <w:rPr>
          <w:rFonts w:ascii="仿宋_GB2312" w:eastAsia="仿宋_GB2312"/>
          <w:sz w:val="32"/>
          <w:szCs w:val="32"/>
        </w:rPr>
      </w:pPr>
      <w:r>
        <w:rPr>
          <w:rFonts w:ascii="仿宋_GB2312" w:eastAsia="仿宋_GB2312"/>
          <w:sz w:val="32"/>
          <w:szCs w:val="32"/>
        </w:rPr>
        <w:t>社会保障和就业支出（类）民政管理事务（款）其他民政管理事务支出（项）：支出决算数为393.23万元，比上年决算增加384.39万元，增长4,348.30%，主要原因是：</w:t>
      </w:r>
      <w:r>
        <w:rPr>
          <w:rFonts w:hint="eastAsia" w:ascii="仿宋_GB2312" w:eastAsia="仿宋_GB2312"/>
          <w:sz w:val="32"/>
          <w:szCs w:val="32"/>
          <w:lang w:eastAsia="zh-CN"/>
        </w:rPr>
        <w:t>2024年市级财政安排春节前农民工工资，公益性公墓挖墓穴经费增加。</w:t>
      </w:r>
    </w:p>
    <w:p w14:paraId="6B6EFC58">
      <w:pPr>
        <w:numPr>
          <w:ilvl w:val="0"/>
          <w:numId w:val="1"/>
        </w:numPr>
        <w:rPr>
          <w:rFonts w:ascii="仿宋_GB2312" w:eastAsia="仿宋_GB2312"/>
          <w:sz w:val="32"/>
          <w:szCs w:val="32"/>
        </w:rPr>
      </w:pPr>
      <w:r>
        <w:rPr>
          <w:rFonts w:ascii="仿宋_GB2312" w:eastAsia="仿宋_GB2312"/>
          <w:sz w:val="32"/>
          <w:szCs w:val="32"/>
        </w:rPr>
        <w:t>社会保障和就业支出（类）行政事业单位养老支出（款）行政单位离退休（项）：支出决算数为25.19万元，比上年决算增加6.50万元，增长34.78%，主要原因是</w:t>
      </w:r>
      <w:r>
        <w:rPr>
          <w:rFonts w:hint="eastAsia" w:ascii="仿宋_GB2312" w:eastAsia="仿宋_GB2312"/>
          <w:sz w:val="32"/>
          <w:szCs w:val="32"/>
          <w:lang w:eastAsia="zh-CN"/>
        </w:rPr>
        <w:t>2024年一名退休人员增加，退休人员基础绩效奖增加，导致</w:t>
      </w:r>
      <w:r>
        <w:rPr>
          <w:rFonts w:ascii="仿宋_GB2312" w:eastAsia="仿宋_GB2312"/>
          <w:sz w:val="32"/>
          <w:szCs w:val="32"/>
        </w:rPr>
        <w:t>行政单位离退休</w:t>
      </w:r>
      <w:r>
        <w:rPr>
          <w:rFonts w:hint="eastAsia" w:ascii="仿宋_GB2312" w:eastAsia="仿宋_GB2312"/>
          <w:sz w:val="32"/>
          <w:szCs w:val="32"/>
          <w:lang w:eastAsia="zh-CN"/>
        </w:rPr>
        <w:t>支出增加。</w:t>
      </w:r>
    </w:p>
    <w:p w14:paraId="36590FCA">
      <w:pPr>
        <w:numPr>
          <w:ilvl w:val="0"/>
          <w:numId w:val="1"/>
        </w:numPr>
        <w:rPr>
          <w:rFonts w:ascii="仿宋_GB2312" w:eastAsia="仿宋_GB2312"/>
          <w:sz w:val="32"/>
          <w:szCs w:val="32"/>
        </w:rPr>
      </w:pPr>
      <w:r>
        <w:rPr>
          <w:rFonts w:ascii="仿宋_GB2312" w:eastAsia="仿宋_GB2312"/>
          <w:sz w:val="32"/>
          <w:szCs w:val="32"/>
        </w:rPr>
        <w:t>社会保障和就业支出（类）行政事业单位养老支出（款）机关事业单位基本养老保险缴费支出（项）：支出决算数为57.18万元，比上年决算减少0.83万元，下降1.43%，主要原因是：</w:t>
      </w:r>
      <w:r>
        <w:rPr>
          <w:rFonts w:hint="eastAsia" w:ascii="仿宋_GB2312" w:eastAsia="仿宋_GB2312"/>
          <w:sz w:val="32"/>
          <w:szCs w:val="32"/>
          <w:lang w:eastAsia="zh-CN"/>
        </w:rPr>
        <w:t>2024年5月一名在职人员退休，</w:t>
      </w:r>
      <w:r>
        <w:rPr>
          <w:rFonts w:ascii="仿宋_GB2312" w:eastAsia="仿宋_GB2312"/>
          <w:sz w:val="32"/>
          <w:szCs w:val="32"/>
        </w:rPr>
        <w:t>机关事业单位基本养老保险缴费支出</w:t>
      </w:r>
      <w:r>
        <w:rPr>
          <w:rFonts w:hint="eastAsia" w:ascii="仿宋_GB2312" w:eastAsia="仿宋_GB2312"/>
          <w:sz w:val="32"/>
          <w:szCs w:val="32"/>
          <w:lang w:eastAsia="zh-CN"/>
        </w:rPr>
        <w:t>减少。</w:t>
      </w:r>
    </w:p>
    <w:p w14:paraId="26707FB1">
      <w:pPr>
        <w:numPr>
          <w:ilvl w:val="0"/>
          <w:numId w:val="1"/>
        </w:numPr>
        <w:rPr>
          <w:rFonts w:ascii="仿宋_GB2312" w:eastAsia="仿宋_GB2312"/>
          <w:sz w:val="32"/>
          <w:szCs w:val="32"/>
          <w:highlight w:val="none"/>
        </w:rPr>
      </w:pPr>
      <w:r>
        <w:rPr>
          <w:rFonts w:ascii="仿宋_GB2312" w:eastAsia="仿宋_GB2312"/>
          <w:sz w:val="32"/>
          <w:szCs w:val="32"/>
        </w:rPr>
        <w:t>社会保障和就业支出（类）行政事业单位养老支出（款）机关事业单位职业年金缴费支出（项）：支出决算数为6.51万元，比上年决算减少10.92万元，下降62.65%，主要原因是：</w:t>
      </w:r>
      <w:r>
        <w:rPr>
          <w:rFonts w:hint="eastAsia" w:ascii="仿宋_GB2312" w:eastAsia="仿宋_GB2312"/>
          <w:sz w:val="32"/>
          <w:szCs w:val="32"/>
          <w:highlight w:val="none"/>
          <w:lang w:eastAsia="zh-CN"/>
        </w:rPr>
        <w:t>2023年</w:t>
      </w:r>
      <w:r>
        <w:rPr>
          <w:rFonts w:hint="eastAsia" w:ascii="仿宋_GB2312" w:eastAsia="仿宋_GB2312"/>
          <w:sz w:val="32"/>
          <w:szCs w:val="32"/>
          <w:highlight w:val="none"/>
          <w:lang w:val="en-US" w:eastAsia="zh-CN"/>
        </w:rPr>
        <w:t>有</w:t>
      </w:r>
      <w:r>
        <w:rPr>
          <w:rFonts w:hint="eastAsia" w:ascii="仿宋_GB2312" w:eastAsia="仿宋_GB2312"/>
          <w:sz w:val="32"/>
          <w:szCs w:val="32"/>
          <w:highlight w:val="none"/>
          <w:lang w:eastAsia="zh-CN"/>
        </w:rPr>
        <w:t>两名退休人员</w:t>
      </w:r>
      <w:r>
        <w:rPr>
          <w:rFonts w:hint="eastAsia" w:ascii="仿宋_GB2312" w:eastAsia="仿宋_GB2312"/>
          <w:sz w:val="32"/>
          <w:szCs w:val="32"/>
          <w:highlight w:val="none"/>
          <w:lang w:val="en-US" w:eastAsia="zh-CN"/>
        </w:rPr>
        <w:t>缴纳</w:t>
      </w:r>
      <w:r>
        <w:rPr>
          <w:rFonts w:hint="eastAsia" w:ascii="仿宋_GB2312" w:eastAsia="仿宋_GB2312"/>
          <w:sz w:val="32"/>
          <w:szCs w:val="32"/>
          <w:highlight w:val="none"/>
          <w:lang w:eastAsia="zh-CN"/>
        </w:rPr>
        <w:t>职业年金，2024年</w:t>
      </w:r>
      <w:r>
        <w:rPr>
          <w:rFonts w:hint="eastAsia" w:ascii="仿宋_GB2312" w:eastAsia="仿宋_GB2312"/>
          <w:sz w:val="32"/>
          <w:szCs w:val="32"/>
          <w:highlight w:val="none"/>
          <w:lang w:val="en-US" w:eastAsia="zh-CN"/>
        </w:rPr>
        <w:t>有</w:t>
      </w:r>
      <w:r>
        <w:rPr>
          <w:rFonts w:hint="eastAsia" w:ascii="仿宋_GB2312" w:eastAsia="仿宋_GB2312"/>
          <w:sz w:val="32"/>
          <w:szCs w:val="32"/>
          <w:highlight w:val="none"/>
          <w:lang w:eastAsia="zh-CN"/>
        </w:rPr>
        <w:t>1名退休人员</w:t>
      </w:r>
      <w:r>
        <w:rPr>
          <w:rFonts w:hint="eastAsia" w:ascii="仿宋_GB2312" w:eastAsia="仿宋_GB2312"/>
          <w:sz w:val="32"/>
          <w:szCs w:val="32"/>
          <w:highlight w:val="none"/>
          <w:lang w:val="en-US" w:eastAsia="zh-CN"/>
        </w:rPr>
        <w:t>缴纳</w:t>
      </w:r>
      <w:r>
        <w:rPr>
          <w:rFonts w:hint="eastAsia" w:ascii="仿宋_GB2312" w:eastAsia="仿宋_GB2312"/>
          <w:sz w:val="32"/>
          <w:szCs w:val="32"/>
          <w:highlight w:val="none"/>
          <w:lang w:eastAsia="zh-CN"/>
        </w:rPr>
        <w:t>职业年金，</w:t>
      </w:r>
      <w:r>
        <w:rPr>
          <w:rFonts w:hint="eastAsia" w:ascii="仿宋_GB2312" w:eastAsia="仿宋_GB2312"/>
          <w:sz w:val="32"/>
          <w:szCs w:val="32"/>
          <w:highlight w:val="none"/>
          <w:lang w:val="en-US" w:eastAsia="zh-CN"/>
        </w:rPr>
        <w:t>所以2024年较2023年有所下降。</w:t>
      </w:r>
    </w:p>
    <w:p w14:paraId="22F49F77">
      <w:pPr>
        <w:numPr>
          <w:ilvl w:val="0"/>
          <w:numId w:val="1"/>
        </w:numPr>
        <w:rPr>
          <w:rFonts w:ascii="仿宋_GB2312" w:eastAsia="仿宋_GB2312"/>
          <w:sz w:val="32"/>
          <w:szCs w:val="32"/>
        </w:rPr>
      </w:pPr>
      <w:r>
        <w:rPr>
          <w:rFonts w:ascii="仿宋_GB2312" w:eastAsia="仿宋_GB2312"/>
          <w:sz w:val="32"/>
          <w:szCs w:val="32"/>
        </w:rPr>
        <w:t>社会保障和就业支出（类）就业补助（款）公益性岗位补贴（项）：支出决算数为0.00万元，比上年决算减少93.87万元，下降100.00%，主要原因是：</w:t>
      </w:r>
      <w:r>
        <w:rPr>
          <w:rFonts w:hint="eastAsia" w:ascii="仿宋_GB2312" w:eastAsia="仿宋_GB2312"/>
          <w:sz w:val="32"/>
          <w:szCs w:val="32"/>
          <w:lang w:eastAsia="zh-CN"/>
        </w:rPr>
        <w:t>2024年决算口径变更，公益性岗位工资、社保列入</w:t>
      </w:r>
      <w:r>
        <w:rPr>
          <w:rFonts w:ascii="仿宋_GB2312" w:eastAsia="仿宋_GB2312"/>
          <w:sz w:val="32"/>
          <w:szCs w:val="32"/>
        </w:rPr>
        <w:t>其他民政管理事务支出</w:t>
      </w:r>
      <w:r>
        <w:rPr>
          <w:rFonts w:hint="eastAsia" w:ascii="仿宋_GB2312" w:eastAsia="仿宋_GB2312"/>
          <w:sz w:val="32"/>
          <w:szCs w:val="32"/>
          <w:lang w:eastAsia="zh-CN"/>
        </w:rPr>
        <w:t>功能科目统计，导致</w:t>
      </w:r>
      <w:r>
        <w:rPr>
          <w:rFonts w:ascii="仿宋_GB2312" w:eastAsia="仿宋_GB2312"/>
          <w:sz w:val="32"/>
          <w:szCs w:val="32"/>
        </w:rPr>
        <w:t>公益性岗位补贴</w:t>
      </w:r>
      <w:r>
        <w:rPr>
          <w:rFonts w:hint="eastAsia" w:ascii="仿宋_GB2312" w:eastAsia="仿宋_GB2312"/>
          <w:sz w:val="32"/>
          <w:szCs w:val="32"/>
          <w:lang w:eastAsia="zh-CN"/>
        </w:rPr>
        <w:t>减少。</w:t>
      </w:r>
    </w:p>
    <w:p w14:paraId="151E8366">
      <w:pPr>
        <w:numPr>
          <w:ilvl w:val="0"/>
          <w:numId w:val="1"/>
        </w:numPr>
        <w:rPr>
          <w:rFonts w:ascii="仿宋_GB2312" w:eastAsia="仿宋_GB2312"/>
          <w:color w:val="FF0000"/>
          <w:sz w:val="32"/>
          <w:szCs w:val="32"/>
          <w:highlight w:val="none"/>
        </w:rPr>
      </w:pPr>
      <w:r>
        <w:rPr>
          <w:rFonts w:ascii="仿宋_GB2312" w:eastAsia="仿宋_GB2312"/>
          <w:sz w:val="32"/>
          <w:szCs w:val="32"/>
        </w:rPr>
        <w:t>社会保障和就业支出（类）社会福利（款）儿童福利（项）：支出决算数为59.10万元，比上年决算减少131.49万元，下降68.99%，主要原因是：</w:t>
      </w:r>
      <w:r>
        <w:rPr>
          <w:rFonts w:hint="eastAsia" w:ascii="仿宋_GB2312" w:eastAsia="仿宋_GB2312"/>
          <w:sz w:val="32"/>
          <w:szCs w:val="32"/>
          <w:highlight w:val="none"/>
          <w:lang w:eastAsia="zh-CN"/>
        </w:rPr>
        <w:t>决算口径变更，2023年库尔勒市社会福利院运营经费用本科目核算，2024年社会福利院运营经费用</w:t>
      </w:r>
      <w:r>
        <w:rPr>
          <w:rFonts w:ascii="仿宋_GB2312" w:eastAsia="仿宋_GB2312"/>
          <w:sz w:val="32"/>
          <w:szCs w:val="32"/>
          <w:highlight w:val="none"/>
        </w:rPr>
        <w:t>社会福利事业单位</w:t>
      </w:r>
      <w:r>
        <w:rPr>
          <w:rFonts w:hint="eastAsia" w:ascii="仿宋_GB2312" w:eastAsia="仿宋_GB2312"/>
          <w:sz w:val="32"/>
          <w:szCs w:val="32"/>
          <w:highlight w:val="none"/>
          <w:lang w:eastAsia="zh-CN"/>
        </w:rPr>
        <w:t>科目核算。导致</w:t>
      </w:r>
      <w:r>
        <w:rPr>
          <w:rFonts w:ascii="仿宋_GB2312" w:eastAsia="仿宋_GB2312"/>
          <w:sz w:val="32"/>
          <w:szCs w:val="32"/>
          <w:highlight w:val="none"/>
        </w:rPr>
        <w:t>社会福利事业单位</w:t>
      </w:r>
      <w:r>
        <w:rPr>
          <w:rFonts w:hint="eastAsia" w:ascii="仿宋_GB2312" w:eastAsia="仿宋_GB2312"/>
          <w:sz w:val="32"/>
          <w:szCs w:val="32"/>
          <w:highlight w:val="none"/>
          <w:lang w:eastAsia="zh-CN"/>
        </w:rPr>
        <w:t>支出增加。</w:t>
      </w:r>
    </w:p>
    <w:p w14:paraId="7935D073">
      <w:pPr>
        <w:numPr>
          <w:ilvl w:val="0"/>
          <w:numId w:val="1"/>
        </w:numPr>
        <w:rPr>
          <w:rFonts w:ascii="仿宋_GB2312" w:eastAsia="仿宋_GB2312"/>
          <w:sz w:val="32"/>
          <w:szCs w:val="32"/>
        </w:rPr>
      </w:pPr>
      <w:r>
        <w:rPr>
          <w:rFonts w:ascii="仿宋_GB2312" w:eastAsia="仿宋_GB2312"/>
          <w:sz w:val="32"/>
          <w:szCs w:val="32"/>
        </w:rPr>
        <w:t>社会保障和就业支出（类）社会福利（款）老年福利（项）：支出决算数为628.78万元，比上年决算减少67.69万元，下降9.72%，主要原因是：</w:t>
      </w:r>
      <w:r>
        <w:rPr>
          <w:rFonts w:hint="eastAsia" w:ascii="仿宋_GB2312" w:eastAsia="仿宋_GB2312"/>
          <w:sz w:val="32"/>
          <w:szCs w:val="32"/>
          <w:lang w:eastAsia="zh-CN"/>
        </w:rPr>
        <w:t>2024年减少智慧养老平台建设资金，导致</w:t>
      </w:r>
      <w:r>
        <w:rPr>
          <w:rFonts w:ascii="仿宋_GB2312" w:eastAsia="仿宋_GB2312"/>
          <w:sz w:val="32"/>
          <w:szCs w:val="32"/>
        </w:rPr>
        <w:t>老年福利</w:t>
      </w:r>
      <w:r>
        <w:rPr>
          <w:rFonts w:hint="eastAsia" w:ascii="仿宋_GB2312" w:eastAsia="仿宋_GB2312"/>
          <w:sz w:val="32"/>
          <w:szCs w:val="32"/>
          <w:lang w:eastAsia="zh-CN"/>
        </w:rPr>
        <w:t>支出减少。</w:t>
      </w:r>
    </w:p>
    <w:p w14:paraId="4482A793">
      <w:pPr>
        <w:numPr>
          <w:ilvl w:val="0"/>
          <w:numId w:val="1"/>
        </w:numPr>
        <w:rPr>
          <w:rFonts w:ascii="仿宋_GB2312" w:eastAsia="仿宋_GB2312"/>
          <w:sz w:val="32"/>
          <w:szCs w:val="32"/>
        </w:rPr>
      </w:pPr>
      <w:r>
        <w:rPr>
          <w:rFonts w:ascii="仿宋_GB2312" w:eastAsia="仿宋_GB2312"/>
          <w:sz w:val="32"/>
          <w:szCs w:val="32"/>
        </w:rPr>
        <w:t>社会保障和就业支出（类）社会福利（款）殡葬（项）：支出决算数为700.00万元，比上年决算减少89.14万元，下降11.30%，主要原因是：</w:t>
      </w:r>
      <w:r>
        <w:rPr>
          <w:rFonts w:hint="eastAsia" w:ascii="仿宋_GB2312" w:eastAsia="仿宋_GB2312"/>
          <w:sz w:val="32"/>
          <w:szCs w:val="32"/>
          <w:lang w:eastAsia="zh-CN"/>
        </w:rPr>
        <w:t>2024年库尔勒市殡仪馆设施设备采购支出减少导致</w:t>
      </w:r>
      <w:r>
        <w:rPr>
          <w:rFonts w:ascii="仿宋_GB2312" w:eastAsia="仿宋_GB2312"/>
          <w:sz w:val="32"/>
          <w:szCs w:val="32"/>
        </w:rPr>
        <w:t>殡葬</w:t>
      </w:r>
      <w:r>
        <w:rPr>
          <w:rFonts w:hint="eastAsia" w:ascii="仿宋_GB2312" w:eastAsia="仿宋_GB2312"/>
          <w:sz w:val="32"/>
          <w:szCs w:val="32"/>
          <w:lang w:eastAsia="zh-CN"/>
        </w:rPr>
        <w:t>支出减少。</w:t>
      </w:r>
    </w:p>
    <w:p w14:paraId="2D141571">
      <w:pPr>
        <w:numPr>
          <w:ilvl w:val="0"/>
          <w:numId w:val="1"/>
        </w:numPr>
        <w:rPr>
          <w:rFonts w:ascii="仿宋_GB2312" w:eastAsia="仿宋_GB2312"/>
          <w:sz w:val="32"/>
          <w:szCs w:val="32"/>
        </w:rPr>
      </w:pPr>
      <w:r>
        <w:rPr>
          <w:rFonts w:ascii="仿宋_GB2312" w:eastAsia="仿宋_GB2312"/>
          <w:sz w:val="32"/>
          <w:szCs w:val="32"/>
        </w:rPr>
        <w:t>社会保障和就业支出（类）社会福利（款）社会福利事业单位（项）：支出决算数为44.98万元，比上年决算增加44.98万元，增长100.00%，主要原因是：</w:t>
      </w:r>
      <w:r>
        <w:rPr>
          <w:rFonts w:hint="eastAsia" w:ascii="仿宋_GB2312" w:eastAsia="仿宋_GB2312"/>
          <w:sz w:val="32"/>
          <w:szCs w:val="32"/>
          <w:lang w:eastAsia="zh-CN"/>
        </w:rPr>
        <w:t>决算口径变更，2024年库尔勒市社会福利院运营经费用本科目核算，2023年社会福利院运营经费用儿童福利科目核算。导致</w:t>
      </w:r>
      <w:r>
        <w:rPr>
          <w:rFonts w:ascii="仿宋_GB2312" w:eastAsia="仿宋_GB2312"/>
          <w:sz w:val="32"/>
          <w:szCs w:val="32"/>
        </w:rPr>
        <w:t>社会福利事业单位</w:t>
      </w:r>
      <w:r>
        <w:rPr>
          <w:rFonts w:hint="eastAsia" w:ascii="仿宋_GB2312" w:eastAsia="仿宋_GB2312"/>
          <w:sz w:val="32"/>
          <w:szCs w:val="32"/>
          <w:lang w:eastAsia="zh-CN"/>
        </w:rPr>
        <w:t>支出增加。</w:t>
      </w:r>
    </w:p>
    <w:p w14:paraId="0DDAB29F">
      <w:pPr>
        <w:numPr>
          <w:ilvl w:val="0"/>
          <w:numId w:val="1"/>
        </w:numPr>
        <w:rPr>
          <w:rFonts w:ascii="仿宋_GB2312" w:eastAsia="仿宋_GB2312"/>
          <w:sz w:val="32"/>
          <w:szCs w:val="32"/>
        </w:rPr>
      </w:pPr>
      <w:r>
        <w:rPr>
          <w:rFonts w:ascii="仿宋_GB2312" w:eastAsia="仿宋_GB2312"/>
          <w:sz w:val="32"/>
          <w:szCs w:val="32"/>
        </w:rPr>
        <w:t>社会保障和就业支出（类）社会福利（款）养老服务（项）：支出决算数为27.40万元，比上年决算减少7.82万元，下降22.20%，主要原因是：</w:t>
      </w:r>
      <w:r>
        <w:rPr>
          <w:rFonts w:hint="eastAsia" w:ascii="仿宋_GB2312" w:eastAsia="仿宋_GB2312"/>
          <w:sz w:val="32"/>
          <w:szCs w:val="32"/>
          <w:lang w:eastAsia="zh-CN"/>
        </w:rPr>
        <w:t>2024年民办养老机构补助资金减少，导致</w:t>
      </w:r>
      <w:r>
        <w:rPr>
          <w:rFonts w:ascii="仿宋_GB2312" w:eastAsia="仿宋_GB2312"/>
          <w:sz w:val="32"/>
          <w:szCs w:val="32"/>
        </w:rPr>
        <w:t>社会福利</w:t>
      </w:r>
      <w:r>
        <w:rPr>
          <w:rFonts w:hint="eastAsia" w:ascii="仿宋_GB2312" w:eastAsia="仿宋_GB2312"/>
          <w:sz w:val="32"/>
          <w:szCs w:val="32"/>
          <w:lang w:eastAsia="zh-CN"/>
        </w:rPr>
        <w:t>支出减少。</w:t>
      </w:r>
    </w:p>
    <w:p w14:paraId="3A4A1071">
      <w:pPr>
        <w:numPr>
          <w:ilvl w:val="0"/>
          <w:numId w:val="1"/>
        </w:numPr>
        <w:rPr>
          <w:rFonts w:ascii="仿宋_GB2312" w:eastAsia="仿宋_GB2312"/>
          <w:sz w:val="32"/>
          <w:szCs w:val="32"/>
        </w:rPr>
      </w:pPr>
      <w:r>
        <w:rPr>
          <w:rFonts w:ascii="仿宋_GB2312" w:eastAsia="仿宋_GB2312"/>
          <w:sz w:val="32"/>
          <w:szCs w:val="32"/>
        </w:rPr>
        <w:t>社会保障和就业支出（类）社会福利（款）其他社会福利支出（项）：支出决算数为0.00万元，比上年决算减少10.00万元，下降100.00%，主要原因是：</w:t>
      </w:r>
      <w:r>
        <w:rPr>
          <w:rFonts w:hint="eastAsia" w:ascii="仿宋_GB2312" w:eastAsia="仿宋_GB2312"/>
          <w:sz w:val="32"/>
          <w:szCs w:val="32"/>
          <w:lang w:eastAsia="zh-CN"/>
        </w:rPr>
        <w:t>2024年社会福利院消防管网维修经费减少，导致</w:t>
      </w:r>
      <w:r>
        <w:rPr>
          <w:rFonts w:ascii="仿宋_GB2312" w:eastAsia="仿宋_GB2312"/>
          <w:sz w:val="32"/>
          <w:szCs w:val="32"/>
        </w:rPr>
        <w:t>其他社会福利支出</w:t>
      </w:r>
      <w:r>
        <w:rPr>
          <w:rFonts w:hint="eastAsia" w:ascii="仿宋_GB2312" w:eastAsia="仿宋_GB2312"/>
          <w:sz w:val="32"/>
          <w:szCs w:val="32"/>
          <w:lang w:eastAsia="zh-CN"/>
        </w:rPr>
        <w:t>减少。</w:t>
      </w:r>
    </w:p>
    <w:p w14:paraId="17AFCE59">
      <w:pPr>
        <w:numPr>
          <w:ilvl w:val="0"/>
          <w:numId w:val="1"/>
        </w:numPr>
        <w:rPr>
          <w:rFonts w:ascii="仿宋_GB2312" w:eastAsia="仿宋_GB2312"/>
          <w:sz w:val="32"/>
          <w:szCs w:val="32"/>
        </w:rPr>
      </w:pPr>
      <w:r>
        <w:rPr>
          <w:rFonts w:ascii="仿宋_GB2312" w:eastAsia="仿宋_GB2312"/>
          <w:sz w:val="32"/>
          <w:szCs w:val="32"/>
        </w:rPr>
        <w:t>社会保障和就业支出（类）残疾人事业（款）残疾人生活和护理补贴（项）：支出决算数为779.99万元，比上年决算增加87.11万元，增长12.57%，主要原因是：</w:t>
      </w:r>
      <w:r>
        <w:rPr>
          <w:rFonts w:hint="eastAsia" w:ascii="仿宋_GB2312" w:eastAsia="仿宋_GB2312"/>
          <w:sz w:val="32"/>
          <w:szCs w:val="32"/>
          <w:lang w:eastAsia="zh-CN"/>
        </w:rPr>
        <w:t>2024年残疾人两项补贴享受人数增加，补助资金上涨，导致</w:t>
      </w:r>
      <w:r>
        <w:rPr>
          <w:rFonts w:ascii="仿宋_GB2312" w:eastAsia="仿宋_GB2312"/>
          <w:sz w:val="32"/>
          <w:szCs w:val="32"/>
        </w:rPr>
        <w:t>疾人生活和护理补贴</w:t>
      </w:r>
      <w:r>
        <w:rPr>
          <w:rFonts w:hint="eastAsia" w:ascii="仿宋_GB2312" w:eastAsia="仿宋_GB2312"/>
          <w:sz w:val="32"/>
          <w:szCs w:val="32"/>
          <w:lang w:eastAsia="zh-CN"/>
        </w:rPr>
        <w:t>增加。</w:t>
      </w:r>
    </w:p>
    <w:p w14:paraId="6ADB0C11">
      <w:pPr>
        <w:numPr>
          <w:ilvl w:val="0"/>
          <w:numId w:val="1"/>
        </w:numPr>
        <w:rPr>
          <w:rFonts w:ascii="仿宋_GB2312" w:eastAsia="仿宋_GB2312"/>
          <w:sz w:val="32"/>
          <w:szCs w:val="32"/>
        </w:rPr>
      </w:pPr>
      <w:r>
        <w:rPr>
          <w:rFonts w:ascii="仿宋_GB2312" w:eastAsia="仿宋_GB2312"/>
          <w:sz w:val="32"/>
          <w:szCs w:val="32"/>
        </w:rPr>
        <w:t>社会保障和就业支出（类）最低生活保障（款）城市最低生活保障金支出（项）：支出决算数为1,644.58万元，比上年决算增加535.00万元，增长48.22%，主要原因是：</w:t>
      </w:r>
      <w:r>
        <w:rPr>
          <w:rFonts w:hint="eastAsia" w:ascii="仿宋_GB2312" w:eastAsia="仿宋_GB2312"/>
          <w:sz w:val="32"/>
          <w:szCs w:val="32"/>
          <w:lang w:eastAsia="zh-CN"/>
        </w:rPr>
        <w:t>2024年</w:t>
      </w:r>
      <w:r>
        <w:rPr>
          <w:rFonts w:ascii="仿宋_GB2312" w:eastAsia="仿宋_GB2312"/>
          <w:sz w:val="32"/>
          <w:szCs w:val="32"/>
        </w:rPr>
        <w:t>城市</w:t>
      </w:r>
      <w:r>
        <w:rPr>
          <w:rFonts w:hint="eastAsia" w:ascii="仿宋_GB2312" w:eastAsia="仿宋_GB2312"/>
          <w:sz w:val="32"/>
          <w:szCs w:val="32"/>
          <w:lang w:eastAsia="zh-CN"/>
        </w:rPr>
        <w:t>低保享受人数增加，补助资金上涨，导致</w:t>
      </w:r>
      <w:r>
        <w:rPr>
          <w:rFonts w:ascii="仿宋_GB2312" w:eastAsia="仿宋_GB2312"/>
          <w:sz w:val="32"/>
          <w:szCs w:val="32"/>
        </w:rPr>
        <w:t>城市最低生活保障金支出</w:t>
      </w:r>
      <w:r>
        <w:rPr>
          <w:rFonts w:hint="eastAsia" w:ascii="仿宋_GB2312" w:eastAsia="仿宋_GB2312"/>
          <w:sz w:val="32"/>
          <w:szCs w:val="32"/>
          <w:lang w:eastAsia="zh-CN"/>
        </w:rPr>
        <w:t>。</w:t>
      </w:r>
    </w:p>
    <w:p w14:paraId="556D0B4F">
      <w:pPr>
        <w:numPr>
          <w:ilvl w:val="0"/>
          <w:numId w:val="1"/>
        </w:numPr>
        <w:rPr>
          <w:rFonts w:ascii="仿宋_GB2312" w:eastAsia="仿宋_GB2312"/>
          <w:sz w:val="32"/>
          <w:szCs w:val="32"/>
        </w:rPr>
      </w:pPr>
      <w:r>
        <w:rPr>
          <w:rFonts w:ascii="仿宋_GB2312" w:eastAsia="仿宋_GB2312"/>
          <w:sz w:val="32"/>
          <w:szCs w:val="32"/>
        </w:rPr>
        <w:t>社会保障和就业支出（类）最低生活保障（款）农村最低生活保障金支出（项）：支出决算数为2,641.24万元，比上年决算增加272.62万元，增长11.51%，主要原因是：主要原因是：</w:t>
      </w:r>
      <w:r>
        <w:rPr>
          <w:rFonts w:hint="eastAsia" w:ascii="仿宋_GB2312" w:eastAsia="仿宋_GB2312"/>
          <w:sz w:val="32"/>
          <w:szCs w:val="32"/>
          <w:lang w:eastAsia="zh-CN"/>
        </w:rPr>
        <w:t>2024年农村低保享受人数增加，补助资金上涨，导致农村</w:t>
      </w:r>
      <w:r>
        <w:rPr>
          <w:rFonts w:ascii="仿宋_GB2312" w:eastAsia="仿宋_GB2312"/>
          <w:sz w:val="32"/>
          <w:szCs w:val="32"/>
        </w:rPr>
        <w:t>最低生活保障金支出</w:t>
      </w:r>
      <w:r>
        <w:rPr>
          <w:rFonts w:hint="eastAsia" w:ascii="仿宋_GB2312" w:eastAsia="仿宋_GB2312"/>
          <w:sz w:val="32"/>
          <w:szCs w:val="32"/>
          <w:lang w:eastAsia="zh-CN"/>
        </w:rPr>
        <w:t>。</w:t>
      </w:r>
    </w:p>
    <w:p w14:paraId="5A20CE99">
      <w:pPr>
        <w:numPr>
          <w:ilvl w:val="0"/>
          <w:numId w:val="1"/>
        </w:numPr>
        <w:rPr>
          <w:rFonts w:ascii="仿宋_GB2312" w:eastAsia="仿宋_GB2312"/>
          <w:sz w:val="32"/>
          <w:szCs w:val="32"/>
        </w:rPr>
      </w:pPr>
      <w:r>
        <w:rPr>
          <w:rFonts w:ascii="仿宋_GB2312" w:eastAsia="仿宋_GB2312"/>
          <w:sz w:val="32"/>
          <w:szCs w:val="32"/>
        </w:rPr>
        <w:t>社会保障和就业支出（类）临时救助（款）临时救助支出（项）：支出决算数为139.74万元，比上年决算减少258.95万元，下降64.95%，主要原因是：</w:t>
      </w:r>
      <w:r>
        <w:rPr>
          <w:rFonts w:hint="eastAsia" w:ascii="仿宋_GB2312" w:eastAsia="仿宋_GB2312"/>
          <w:sz w:val="32"/>
          <w:szCs w:val="32"/>
          <w:lang w:eastAsia="zh-CN"/>
        </w:rPr>
        <w:t>2023年困难群众冬季采暖补助列入本科目核算，2024年列入</w:t>
      </w:r>
      <w:r>
        <w:rPr>
          <w:rFonts w:ascii="仿宋_GB2312" w:eastAsia="仿宋_GB2312"/>
          <w:sz w:val="32"/>
          <w:szCs w:val="32"/>
        </w:rPr>
        <w:t>其他城市生活救助</w:t>
      </w:r>
      <w:r>
        <w:rPr>
          <w:rFonts w:hint="eastAsia" w:ascii="仿宋_GB2312" w:eastAsia="仿宋_GB2312"/>
          <w:sz w:val="32"/>
          <w:szCs w:val="32"/>
          <w:lang w:eastAsia="zh-CN"/>
        </w:rPr>
        <w:t>支出核算，导致</w:t>
      </w:r>
      <w:r>
        <w:rPr>
          <w:rFonts w:ascii="仿宋_GB2312" w:eastAsia="仿宋_GB2312"/>
          <w:sz w:val="32"/>
          <w:szCs w:val="32"/>
        </w:rPr>
        <w:t>临时救助支出</w:t>
      </w:r>
      <w:r>
        <w:rPr>
          <w:rFonts w:hint="eastAsia" w:ascii="仿宋_GB2312" w:eastAsia="仿宋_GB2312"/>
          <w:sz w:val="32"/>
          <w:szCs w:val="32"/>
          <w:lang w:eastAsia="zh-CN"/>
        </w:rPr>
        <w:t>较上年减少。</w:t>
      </w:r>
    </w:p>
    <w:p w14:paraId="2FCF1A8B">
      <w:pPr>
        <w:numPr>
          <w:ilvl w:val="0"/>
          <w:numId w:val="1"/>
        </w:numPr>
        <w:rPr>
          <w:rFonts w:ascii="仿宋_GB2312" w:eastAsia="仿宋_GB2312"/>
          <w:sz w:val="32"/>
          <w:szCs w:val="32"/>
        </w:rPr>
      </w:pPr>
      <w:r>
        <w:rPr>
          <w:rFonts w:ascii="仿宋_GB2312" w:eastAsia="仿宋_GB2312"/>
          <w:sz w:val="32"/>
          <w:szCs w:val="32"/>
        </w:rPr>
        <w:t>社会保障和就业支出（类）临时救助（款）流浪乞讨人员救助支出（项）：支出决算数为3.72万元，比上年决算减少5.44万元，下降59.39%，主要原因是：</w:t>
      </w:r>
      <w:r>
        <w:rPr>
          <w:rFonts w:hint="eastAsia" w:ascii="仿宋_GB2312" w:eastAsia="仿宋_GB2312"/>
          <w:sz w:val="32"/>
          <w:szCs w:val="32"/>
          <w:lang w:eastAsia="zh-CN"/>
        </w:rPr>
        <w:t>2024年流浪乞讨，外来特困人员救助人数，次数减少，导致</w:t>
      </w:r>
      <w:r>
        <w:rPr>
          <w:rFonts w:ascii="仿宋_GB2312" w:eastAsia="仿宋_GB2312"/>
          <w:sz w:val="32"/>
          <w:szCs w:val="32"/>
        </w:rPr>
        <w:t>流浪乞讨人员救助支出</w:t>
      </w:r>
      <w:r>
        <w:rPr>
          <w:rFonts w:hint="eastAsia" w:ascii="仿宋_GB2312" w:eastAsia="仿宋_GB2312"/>
          <w:sz w:val="32"/>
          <w:szCs w:val="32"/>
          <w:lang w:eastAsia="zh-CN"/>
        </w:rPr>
        <w:t>减少。</w:t>
      </w:r>
    </w:p>
    <w:p w14:paraId="2B343310">
      <w:pPr>
        <w:numPr>
          <w:ilvl w:val="0"/>
          <w:numId w:val="1"/>
        </w:numPr>
        <w:rPr>
          <w:rFonts w:ascii="仿宋_GB2312" w:eastAsia="仿宋_GB2312"/>
          <w:sz w:val="32"/>
          <w:szCs w:val="32"/>
        </w:rPr>
      </w:pPr>
      <w:r>
        <w:rPr>
          <w:rFonts w:ascii="仿宋_GB2312" w:eastAsia="仿宋_GB2312"/>
          <w:sz w:val="32"/>
          <w:szCs w:val="32"/>
        </w:rPr>
        <w:t>社会保障和就业支出（类）特困人员救助供养（款）城市特困人员救助供养支出（项）：支出决算数为140.87万元，比上年决算增加44.36万元，增长45.96%，主要原因是：</w:t>
      </w:r>
      <w:r>
        <w:rPr>
          <w:rFonts w:hint="eastAsia" w:ascii="仿宋_GB2312" w:eastAsia="仿宋_GB2312"/>
          <w:sz w:val="32"/>
          <w:szCs w:val="32"/>
          <w:lang w:eastAsia="zh-CN"/>
        </w:rPr>
        <w:t>2024年政策扩大救助范围，城市特困供养人员人数增加，导致</w:t>
      </w:r>
      <w:r>
        <w:rPr>
          <w:rFonts w:ascii="仿宋_GB2312" w:eastAsia="仿宋_GB2312"/>
          <w:sz w:val="32"/>
          <w:szCs w:val="32"/>
        </w:rPr>
        <w:t>城市特困人员救助供养支出</w:t>
      </w:r>
      <w:r>
        <w:rPr>
          <w:rFonts w:hint="eastAsia" w:ascii="仿宋_GB2312" w:eastAsia="仿宋_GB2312"/>
          <w:sz w:val="32"/>
          <w:szCs w:val="32"/>
          <w:lang w:eastAsia="zh-CN"/>
        </w:rPr>
        <w:t>增加。</w:t>
      </w:r>
    </w:p>
    <w:p w14:paraId="6FD95A51">
      <w:pPr>
        <w:numPr>
          <w:ilvl w:val="0"/>
          <w:numId w:val="1"/>
        </w:numPr>
        <w:rPr>
          <w:rFonts w:ascii="仿宋_GB2312" w:eastAsia="仿宋_GB2312"/>
          <w:sz w:val="32"/>
          <w:szCs w:val="32"/>
          <w:highlight w:val="none"/>
        </w:rPr>
      </w:pPr>
      <w:r>
        <w:rPr>
          <w:rFonts w:ascii="仿宋_GB2312" w:eastAsia="仿宋_GB2312"/>
          <w:sz w:val="32"/>
          <w:szCs w:val="32"/>
        </w:rPr>
        <w:t>社会保障和就业支出（类）特困人员救助供养（款）农村特困人员救助供养支出（项）：支出决算数为60.23万元，比上年决算减少110.81万元，下降64.79%，</w:t>
      </w:r>
      <w:r>
        <w:rPr>
          <w:rFonts w:ascii="仿宋_GB2312" w:eastAsia="仿宋_GB2312"/>
          <w:sz w:val="32"/>
          <w:szCs w:val="32"/>
          <w:highlight w:val="none"/>
        </w:rPr>
        <w:t>主要原因是：</w:t>
      </w:r>
      <w:r>
        <w:rPr>
          <w:rFonts w:hint="eastAsia" w:ascii="仿宋_GB2312" w:eastAsia="仿宋_GB2312"/>
          <w:sz w:val="32"/>
          <w:szCs w:val="32"/>
          <w:highlight w:val="none"/>
          <w:lang w:eastAsia="zh-CN"/>
        </w:rPr>
        <w:t>2024年政策扩大救助范围，农村特困供养人员人数增加，导致</w:t>
      </w:r>
      <w:r>
        <w:rPr>
          <w:rFonts w:ascii="仿宋_GB2312" w:eastAsia="仿宋_GB2312"/>
          <w:sz w:val="32"/>
          <w:szCs w:val="32"/>
          <w:highlight w:val="none"/>
        </w:rPr>
        <w:t>城市特困人员救助供养支出</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lang w:val="en-US" w:eastAsia="zh-CN"/>
        </w:rPr>
        <w:t>所以，农村特困人员救助供养支出减少。</w:t>
      </w:r>
    </w:p>
    <w:p w14:paraId="1A67E40B">
      <w:pPr>
        <w:numPr>
          <w:ilvl w:val="0"/>
          <w:numId w:val="1"/>
        </w:numPr>
        <w:rPr>
          <w:rFonts w:ascii="仿宋_GB2312" w:eastAsia="仿宋_GB2312"/>
          <w:sz w:val="32"/>
          <w:szCs w:val="32"/>
        </w:rPr>
      </w:pPr>
      <w:r>
        <w:rPr>
          <w:rFonts w:ascii="仿宋_GB2312" w:eastAsia="仿宋_GB2312"/>
          <w:sz w:val="32"/>
          <w:szCs w:val="32"/>
        </w:rPr>
        <w:t>社会保障和就业支出（类）其他生活救助（款）其他城市生活救助（项）：支出决算数为361.03万元，比上年决算增加360.90万元，增长277,615.38%，主要原因是：</w:t>
      </w:r>
      <w:r>
        <w:rPr>
          <w:rFonts w:hint="eastAsia" w:ascii="仿宋_GB2312" w:eastAsia="仿宋_GB2312"/>
          <w:sz w:val="32"/>
          <w:szCs w:val="32"/>
          <w:lang w:eastAsia="zh-CN"/>
        </w:rPr>
        <w:t>2024年决算口径变更，困难群众冬季采暖补助列入本科目核算，导致</w:t>
      </w:r>
      <w:r>
        <w:rPr>
          <w:rFonts w:ascii="仿宋_GB2312" w:eastAsia="仿宋_GB2312"/>
          <w:sz w:val="32"/>
          <w:szCs w:val="32"/>
        </w:rPr>
        <w:t>其他城市生活救助</w:t>
      </w:r>
      <w:r>
        <w:rPr>
          <w:rFonts w:hint="eastAsia" w:ascii="仿宋_GB2312" w:eastAsia="仿宋_GB2312"/>
          <w:sz w:val="32"/>
          <w:szCs w:val="32"/>
          <w:lang w:eastAsia="zh-CN"/>
        </w:rPr>
        <w:t>支出增加。</w:t>
      </w:r>
    </w:p>
    <w:p w14:paraId="14DFE3EC">
      <w:pPr>
        <w:numPr>
          <w:ilvl w:val="0"/>
          <w:numId w:val="1"/>
        </w:numPr>
        <w:rPr>
          <w:rFonts w:ascii="仿宋_GB2312" w:eastAsia="仿宋_GB2312"/>
          <w:sz w:val="32"/>
          <w:szCs w:val="32"/>
        </w:rPr>
      </w:pPr>
      <w:r>
        <w:rPr>
          <w:rFonts w:ascii="仿宋_GB2312" w:eastAsia="仿宋_GB2312"/>
          <w:sz w:val="32"/>
          <w:szCs w:val="32"/>
        </w:rPr>
        <w:t>社会保障和就业支出（类）其他生活救助（款）其他农村生活救助（项）：支出决算数为62.30万元，比上年决算增加62.24万元，增长103,733.33%，主要原因是：</w:t>
      </w:r>
      <w:r>
        <w:rPr>
          <w:rFonts w:hint="eastAsia" w:ascii="仿宋_GB2312" w:eastAsia="仿宋_GB2312"/>
          <w:sz w:val="32"/>
          <w:szCs w:val="32"/>
          <w:lang w:eastAsia="zh-CN"/>
        </w:rPr>
        <w:t>2024年决算口径变更，困难群众冬季采暖补助列入本科目核算，导致</w:t>
      </w:r>
      <w:r>
        <w:rPr>
          <w:rFonts w:ascii="仿宋_GB2312" w:eastAsia="仿宋_GB2312"/>
          <w:sz w:val="32"/>
          <w:szCs w:val="32"/>
        </w:rPr>
        <w:t>其他</w:t>
      </w:r>
      <w:r>
        <w:rPr>
          <w:rFonts w:hint="eastAsia" w:ascii="仿宋_GB2312" w:eastAsia="仿宋_GB2312"/>
          <w:sz w:val="32"/>
          <w:szCs w:val="32"/>
          <w:lang w:eastAsia="zh-CN"/>
        </w:rPr>
        <w:t>农村</w:t>
      </w:r>
      <w:r>
        <w:rPr>
          <w:rFonts w:ascii="仿宋_GB2312" w:eastAsia="仿宋_GB2312"/>
          <w:sz w:val="32"/>
          <w:szCs w:val="32"/>
        </w:rPr>
        <w:t>生活救助</w:t>
      </w:r>
      <w:r>
        <w:rPr>
          <w:rFonts w:hint="eastAsia" w:ascii="仿宋_GB2312" w:eastAsia="仿宋_GB2312"/>
          <w:sz w:val="32"/>
          <w:szCs w:val="32"/>
          <w:lang w:eastAsia="zh-CN"/>
        </w:rPr>
        <w:t>支出增加。</w:t>
      </w:r>
    </w:p>
    <w:p w14:paraId="12E88F19">
      <w:pPr>
        <w:numPr>
          <w:ilvl w:val="0"/>
          <w:numId w:val="1"/>
        </w:numPr>
        <w:rPr>
          <w:rFonts w:ascii="仿宋_GB2312" w:eastAsia="仿宋_GB2312"/>
          <w:color w:val="000000" w:themeColor="text1"/>
          <w:sz w:val="32"/>
          <w:szCs w:val="32"/>
        </w:rPr>
      </w:pPr>
      <w:r>
        <w:rPr>
          <w:rFonts w:ascii="仿宋_GB2312" w:eastAsia="仿宋_GB2312"/>
          <w:sz w:val="32"/>
          <w:szCs w:val="32"/>
        </w:rPr>
        <w:t>社会保障和就业支出（类）其他社会保障和就业支出（款）其他社会保障和就业支出（项）：支出决算数为2.39万元，比上年决算增加2.39万元，增长100.00%，主要原因是：</w:t>
      </w:r>
      <w:r>
        <w:rPr>
          <w:rFonts w:hint="eastAsia" w:ascii="仿宋_GB2312" w:eastAsia="仿宋_GB2312"/>
          <w:color w:val="000000" w:themeColor="text1"/>
          <w:sz w:val="32"/>
          <w:szCs w:val="32"/>
          <w:lang w:eastAsia="zh-CN"/>
        </w:rPr>
        <w:t>2023年无此项支出，2024年增加纾困资金，导致</w:t>
      </w:r>
      <w:r>
        <w:rPr>
          <w:rFonts w:ascii="仿宋_GB2312" w:eastAsia="仿宋_GB2312"/>
          <w:color w:val="000000" w:themeColor="text1"/>
          <w:sz w:val="32"/>
          <w:szCs w:val="32"/>
        </w:rPr>
        <w:t>其他社会保障和就业支出</w:t>
      </w:r>
      <w:r>
        <w:rPr>
          <w:rFonts w:hint="eastAsia" w:ascii="仿宋_GB2312" w:eastAsia="仿宋_GB2312"/>
          <w:color w:val="000000" w:themeColor="text1"/>
          <w:sz w:val="32"/>
          <w:szCs w:val="32"/>
          <w:lang w:eastAsia="zh-CN"/>
        </w:rPr>
        <w:t>增加。</w:t>
      </w:r>
    </w:p>
    <w:p w14:paraId="3910C4F6">
      <w:pPr>
        <w:numPr>
          <w:ilvl w:val="0"/>
          <w:numId w:val="1"/>
        </w:numPr>
        <w:rPr>
          <w:rFonts w:ascii="仿宋_GB2312" w:eastAsia="仿宋_GB2312"/>
          <w:color w:val="FF0000"/>
          <w:sz w:val="32"/>
          <w:szCs w:val="32"/>
        </w:rPr>
      </w:pPr>
      <w:r>
        <w:rPr>
          <w:rFonts w:ascii="仿宋_GB2312" w:eastAsia="仿宋_GB2312"/>
          <w:color w:val="000000" w:themeColor="text1"/>
          <w:sz w:val="32"/>
          <w:szCs w:val="32"/>
        </w:rPr>
        <w:t>卫生健康支出（类）行政事业单位医疗（款）行政单位医疗（项）：支出决算数为26.03万元，比上年决算增加0.78万元，增长3.09%，主要原因是：</w:t>
      </w:r>
      <w:r>
        <w:rPr>
          <w:rFonts w:hint="eastAsia" w:ascii="仿宋_GB2312" w:eastAsia="仿宋_GB2312"/>
          <w:color w:val="000000" w:themeColor="text1"/>
          <w:sz w:val="32"/>
          <w:szCs w:val="32"/>
          <w:lang w:eastAsia="zh-CN"/>
        </w:rPr>
        <w:t>2024年人员社保缴费基础调标，缴费标准上涨，导</w:t>
      </w:r>
      <w:r>
        <w:rPr>
          <w:rFonts w:hint="eastAsia" w:ascii="仿宋_GB2312" w:eastAsia="仿宋_GB2312"/>
          <w:sz w:val="32"/>
          <w:szCs w:val="32"/>
          <w:lang w:eastAsia="zh-CN"/>
        </w:rPr>
        <w:t>致</w:t>
      </w:r>
      <w:r>
        <w:rPr>
          <w:rFonts w:ascii="仿宋_GB2312" w:eastAsia="仿宋_GB2312"/>
          <w:sz w:val="32"/>
          <w:szCs w:val="32"/>
        </w:rPr>
        <w:t>行政单位医疗</w:t>
      </w:r>
      <w:r>
        <w:rPr>
          <w:rFonts w:hint="eastAsia" w:ascii="仿宋_GB2312" w:eastAsia="仿宋_GB2312"/>
          <w:sz w:val="32"/>
          <w:szCs w:val="32"/>
          <w:lang w:eastAsia="zh-CN"/>
        </w:rPr>
        <w:t>支出增加</w:t>
      </w:r>
      <w:r>
        <w:rPr>
          <w:rFonts w:hint="eastAsia" w:ascii="仿宋_GB2312" w:eastAsia="仿宋_GB2312"/>
          <w:color w:val="000000" w:themeColor="text1"/>
          <w:sz w:val="32"/>
          <w:szCs w:val="32"/>
          <w:lang w:eastAsia="zh-CN"/>
        </w:rPr>
        <w:t>。</w:t>
      </w:r>
    </w:p>
    <w:p w14:paraId="57030892">
      <w:pPr>
        <w:numPr>
          <w:ilvl w:val="0"/>
          <w:numId w:val="1"/>
        </w:numPr>
        <w:rPr>
          <w:rFonts w:ascii="仿宋_GB2312" w:eastAsia="仿宋_GB2312"/>
          <w:sz w:val="32"/>
          <w:szCs w:val="32"/>
        </w:rPr>
      </w:pPr>
      <w:r>
        <w:rPr>
          <w:rFonts w:ascii="仿宋_GB2312" w:eastAsia="仿宋_GB2312"/>
          <w:sz w:val="32"/>
          <w:szCs w:val="32"/>
        </w:rPr>
        <w:t>卫生健康支出（类）行政事业单位医疗（款）公务员医疗补助（项）：支出决算数为2.97万元，比上年决算减少4.30万元，下降59.15%，主要原因是：</w:t>
      </w:r>
      <w:r>
        <w:rPr>
          <w:rFonts w:hint="eastAsia" w:ascii="仿宋_GB2312" w:eastAsia="仿宋_GB2312"/>
          <w:sz w:val="32"/>
          <w:szCs w:val="32"/>
          <w:lang w:eastAsia="zh-CN"/>
        </w:rPr>
        <w:t>2024年政策变更，退休人员不用交公务员医疗补助，导致</w:t>
      </w:r>
      <w:r>
        <w:rPr>
          <w:rFonts w:ascii="仿宋_GB2312" w:eastAsia="仿宋_GB2312"/>
          <w:sz w:val="32"/>
          <w:szCs w:val="32"/>
        </w:rPr>
        <w:t>公务员医疗补助</w:t>
      </w:r>
      <w:r>
        <w:rPr>
          <w:rFonts w:hint="eastAsia" w:ascii="仿宋_GB2312" w:eastAsia="仿宋_GB2312"/>
          <w:sz w:val="32"/>
          <w:szCs w:val="32"/>
          <w:lang w:eastAsia="zh-CN"/>
        </w:rPr>
        <w:t>较上年减少。</w:t>
      </w:r>
    </w:p>
    <w:p w14:paraId="4522CAEB">
      <w:pPr>
        <w:numPr>
          <w:ilvl w:val="0"/>
          <w:numId w:val="1"/>
        </w:numPr>
        <w:rPr>
          <w:rFonts w:ascii="仿宋_GB2312" w:eastAsia="仿宋_GB2312"/>
          <w:sz w:val="32"/>
          <w:szCs w:val="32"/>
        </w:rPr>
      </w:pPr>
      <w:r>
        <w:rPr>
          <w:rFonts w:ascii="仿宋_GB2312" w:eastAsia="仿宋_GB2312"/>
          <w:sz w:val="32"/>
          <w:szCs w:val="32"/>
        </w:rPr>
        <w:t>住房保障支出（类）住房改革支出（款）住房公积金（项）：支出决算数为44.93万元，比上年决算增加3.22万元，增长7.72%，主要原因是：</w:t>
      </w:r>
      <w:r>
        <w:rPr>
          <w:rFonts w:hint="eastAsia" w:ascii="仿宋_GB2312" w:eastAsia="仿宋_GB2312"/>
          <w:sz w:val="32"/>
          <w:szCs w:val="32"/>
          <w:lang w:eastAsia="zh-CN"/>
        </w:rPr>
        <w:t>2024年职工工资上涨，住房公积金缴费基数提高，导致</w:t>
      </w:r>
      <w:r>
        <w:rPr>
          <w:rFonts w:ascii="仿宋_GB2312" w:eastAsia="仿宋_GB2312"/>
          <w:sz w:val="32"/>
          <w:szCs w:val="32"/>
        </w:rPr>
        <w:t>住房公积金</w:t>
      </w:r>
      <w:r>
        <w:rPr>
          <w:rFonts w:hint="eastAsia" w:ascii="仿宋_GB2312" w:eastAsia="仿宋_GB2312"/>
          <w:sz w:val="32"/>
          <w:szCs w:val="32"/>
          <w:lang w:eastAsia="zh-CN"/>
        </w:rPr>
        <w:t>支出增加。</w:t>
      </w:r>
    </w:p>
    <w:p w14:paraId="0FE4087B">
      <w:pPr>
        <w:spacing w:line="240" w:lineRule="auto"/>
        <w:outlineLvl w:val="1"/>
        <w:rPr>
          <w:rFonts w:ascii="黑体" w:eastAsia="黑体"/>
          <w:sz w:val="32"/>
          <w:szCs w:val="32"/>
        </w:rPr>
      </w:pPr>
      <w:r>
        <w:rPr>
          <w:rFonts w:ascii="黑体" w:eastAsia="黑体"/>
          <w:sz w:val="32"/>
          <w:szCs w:val="32"/>
        </w:rPr>
        <w:t>六、一般公共预算财政拨款基本支出决算情况说明</w:t>
      </w:r>
    </w:p>
    <w:p w14:paraId="2931B1C2">
      <w:pPr>
        <w:spacing w:line="240" w:lineRule="auto"/>
        <w:ind w:firstLine="640" w:firstLineChars="200"/>
        <w:jc w:val="both"/>
        <w:rPr>
          <w:rFonts w:ascii="仿宋_GB2312" w:eastAsia="仿宋_GB2312"/>
          <w:sz w:val="32"/>
          <w:szCs w:val="32"/>
        </w:rPr>
      </w:pPr>
      <w:r>
        <w:rPr>
          <w:rFonts w:ascii="仿宋_GB2312" w:eastAsia="仿宋_GB2312"/>
          <w:sz w:val="32"/>
          <w:szCs w:val="32"/>
        </w:rPr>
        <w:t>2024年度一般公共预算财政拨款基本支出1,574.52万元，其中：人员经费700.88万元，包括：基本工资、津贴补贴、奖金、机关事业单位基本养老保险缴费、职业年金缴费、职工基本医疗保险缴费、公务员医疗补助缴费、其他社会保障缴费、住房公积金、其他工资福利支出、退休费、抚恤金和生活补助。</w:t>
      </w:r>
    </w:p>
    <w:p w14:paraId="34F3F2CD">
      <w:pPr>
        <w:spacing w:line="240" w:lineRule="auto"/>
        <w:ind w:firstLine="640" w:firstLineChars="200"/>
        <w:jc w:val="both"/>
        <w:rPr>
          <w:rFonts w:ascii="仿宋_GB2312" w:eastAsia="仿宋_GB2312"/>
          <w:sz w:val="32"/>
          <w:szCs w:val="32"/>
        </w:rPr>
      </w:pPr>
      <w:r>
        <w:rPr>
          <w:rFonts w:ascii="仿宋_GB2312" w:eastAsia="仿宋_GB2312"/>
          <w:sz w:val="32"/>
          <w:szCs w:val="32"/>
        </w:rPr>
        <w:t>公用经费873.64万元，包括：办公费、电费、邮电费、取暖费、差旅费、维修（护）费、培训费、委托业务费、工会经费、福利费和公务用车运行维护费。</w:t>
      </w:r>
    </w:p>
    <w:p w14:paraId="1B8E0A81">
      <w:pPr>
        <w:spacing w:line="240" w:lineRule="auto"/>
        <w:outlineLvl w:val="1"/>
        <w:rPr>
          <w:rFonts w:ascii="黑体" w:eastAsia="黑体"/>
          <w:sz w:val="32"/>
          <w:szCs w:val="32"/>
        </w:rPr>
      </w:pPr>
      <w:r>
        <w:rPr>
          <w:rFonts w:ascii="黑体" w:eastAsia="黑体"/>
          <w:sz w:val="32"/>
          <w:szCs w:val="32"/>
        </w:rPr>
        <w:t>七、政府性基金预算财政拨款收入支出决算情况说明</w:t>
      </w:r>
    </w:p>
    <w:p w14:paraId="32F8646F">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2024年度政府性基金预算财政拨款收入总计1,158.48万元，其中：年初结转和结余0.00万元，本年收入1,158.48万元。政府性基金预算财政拨款支出总计1,158.48万元，其中：年末结转和结余0.00万元，本年支出1,158.48万元。</w:t>
      </w:r>
    </w:p>
    <w:p w14:paraId="43E9BF7C">
      <w:pPr>
        <w:ind w:firstLine="640" w:firstLineChars="200"/>
        <w:rPr>
          <w:rFonts w:eastAsia="仿宋_GB2312"/>
          <w:sz w:val="32"/>
          <w:szCs w:val="32"/>
          <w:highlight w:val="yellow"/>
          <w:lang w:val="zh-CN"/>
        </w:rPr>
      </w:pPr>
      <w:r>
        <w:rPr>
          <w:rFonts w:ascii="仿宋_GB2312" w:eastAsia="仿宋_GB2312"/>
          <w:sz w:val="32"/>
          <w:szCs w:val="32"/>
        </w:rPr>
        <w:t>政府性基金预算财政拨款收入支出总体与上年相比，减少768.07万元，下降39.87%，主要原因是：</w:t>
      </w:r>
      <w:r>
        <w:rPr>
          <w:rFonts w:hint="eastAsia" w:eastAsia="仿宋_GB2312"/>
          <w:sz w:val="32"/>
          <w:szCs w:val="32"/>
          <w:lang w:val="zh-CN"/>
        </w:rPr>
        <w:t>202</w:t>
      </w:r>
      <w:r>
        <w:rPr>
          <w:rFonts w:hint="eastAsia" w:eastAsia="仿宋_GB2312"/>
          <w:sz w:val="32"/>
          <w:szCs w:val="32"/>
          <w:lang w:val="zh-CN" w:eastAsia="zh-CN"/>
        </w:rPr>
        <w:t>4</w:t>
      </w:r>
      <w:r>
        <w:rPr>
          <w:rFonts w:hint="eastAsia" w:eastAsia="仿宋_GB2312"/>
          <w:sz w:val="32"/>
          <w:szCs w:val="32"/>
          <w:lang w:val="zh-CN"/>
        </w:rPr>
        <w:t>年</w:t>
      </w:r>
      <w:r>
        <w:rPr>
          <w:rFonts w:hint="eastAsia" w:eastAsia="仿宋_GB2312"/>
          <w:sz w:val="32"/>
          <w:szCs w:val="32"/>
          <w:lang w:val="en-US" w:eastAsia="zh-CN"/>
        </w:rPr>
        <w:t>较2023年相比减少</w:t>
      </w:r>
      <w:r>
        <w:rPr>
          <w:rFonts w:hint="eastAsia" w:eastAsia="仿宋_GB2312"/>
          <w:sz w:val="32"/>
          <w:szCs w:val="32"/>
          <w:lang w:val="zh-CN"/>
        </w:rPr>
        <w:t>社区养老服务（日间照料）中心项目，未成年人保护中心等建设项目，</w:t>
      </w:r>
      <w:r>
        <w:rPr>
          <w:rFonts w:hint="eastAsia" w:eastAsia="仿宋_GB2312"/>
          <w:sz w:val="32"/>
          <w:szCs w:val="32"/>
          <w:lang w:val="en-US" w:eastAsia="zh-CN"/>
        </w:rPr>
        <w:t>导致本年</w:t>
      </w:r>
      <w:r>
        <w:rPr>
          <w:rFonts w:hint="eastAsia" w:eastAsia="仿宋_GB2312"/>
          <w:sz w:val="32"/>
          <w:szCs w:val="32"/>
          <w:lang w:val="zh-CN" w:eastAsia="zh-CN"/>
        </w:rPr>
        <w:t>完成投入</w:t>
      </w:r>
      <w:r>
        <w:rPr>
          <w:rFonts w:hint="eastAsia" w:eastAsia="仿宋_GB2312"/>
          <w:sz w:val="32"/>
          <w:szCs w:val="32"/>
          <w:lang w:val="zh-CN"/>
        </w:rPr>
        <w:t>资金</w:t>
      </w:r>
      <w:r>
        <w:rPr>
          <w:rFonts w:hint="eastAsia" w:eastAsia="仿宋_GB2312"/>
          <w:sz w:val="32"/>
          <w:szCs w:val="32"/>
          <w:lang w:val="zh-CN" w:eastAsia="zh-CN"/>
        </w:rPr>
        <w:t>减少</w:t>
      </w:r>
      <w:r>
        <w:rPr>
          <w:rFonts w:hint="eastAsia" w:eastAsia="仿宋_GB2312"/>
          <w:sz w:val="32"/>
          <w:szCs w:val="32"/>
          <w:lang w:val="zh-CN"/>
        </w:rPr>
        <w:t>，</w:t>
      </w:r>
      <w:r>
        <w:rPr>
          <w:rFonts w:hint="eastAsia" w:eastAsia="仿宋_GB2312"/>
          <w:sz w:val="32"/>
          <w:szCs w:val="32"/>
          <w:lang w:val="en-US" w:eastAsia="zh-CN"/>
        </w:rPr>
        <w:t>所以</w:t>
      </w:r>
      <w:r>
        <w:rPr>
          <w:rFonts w:hint="eastAsia" w:ascii="仿宋_GB2312" w:eastAsia="仿宋_GB2312"/>
          <w:sz w:val="32"/>
          <w:szCs w:val="32"/>
          <w:lang w:val="en-US" w:eastAsia="zh-CN"/>
        </w:rPr>
        <w:t>2024年</w:t>
      </w:r>
      <w:r>
        <w:rPr>
          <w:rFonts w:hint="eastAsia" w:eastAsia="仿宋_GB2312"/>
          <w:sz w:val="32"/>
          <w:szCs w:val="32"/>
          <w:lang w:val="zh-CN"/>
        </w:rPr>
        <w:t>政府性基金预算财政拨款</w:t>
      </w:r>
      <w:r>
        <w:rPr>
          <w:rFonts w:hint="eastAsia" w:eastAsia="仿宋_GB2312"/>
          <w:sz w:val="32"/>
          <w:szCs w:val="32"/>
          <w:lang w:val="en-US" w:eastAsia="zh-CN"/>
        </w:rPr>
        <w:t>收入下降</w:t>
      </w:r>
      <w:r>
        <w:rPr>
          <w:rFonts w:ascii="仿宋_GB2312" w:eastAsia="仿宋_GB2312"/>
          <w:sz w:val="32"/>
          <w:szCs w:val="32"/>
        </w:rPr>
        <w:t>。与年初预算相比，年初预算数1,245.49万元，决算数1,158.48万元，预决算差异率-6.99%，主要原因是</w:t>
      </w:r>
      <w:r>
        <w:rPr>
          <w:rFonts w:hint="eastAsia" w:eastAsia="仿宋_GB2312"/>
          <w:sz w:val="32"/>
          <w:szCs w:val="32"/>
          <w:lang w:val="zh-CN"/>
        </w:rPr>
        <w:t>202</w:t>
      </w:r>
      <w:r>
        <w:rPr>
          <w:rFonts w:hint="eastAsia" w:eastAsia="仿宋_GB2312"/>
          <w:sz w:val="32"/>
          <w:szCs w:val="32"/>
          <w:lang w:val="zh-CN" w:eastAsia="zh-CN"/>
        </w:rPr>
        <w:t>4</w:t>
      </w:r>
      <w:r>
        <w:rPr>
          <w:rFonts w:hint="eastAsia" w:eastAsia="仿宋_GB2312"/>
          <w:sz w:val="32"/>
          <w:szCs w:val="32"/>
          <w:lang w:val="zh-CN"/>
        </w:rPr>
        <w:t>年</w:t>
      </w:r>
      <w:r>
        <w:rPr>
          <w:rFonts w:hint="eastAsia" w:eastAsia="仿宋_GB2312"/>
          <w:sz w:val="32"/>
          <w:szCs w:val="32"/>
          <w:lang w:val="en-US" w:eastAsia="zh-CN"/>
        </w:rPr>
        <w:t>萨依巴格</w:t>
      </w:r>
      <w:r>
        <w:rPr>
          <w:rFonts w:hint="eastAsia" w:eastAsia="仿宋_GB2312"/>
          <w:sz w:val="32"/>
          <w:szCs w:val="32"/>
          <w:lang w:val="zh-CN"/>
        </w:rPr>
        <w:t>日间照料中心项目</w:t>
      </w:r>
      <w:r>
        <w:rPr>
          <w:rFonts w:hint="eastAsia" w:eastAsia="仿宋_GB2312"/>
          <w:sz w:val="32"/>
          <w:szCs w:val="32"/>
          <w:lang w:val="en-US" w:eastAsia="zh-CN"/>
        </w:rPr>
        <w:t>未完成</w:t>
      </w:r>
      <w:r>
        <w:rPr>
          <w:rFonts w:hint="eastAsia" w:eastAsia="仿宋_GB2312"/>
          <w:sz w:val="32"/>
          <w:szCs w:val="32"/>
          <w:lang w:val="zh-CN"/>
        </w:rPr>
        <w:t>，</w:t>
      </w:r>
      <w:r>
        <w:rPr>
          <w:rFonts w:hint="eastAsia" w:eastAsia="仿宋_GB2312"/>
          <w:sz w:val="32"/>
          <w:szCs w:val="32"/>
          <w:lang w:val="en-US" w:eastAsia="zh-CN"/>
        </w:rPr>
        <w:t>导致当年资金未支付完毕，</w:t>
      </w:r>
      <w:r>
        <w:rPr>
          <w:rFonts w:hint="eastAsia" w:ascii="仿宋_GB2312" w:eastAsia="仿宋_GB2312"/>
          <w:sz w:val="32"/>
          <w:szCs w:val="32"/>
          <w:lang w:val="en-US" w:eastAsia="zh-CN"/>
        </w:rPr>
        <w:t>所以</w:t>
      </w:r>
      <w:r>
        <w:rPr>
          <w:rFonts w:hint="eastAsia" w:eastAsia="仿宋_GB2312"/>
          <w:sz w:val="32"/>
          <w:szCs w:val="32"/>
          <w:lang w:val="zh-CN"/>
        </w:rPr>
        <w:t>政府性基金预算财政拨款</w:t>
      </w:r>
      <w:r>
        <w:rPr>
          <w:rFonts w:hint="eastAsia" w:eastAsia="仿宋_GB2312"/>
          <w:sz w:val="32"/>
          <w:szCs w:val="32"/>
        </w:rPr>
        <w:t>支出预决算差异率较大</w:t>
      </w:r>
      <w:r>
        <w:rPr>
          <w:rFonts w:hint="eastAsia" w:eastAsia="仿宋_GB2312"/>
          <w:sz w:val="32"/>
          <w:szCs w:val="32"/>
          <w:lang w:val="zh-CN"/>
        </w:rPr>
        <w:t>。</w:t>
      </w:r>
    </w:p>
    <w:p w14:paraId="465D1098">
      <w:pPr>
        <w:spacing w:line="240" w:lineRule="auto"/>
        <w:ind w:firstLine="640" w:firstLineChars="200"/>
        <w:jc w:val="both"/>
        <w:rPr>
          <w:rFonts w:ascii="仿宋_GB2312" w:eastAsia="仿宋_GB2312"/>
          <w:sz w:val="32"/>
          <w:szCs w:val="32"/>
        </w:rPr>
      </w:pPr>
      <w:r>
        <w:rPr>
          <w:rFonts w:ascii="仿宋_GB2312" w:eastAsia="仿宋_GB2312"/>
          <w:sz w:val="32"/>
          <w:szCs w:val="32"/>
        </w:rPr>
        <w:t>政府性基金预算财政拨款支出1,158.48万元。</w:t>
      </w:r>
    </w:p>
    <w:p w14:paraId="598D2341">
      <w:pPr>
        <w:numPr>
          <w:ilvl w:val="0"/>
          <w:numId w:val="2"/>
        </w:numPr>
        <w:rPr>
          <w:rFonts w:ascii="仿宋_GB2312" w:eastAsia="仿宋_GB2312"/>
          <w:sz w:val="32"/>
          <w:szCs w:val="32"/>
        </w:rPr>
      </w:pPr>
      <w:r>
        <w:rPr>
          <w:rFonts w:ascii="仿宋_GB2312" w:eastAsia="仿宋_GB2312"/>
          <w:sz w:val="32"/>
          <w:szCs w:val="32"/>
        </w:rPr>
        <w:t>城乡社区支出（类）国有土地使用权出让收入安排的支出（款）其他国有土地使用权出让收入安排的支出（项）：支出决算数为0.00万元，比上年决算减少43.10万元，下降100.00%，主要原因是：</w:t>
      </w:r>
      <w:r>
        <w:rPr>
          <w:rFonts w:hint="eastAsia" w:ascii="仿宋_GB2312" w:eastAsia="仿宋_GB2312"/>
          <w:sz w:val="32"/>
          <w:szCs w:val="32"/>
          <w:lang w:eastAsia="zh-CN"/>
        </w:rPr>
        <w:t>2023年社区养老服务中心，上卡其社区养老服务中心，殡葬服务中心等民政项目基本完工，2024年无此项资金。导致</w:t>
      </w:r>
      <w:r>
        <w:rPr>
          <w:rFonts w:ascii="仿宋_GB2312" w:eastAsia="仿宋_GB2312"/>
          <w:sz w:val="32"/>
          <w:szCs w:val="32"/>
        </w:rPr>
        <w:t>其他国有土地使用权出让收入安排的支出</w:t>
      </w:r>
      <w:r>
        <w:rPr>
          <w:rFonts w:hint="eastAsia" w:ascii="仿宋_GB2312" w:eastAsia="仿宋_GB2312"/>
          <w:sz w:val="32"/>
          <w:szCs w:val="32"/>
          <w:lang w:eastAsia="zh-CN"/>
        </w:rPr>
        <w:t>减少。</w:t>
      </w:r>
    </w:p>
    <w:p w14:paraId="64E5B045">
      <w:pPr>
        <w:ind w:firstLine="640" w:firstLineChars="200"/>
        <w:rPr>
          <w:rFonts w:eastAsia="仿宋_GB2312"/>
          <w:sz w:val="32"/>
          <w:szCs w:val="32"/>
          <w:lang w:val="zh-CN"/>
        </w:rPr>
      </w:pPr>
      <w:r>
        <w:rPr>
          <w:rFonts w:hint="eastAsia" w:ascii="仿宋_GB2312" w:eastAsia="仿宋_GB2312"/>
          <w:sz w:val="32"/>
          <w:szCs w:val="32"/>
          <w:lang w:eastAsia="zh-CN"/>
        </w:rPr>
        <w:t>2.</w:t>
      </w:r>
      <w:r>
        <w:rPr>
          <w:rFonts w:ascii="仿宋_GB2312" w:eastAsia="仿宋_GB2312"/>
          <w:sz w:val="32"/>
          <w:szCs w:val="32"/>
        </w:rPr>
        <w:t>其他支出（类）彩票公益金安排的支出（款）用于社会福利的彩票公益金支出（项）：支出决算数为1,158.48万元，比上年决算减少724.97万元，下降38.49%，主要原因是：</w:t>
      </w:r>
      <w:r>
        <w:rPr>
          <w:rFonts w:hint="eastAsia" w:eastAsia="仿宋_GB2312"/>
          <w:sz w:val="32"/>
          <w:szCs w:val="32"/>
          <w:lang w:val="zh-CN"/>
        </w:rPr>
        <w:t>2023年社区养老服务中心等民生项</w:t>
      </w:r>
      <w:r>
        <w:rPr>
          <w:rFonts w:hint="eastAsia" w:eastAsia="仿宋_GB2312"/>
          <w:sz w:val="32"/>
          <w:szCs w:val="32"/>
          <w:lang w:val="zh-CN" w:eastAsia="zh-CN"/>
        </w:rPr>
        <w:t>目完工，政府性基金投入力度减少</w:t>
      </w:r>
      <w:r>
        <w:rPr>
          <w:rFonts w:hint="eastAsia" w:eastAsia="仿宋_GB2312"/>
          <w:sz w:val="32"/>
          <w:szCs w:val="32"/>
          <w:lang w:val="zh-CN"/>
        </w:rPr>
        <w:t>，导致</w:t>
      </w:r>
      <w:r>
        <w:rPr>
          <w:rFonts w:ascii="仿宋_GB2312" w:eastAsia="仿宋_GB2312"/>
          <w:sz w:val="32"/>
          <w:szCs w:val="32"/>
        </w:rPr>
        <w:t>用于社会福利的彩票公益金支出</w:t>
      </w:r>
      <w:r>
        <w:rPr>
          <w:rFonts w:hint="eastAsia" w:ascii="仿宋_GB2312" w:eastAsia="仿宋_GB2312"/>
          <w:sz w:val="32"/>
          <w:szCs w:val="32"/>
          <w:lang w:eastAsia="zh-CN"/>
        </w:rPr>
        <w:t>减少</w:t>
      </w:r>
      <w:r>
        <w:rPr>
          <w:rFonts w:hint="eastAsia" w:eastAsia="仿宋_GB2312"/>
          <w:sz w:val="32"/>
          <w:szCs w:val="32"/>
          <w:lang w:val="zh-CN"/>
        </w:rPr>
        <w:t>。</w:t>
      </w:r>
    </w:p>
    <w:p w14:paraId="03E67AA2">
      <w:pPr>
        <w:spacing w:line="240" w:lineRule="auto"/>
        <w:ind w:left="640"/>
        <w:rPr>
          <w:rFonts w:ascii="仿宋_GB2312" w:eastAsia="仿宋_GB2312"/>
          <w:color w:val="FF0000"/>
          <w:sz w:val="32"/>
          <w:szCs w:val="32"/>
        </w:rPr>
      </w:pPr>
    </w:p>
    <w:p w14:paraId="59E19A92">
      <w:pPr>
        <w:spacing w:line="240" w:lineRule="auto"/>
        <w:outlineLvl w:val="1"/>
        <w:rPr>
          <w:rFonts w:ascii="黑体" w:eastAsia="黑体"/>
          <w:sz w:val="32"/>
          <w:szCs w:val="32"/>
        </w:rPr>
      </w:pPr>
      <w:r>
        <w:rPr>
          <w:rFonts w:ascii="黑体" w:eastAsia="黑体"/>
          <w:sz w:val="32"/>
          <w:szCs w:val="32"/>
        </w:rPr>
        <w:t>八、国有资本经营预算财政拨款收入支出决算情况说明</w:t>
      </w:r>
    </w:p>
    <w:p w14:paraId="72C70323">
      <w:pPr>
        <w:spacing w:line="240" w:lineRule="auto"/>
        <w:ind w:firstLine="640" w:firstLineChars="200"/>
        <w:jc w:val="both"/>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52A1D73F">
      <w:pPr>
        <w:spacing w:line="240" w:lineRule="auto"/>
        <w:outlineLvl w:val="1"/>
        <w:rPr>
          <w:rFonts w:ascii="黑体" w:eastAsia="黑体"/>
          <w:sz w:val="32"/>
          <w:szCs w:val="32"/>
        </w:rPr>
      </w:pPr>
      <w:r>
        <w:rPr>
          <w:rFonts w:ascii="黑体" w:eastAsia="黑体"/>
          <w:sz w:val="32"/>
          <w:szCs w:val="32"/>
        </w:rPr>
        <w:t>九、财政拨款“三公”经费支出决算情况说明</w:t>
      </w:r>
    </w:p>
    <w:p w14:paraId="5C1D3467">
      <w:pPr>
        <w:spacing w:line="240" w:lineRule="auto"/>
        <w:ind w:firstLine="640" w:firstLineChars="200"/>
        <w:jc w:val="both"/>
        <w:rPr>
          <w:rFonts w:ascii="仿宋_GB2312" w:eastAsia="仿宋_GB2312"/>
          <w:sz w:val="32"/>
          <w:szCs w:val="32"/>
        </w:rPr>
      </w:pPr>
      <w:r>
        <w:rPr>
          <w:rFonts w:ascii="仿宋_GB2312" w:eastAsia="仿宋_GB2312"/>
          <w:sz w:val="32"/>
          <w:szCs w:val="32"/>
        </w:rPr>
        <w:t>2024年度财政拨款“三公”经费支出3.06万元，比上年增加0.85万元，增长38.46%，主要原因是：</w:t>
      </w:r>
      <w:r>
        <w:rPr>
          <w:rFonts w:hint="eastAsia" w:ascii="仿宋_GB2312" w:eastAsia="仿宋_GB2312"/>
          <w:sz w:val="32"/>
          <w:szCs w:val="32"/>
          <w:lang w:eastAsia="zh-CN"/>
        </w:rPr>
        <w:t>车辆老化车辆维修、保养成本提高，燃料费上涨等原因导致</w:t>
      </w:r>
      <w:r>
        <w:rPr>
          <w:rFonts w:ascii="仿宋_GB2312" w:eastAsia="仿宋_GB2312"/>
          <w:sz w:val="32"/>
          <w:szCs w:val="32"/>
        </w:rPr>
        <w:t>“三公”经费支出</w:t>
      </w:r>
      <w:r>
        <w:rPr>
          <w:rFonts w:hint="eastAsia" w:ascii="仿宋_GB2312" w:eastAsia="仿宋_GB2312"/>
          <w:sz w:val="32"/>
          <w:szCs w:val="32"/>
          <w:lang w:eastAsia="zh-CN"/>
        </w:rPr>
        <w:t>增加</w:t>
      </w:r>
      <w:r>
        <w:rPr>
          <w:rFonts w:ascii="仿宋_GB2312" w:eastAsia="仿宋_GB2312"/>
          <w:sz w:val="32"/>
          <w:szCs w:val="32"/>
        </w:rPr>
        <w:t>。其中：因公出国（境）费支出0.00万元,占0.00%，与上年相比无变化，主要原因是：</w:t>
      </w:r>
      <w:r>
        <w:rPr>
          <w:rFonts w:hint="eastAsia" w:ascii="仿宋_GB2312" w:eastAsia="仿宋_GB2312"/>
          <w:sz w:val="32"/>
          <w:szCs w:val="32"/>
          <w:lang w:eastAsia="zh-CN"/>
        </w:rPr>
        <w:t>2024年本单位无</w:t>
      </w:r>
      <w:r>
        <w:rPr>
          <w:rFonts w:ascii="仿宋_GB2312" w:eastAsia="仿宋_GB2312"/>
          <w:sz w:val="32"/>
          <w:szCs w:val="32"/>
        </w:rPr>
        <w:t>因公出国（境）费支出；公务用车购置及运行维护费支出3.06万元，占100.00%，比上年增加0.85万元，增长38.46%，主要原因是：</w:t>
      </w:r>
      <w:r>
        <w:rPr>
          <w:rFonts w:hint="eastAsia" w:ascii="仿宋_GB2312" w:eastAsia="仿宋_GB2312"/>
          <w:sz w:val="32"/>
          <w:szCs w:val="32"/>
          <w:lang w:eastAsia="zh-CN"/>
        </w:rPr>
        <w:t>车辆老化，车辆维修、保养成本提高，燃料费上涨等原因导致</w:t>
      </w:r>
      <w:r>
        <w:rPr>
          <w:rFonts w:ascii="仿宋_GB2312" w:eastAsia="仿宋_GB2312"/>
          <w:sz w:val="32"/>
          <w:szCs w:val="32"/>
        </w:rPr>
        <w:t>公务用车购置及运行维护费支出</w:t>
      </w:r>
      <w:r>
        <w:rPr>
          <w:rFonts w:hint="eastAsia" w:ascii="仿宋_GB2312" w:eastAsia="仿宋_GB2312"/>
          <w:sz w:val="32"/>
          <w:szCs w:val="32"/>
          <w:lang w:eastAsia="zh-CN"/>
        </w:rPr>
        <w:t>增加</w:t>
      </w:r>
      <w:r>
        <w:rPr>
          <w:rFonts w:ascii="仿宋_GB2312" w:eastAsia="仿宋_GB2312"/>
          <w:sz w:val="32"/>
          <w:szCs w:val="32"/>
        </w:rPr>
        <w:t>；公务接待费支出0.00万元，占0.00%，与上年相比无变化，主要原因是：</w:t>
      </w:r>
      <w:r>
        <w:rPr>
          <w:rFonts w:hint="eastAsia" w:ascii="仿宋_GB2312" w:eastAsia="仿宋_GB2312"/>
          <w:sz w:val="32"/>
          <w:szCs w:val="32"/>
          <w:lang w:eastAsia="zh-CN"/>
        </w:rPr>
        <w:t>2024年本单位无</w:t>
      </w:r>
      <w:r>
        <w:rPr>
          <w:rFonts w:ascii="仿宋_GB2312" w:eastAsia="仿宋_GB2312"/>
          <w:sz w:val="32"/>
          <w:szCs w:val="32"/>
        </w:rPr>
        <w:t>公务接待费支出具体情况如下：</w:t>
      </w:r>
    </w:p>
    <w:p w14:paraId="7EB5B74E">
      <w:pPr>
        <w:spacing w:line="240" w:lineRule="auto"/>
        <w:ind w:firstLine="640" w:firstLineChars="200"/>
        <w:jc w:val="both"/>
        <w:rPr>
          <w:rFonts w:ascii="仿宋_GB2312" w:eastAsia="仿宋_GB2312"/>
          <w:sz w:val="32"/>
          <w:szCs w:val="32"/>
        </w:rPr>
      </w:pPr>
      <w:r>
        <w:rPr>
          <w:rFonts w:ascii="仿宋_GB2312" w:eastAsia="仿宋_GB2312"/>
          <w:sz w:val="32"/>
          <w:szCs w:val="32"/>
        </w:rPr>
        <w:t>因公出国（境）费支出0.00万元，</w:t>
      </w:r>
      <w:r>
        <w:rPr>
          <w:rFonts w:hint="eastAsia" w:ascii="仿宋_GB2312" w:eastAsia="仿宋_GB2312"/>
          <w:sz w:val="32"/>
          <w:szCs w:val="32"/>
          <w:lang w:eastAsia="zh-CN"/>
        </w:rPr>
        <w:t>本单位无</w:t>
      </w:r>
      <w:r>
        <w:rPr>
          <w:rFonts w:ascii="仿宋_GB2312" w:eastAsia="仿宋_GB2312"/>
          <w:sz w:val="32"/>
          <w:szCs w:val="32"/>
        </w:rPr>
        <w:t>因公出国（境）费支出。单位全年安排的因公出国（境）团组0个，因公出国（境）0人次。</w:t>
      </w:r>
    </w:p>
    <w:p w14:paraId="0D15CB97">
      <w:pPr>
        <w:spacing w:line="240" w:lineRule="auto"/>
        <w:ind w:firstLine="640" w:firstLineChars="200"/>
        <w:jc w:val="both"/>
        <w:rPr>
          <w:rFonts w:ascii="仿宋_GB2312" w:eastAsia="仿宋_GB2312"/>
          <w:sz w:val="32"/>
          <w:szCs w:val="32"/>
        </w:rPr>
      </w:pPr>
      <w:r>
        <w:rPr>
          <w:rFonts w:ascii="仿宋_GB2312" w:eastAsia="仿宋_GB2312"/>
          <w:sz w:val="32"/>
          <w:szCs w:val="32"/>
        </w:rPr>
        <w:t>公务用车购置及运行维护费3.06万元，其中：公务用车购置费0.00万元，公务用车运行维护费3.06万元。公务用车运行维护费开支内容包括。公务用车购置数0辆，公务用车保有量8辆。国有资产占用情况中固定资产车辆8辆，</w:t>
      </w:r>
      <w:r>
        <w:rPr>
          <w:rFonts w:hint="eastAsia" w:ascii="仿宋_GB2312" w:eastAsia="仿宋_GB2312"/>
          <w:sz w:val="32"/>
          <w:szCs w:val="32"/>
          <w:lang w:eastAsia="zh-CN"/>
        </w:rPr>
        <w:t>无</w:t>
      </w:r>
      <w:r>
        <w:rPr>
          <w:rFonts w:ascii="仿宋_GB2312" w:eastAsia="仿宋_GB2312"/>
          <w:sz w:val="32"/>
          <w:szCs w:val="32"/>
        </w:rPr>
        <w:t>公务用车保有量差异。</w:t>
      </w:r>
    </w:p>
    <w:p w14:paraId="267C653B">
      <w:pPr>
        <w:spacing w:line="240" w:lineRule="auto"/>
        <w:ind w:firstLine="640" w:firstLineChars="200"/>
        <w:jc w:val="both"/>
        <w:rPr>
          <w:rFonts w:ascii="仿宋_GB2312" w:eastAsia="仿宋_GB2312"/>
          <w:sz w:val="32"/>
          <w:szCs w:val="32"/>
        </w:rPr>
      </w:pPr>
      <w:r>
        <w:rPr>
          <w:rFonts w:ascii="仿宋_GB2312" w:eastAsia="仿宋_GB2312"/>
          <w:sz w:val="32"/>
          <w:szCs w:val="32"/>
        </w:rPr>
        <w:t>公务接待费0.00万元，开支内容包括。单位全年安排的国内公务接待0批次，0人次。</w:t>
      </w:r>
    </w:p>
    <w:p w14:paraId="65A8A481">
      <w:pPr>
        <w:spacing w:line="240" w:lineRule="auto"/>
        <w:ind w:firstLine="640" w:firstLineChars="200"/>
        <w:jc w:val="both"/>
        <w:rPr>
          <w:rFonts w:ascii="仿宋_GB2312" w:eastAsia="仿宋_GB2312"/>
          <w:sz w:val="32"/>
          <w:szCs w:val="32"/>
        </w:rPr>
      </w:pPr>
      <w:r>
        <w:rPr>
          <w:rFonts w:ascii="仿宋_GB2312" w:eastAsia="仿宋_GB2312"/>
          <w:sz w:val="32"/>
          <w:szCs w:val="32"/>
        </w:rPr>
        <w:t>与全年预算相比，财政拨款“三公”经费支出全年预算数3.06万元，决算数3.06万元，预决算差异率0.00%，主要原因是：</w:t>
      </w:r>
      <w:r>
        <w:rPr>
          <w:rFonts w:hint="eastAsia" w:ascii="仿宋_GB2312" w:eastAsia="仿宋_GB2312"/>
          <w:sz w:val="32"/>
          <w:szCs w:val="32"/>
          <w:lang w:eastAsia="zh-CN"/>
        </w:rPr>
        <w:t>收入支出扯平无差异率</w:t>
      </w:r>
      <w:r>
        <w:rPr>
          <w:rFonts w:ascii="仿宋_GB2312" w:eastAsia="仿宋_GB2312"/>
          <w:sz w:val="32"/>
          <w:szCs w:val="32"/>
        </w:rPr>
        <w:t>。其中：因公出国（境）费全年预算数0.00万元，决算数0.00万元，预决算差异率0.00%，主要原因是：</w:t>
      </w:r>
      <w:r>
        <w:rPr>
          <w:rFonts w:hint="eastAsia" w:ascii="仿宋_GB2312" w:eastAsia="仿宋_GB2312"/>
          <w:sz w:val="32"/>
          <w:szCs w:val="32"/>
          <w:lang w:eastAsia="zh-CN"/>
        </w:rPr>
        <w:t>收入支出扯平无差异率</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lang w:eastAsia="zh-CN"/>
        </w:rPr>
        <w:t>收入支出扯平无差异率</w:t>
      </w:r>
      <w:r>
        <w:rPr>
          <w:rFonts w:ascii="仿宋_GB2312" w:eastAsia="仿宋_GB2312"/>
          <w:sz w:val="32"/>
          <w:szCs w:val="32"/>
        </w:rPr>
        <w:t>。公务用车运行维护费全年预算数3.06万元，决算数3.06万元，预决算差异率0.00%，主要原因是</w:t>
      </w:r>
      <w:r>
        <w:rPr>
          <w:rFonts w:hint="eastAsia" w:ascii="仿宋_GB2312" w:eastAsia="仿宋_GB2312"/>
          <w:sz w:val="32"/>
          <w:szCs w:val="32"/>
          <w:lang w:eastAsia="zh-CN"/>
        </w:rPr>
        <w:t>收入支出扯平无差异率</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lang w:eastAsia="zh-CN"/>
        </w:rPr>
        <w:t>收入支出扯平无差异率</w:t>
      </w:r>
      <w:r>
        <w:rPr>
          <w:rFonts w:ascii="仿宋_GB2312" w:eastAsia="仿宋_GB2312"/>
          <w:sz w:val="32"/>
          <w:szCs w:val="32"/>
        </w:rPr>
        <w:t>。</w:t>
      </w:r>
    </w:p>
    <w:p w14:paraId="24307978">
      <w:pPr>
        <w:spacing w:line="240" w:lineRule="auto"/>
        <w:outlineLvl w:val="1"/>
        <w:rPr>
          <w:rFonts w:ascii="黑体" w:eastAsia="黑体"/>
          <w:sz w:val="32"/>
          <w:szCs w:val="32"/>
        </w:rPr>
      </w:pPr>
      <w:r>
        <w:rPr>
          <w:rFonts w:ascii="黑体" w:eastAsia="黑体"/>
          <w:sz w:val="32"/>
          <w:szCs w:val="32"/>
        </w:rPr>
        <w:t>十、其他重要事项的情况说明</w:t>
      </w:r>
    </w:p>
    <w:p w14:paraId="6FB75058">
      <w:pPr>
        <w:spacing w:line="240" w:lineRule="auto"/>
        <w:ind w:firstLine="643" w:firstLineChars="200"/>
        <w:outlineLvl w:val="2"/>
        <w:rPr>
          <w:rFonts w:ascii="仿宋_GB2312" w:eastAsia="仿宋_GB2312"/>
          <w:sz w:val="32"/>
          <w:szCs w:val="32"/>
        </w:rPr>
      </w:pPr>
      <w:r>
        <w:rPr>
          <w:rFonts w:ascii="仿宋_GB2312" w:eastAsia="仿宋_GB2312"/>
          <w:b/>
          <w:sz w:val="32"/>
          <w:szCs w:val="32"/>
        </w:rPr>
        <w:t>（一）机关运行经费及公用经费支出情况</w:t>
      </w:r>
    </w:p>
    <w:p w14:paraId="0569BD85">
      <w:pPr>
        <w:spacing w:line="240" w:lineRule="auto"/>
        <w:ind w:firstLine="640" w:firstLineChars="200"/>
        <w:jc w:val="both"/>
        <w:rPr>
          <w:rFonts w:hint="default" w:ascii="仿宋_GB2312" w:eastAsia="仿宋_GB2312"/>
          <w:sz w:val="32"/>
          <w:szCs w:val="32"/>
          <w:highlight w:val="none"/>
          <w:u w:val="none"/>
          <w:lang w:val="en-US" w:eastAsia="zh-CN"/>
        </w:rPr>
      </w:pPr>
      <w:r>
        <w:rPr>
          <w:rFonts w:ascii="仿宋_GB2312" w:eastAsia="仿宋_GB2312"/>
          <w:sz w:val="32"/>
          <w:szCs w:val="32"/>
          <w:highlight w:val="none"/>
          <w:u w:val="none"/>
        </w:rPr>
        <w:t>2024年度库尔勒市民政局单位机关运行经费支出873.64万元，比上年增加720.73万元，增长471.34%，主要原因是：</w:t>
      </w:r>
      <w:r>
        <w:rPr>
          <w:rFonts w:hint="eastAsia" w:ascii="仿宋_GB2312" w:eastAsia="仿宋_GB2312"/>
          <w:sz w:val="32"/>
          <w:szCs w:val="32"/>
          <w:highlight w:val="none"/>
          <w:u w:val="none"/>
          <w:lang w:val="en-US" w:eastAsia="zh-CN"/>
        </w:rPr>
        <w:t>编制口径变化，2024年将殡仪馆业务费放置机关运行经费账目中核算。导致2024年较2023年机关运行经费增长较多。</w:t>
      </w:r>
    </w:p>
    <w:p w14:paraId="00749F16">
      <w:pPr>
        <w:spacing w:line="240" w:lineRule="auto"/>
        <w:ind w:firstLine="643" w:firstLineChars="200"/>
        <w:outlineLvl w:val="2"/>
        <w:rPr>
          <w:rFonts w:ascii="仿宋_GB2312" w:eastAsia="仿宋_GB2312"/>
          <w:sz w:val="32"/>
          <w:szCs w:val="32"/>
        </w:rPr>
      </w:pPr>
      <w:r>
        <w:rPr>
          <w:rFonts w:ascii="仿宋_GB2312" w:eastAsia="仿宋_GB2312"/>
          <w:b/>
          <w:sz w:val="32"/>
          <w:szCs w:val="32"/>
        </w:rPr>
        <w:t>（二）政府采购情况</w:t>
      </w:r>
    </w:p>
    <w:p w14:paraId="4797530B">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2024年度政府采购支出总额582.81万元，其中：政府采购货物支出10.10万元、政府采购工程支出375.00万元、政府采购服务支出197.71万元。</w:t>
      </w:r>
    </w:p>
    <w:p w14:paraId="25E66FBE">
      <w:pPr>
        <w:spacing w:line="240" w:lineRule="auto"/>
        <w:ind w:firstLine="640" w:firstLineChars="200"/>
        <w:jc w:val="both"/>
        <w:rPr>
          <w:rFonts w:ascii="仿宋_GB2312" w:eastAsia="仿宋_GB2312"/>
          <w:sz w:val="32"/>
          <w:szCs w:val="32"/>
        </w:rPr>
      </w:pPr>
      <w:r>
        <w:rPr>
          <w:rFonts w:ascii="仿宋_GB2312" w:eastAsia="仿宋_GB2312"/>
          <w:sz w:val="32"/>
          <w:szCs w:val="32"/>
        </w:rPr>
        <w:t>授予中小企业合同金额582.27万元，占政府采购支出总额的99.91%，其中：授予小微企业合同金额548.51万元，占政府采购支出总额的94.11%。</w:t>
      </w:r>
    </w:p>
    <w:p w14:paraId="5E5F31FB">
      <w:pPr>
        <w:spacing w:line="240" w:lineRule="auto"/>
        <w:ind w:firstLine="643" w:firstLineChars="200"/>
        <w:outlineLvl w:val="2"/>
        <w:rPr>
          <w:rFonts w:ascii="仿宋_GB2312" w:eastAsia="仿宋_GB2312"/>
          <w:sz w:val="32"/>
          <w:szCs w:val="32"/>
        </w:rPr>
      </w:pPr>
      <w:r>
        <w:rPr>
          <w:rFonts w:ascii="仿宋_GB2312" w:eastAsia="仿宋_GB2312"/>
          <w:b/>
          <w:sz w:val="32"/>
          <w:szCs w:val="32"/>
        </w:rPr>
        <w:t>（三）国有资产占用情况说明</w:t>
      </w:r>
    </w:p>
    <w:p w14:paraId="3DCA2F2F">
      <w:pPr>
        <w:spacing w:line="240" w:lineRule="auto"/>
        <w:ind w:firstLine="640" w:firstLineChars="200"/>
        <w:jc w:val="both"/>
        <w:rPr>
          <w:rFonts w:ascii="仿宋_GB2312" w:eastAsia="仿宋_GB2312"/>
          <w:sz w:val="32"/>
          <w:szCs w:val="32"/>
        </w:rPr>
      </w:pPr>
      <w:r>
        <w:rPr>
          <w:rFonts w:ascii="仿宋_GB2312" w:eastAsia="仿宋_GB2312"/>
          <w:sz w:val="32"/>
          <w:szCs w:val="32"/>
        </w:rPr>
        <w:t>截至2024年12月31日，房屋33,575.02平方米，价值8,187.21万元。车辆8辆，价值178.05万元，其中：副部（省）级及以上领导用车0辆、主要负责人用车0辆、机要通信用车0辆、应急保障用车0辆、执法执勤用车0辆、特种专业技术用车0辆、离退休干部服务用车0辆、其他用车8辆，其他用车主要是：</w:t>
      </w:r>
      <w:r>
        <w:rPr>
          <w:rFonts w:hint="eastAsia" w:eastAsia="仿宋_GB2312"/>
          <w:sz w:val="32"/>
          <w:szCs w:val="32"/>
          <w:lang w:val="zh-CN"/>
        </w:rPr>
        <w:t>社会福利院，救助站，殡葬服务中心</w:t>
      </w:r>
      <w:r>
        <w:rPr>
          <w:rFonts w:hint="eastAsia" w:eastAsia="仿宋_GB2312"/>
          <w:sz w:val="32"/>
          <w:szCs w:val="32"/>
          <w:lang w:val="zh-CN" w:eastAsia="zh-CN"/>
        </w:rPr>
        <w:t>，殡仪馆</w:t>
      </w:r>
      <w:r>
        <w:rPr>
          <w:rFonts w:hint="eastAsia" w:eastAsia="仿宋_GB2312"/>
          <w:sz w:val="32"/>
          <w:szCs w:val="32"/>
          <w:lang w:val="zh-CN"/>
        </w:rPr>
        <w:t>车辆</w:t>
      </w:r>
      <w:r>
        <w:rPr>
          <w:rFonts w:ascii="仿宋_GB2312" w:eastAsia="仿宋_GB2312"/>
          <w:sz w:val="32"/>
          <w:szCs w:val="32"/>
        </w:rPr>
        <w:t>;单价100万元（含）以上设备（不含车辆）3台（套）。</w:t>
      </w:r>
    </w:p>
    <w:p w14:paraId="13004789">
      <w:pPr>
        <w:spacing w:line="240" w:lineRule="auto"/>
        <w:outlineLvl w:val="1"/>
        <w:rPr>
          <w:rFonts w:ascii="黑体" w:eastAsia="黑体"/>
          <w:sz w:val="32"/>
          <w:szCs w:val="32"/>
        </w:rPr>
      </w:pPr>
      <w:r>
        <w:rPr>
          <w:rFonts w:ascii="黑体" w:eastAsia="黑体"/>
          <w:sz w:val="32"/>
          <w:szCs w:val="32"/>
        </w:rPr>
        <w:t>十一、预算绩效的情况说明</w:t>
      </w:r>
    </w:p>
    <w:p w14:paraId="4C679297">
      <w:pPr>
        <w:pStyle w:val="26"/>
        <w:snapToGrid w:val="0"/>
        <w:spacing w:line="600" w:lineRule="exact"/>
        <w:ind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w:t>
      </w:r>
      <w:r>
        <w:rPr>
          <w:rFonts w:hint="eastAsia" w:ascii="仿宋_GB2312" w:eastAsia="仿宋_GB2312"/>
          <w:sz w:val="32"/>
          <w:szCs w:val="32"/>
        </w:rPr>
        <w:t>9621.94</w:t>
      </w:r>
      <w:r>
        <w:rPr>
          <w:rFonts w:ascii="仿宋_GB2312" w:eastAsia="仿宋_GB2312"/>
          <w:sz w:val="32"/>
          <w:szCs w:val="32"/>
        </w:rPr>
        <w:t>万元，实际执行总额</w:t>
      </w:r>
      <w:r>
        <w:rPr>
          <w:rFonts w:hint="eastAsia" w:ascii="仿宋_GB2312" w:eastAsia="仿宋_GB2312"/>
          <w:sz w:val="32"/>
          <w:szCs w:val="32"/>
        </w:rPr>
        <w:t>9621.94</w:t>
      </w:r>
      <w:r>
        <w:rPr>
          <w:rFonts w:ascii="仿宋_GB2312" w:eastAsia="仿宋_GB2312"/>
          <w:sz w:val="32"/>
          <w:szCs w:val="32"/>
        </w:rPr>
        <w:t>万元；预算绩效评价项目</w:t>
      </w:r>
      <w:r>
        <w:rPr>
          <w:rFonts w:hint="eastAsia" w:ascii="仿宋_GB2312" w:eastAsia="仿宋_GB2312"/>
          <w:sz w:val="32"/>
          <w:szCs w:val="32"/>
        </w:rPr>
        <w:t>3</w:t>
      </w:r>
      <w:bookmarkStart w:id="0" w:name="_GoBack"/>
      <w:bookmarkEnd w:id="0"/>
      <w:r>
        <w:rPr>
          <w:rFonts w:hint="eastAsia" w:ascii="仿宋_GB2312" w:eastAsia="仿宋_GB2312"/>
          <w:sz w:val="32"/>
          <w:szCs w:val="32"/>
        </w:rPr>
        <w:t>0</w:t>
      </w:r>
      <w:r>
        <w:rPr>
          <w:rFonts w:ascii="仿宋_GB2312" w:eastAsia="仿宋_GB2312"/>
          <w:sz w:val="32"/>
          <w:szCs w:val="32"/>
        </w:rPr>
        <w:t>个，全年预算数</w:t>
      </w:r>
      <w:r>
        <w:rPr>
          <w:rFonts w:hint="eastAsia" w:ascii="仿宋_GB2312" w:eastAsia="仿宋_GB2312"/>
          <w:sz w:val="32"/>
          <w:szCs w:val="32"/>
        </w:rPr>
        <w:t>7235.90</w:t>
      </w:r>
      <w:r>
        <w:rPr>
          <w:rFonts w:ascii="仿宋_GB2312" w:eastAsia="仿宋_GB2312"/>
          <w:sz w:val="32"/>
          <w:szCs w:val="32"/>
        </w:rPr>
        <w:t>万元，全年执行数</w:t>
      </w:r>
      <w:r>
        <w:rPr>
          <w:rFonts w:hint="eastAsia" w:ascii="仿宋_GB2312" w:eastAsia="仿宋_GB2312"/>
          <w:sz w:val="32"/>
          <w:szCs w:val="32"/>
        </w:rPr>
        <w:t>5519.63</w:t>
      </w:r>
      <w:r>
        <w:rPr>
          <w:rFonts w:ascii="仿宋_GB2312" w:eastAsia="仿宋_GB2312"/>
          <w:sz w:val="32"/>
          <w:szCs w:val="32"/>
        </w:rPr>
        <w:t>万元。预算绩效管理取得的成效：</w:t>
      </w:r>
      <w:r>
        <w:rPr>
          <w:rFonts w:hint="eastAsia" w:ascii="仿宋_GB2312" w:eastAsia="仿宋_GB2312"/>
          <w:sz w:val="32"/>
          <w:szCs w:val="32"/>
        </w:rPr>
        <w:t>一是通过单位正常运转，提高了经济运行实现质的有效提升和量的合理增长；二是为更好的实施该项目，明确职责，制定推进计划，加强过程督导，全面完成了我单位年初制定的工作目标任务。发现的问题及原因：一是项目实施计划容易受到突发事件等不可抗力影响，导致任务完成时间推迟或质量不够好，主要原因是未制定备选方案或未及时谋划，及时应变；二是在绩效监控方面，对项目实施中存在的具体问题、采取的纠偏措施反映的还不够，有时不能及时、客观地反映项目的支出绩效；下一步改进措施：一是强化支出预算约束。进一步提高年初预算编制的科学性和准确性，完成预算执行动态约束机制，加强财政预算资金管理，统筹协调推进项目执行，提高财政资金效益和效果；二是，遇到突发问题制定备选方案或未及时谋划，及时应变，下一步将进一步做好顶层设计，灵活开展工作。具体项目自评情况附绩效自评表及自评报告。</w:t>
      </w:r>
    </w:p>
    <w:p w14:paraId="364378ED">
      <w:pPr>
        <w:spacing w:line="240" w:lineRule="auto"/>
        <w:ind w:firstLine="640" w:firstLineChars="200"/>
        <w:jc w:val="both"/>
        <w:rPr>
          <w:rFonts w:ascii="仿宋_GB2312" w:eastAsia="仿宋_GB2312"/>
          <w:sz w:val="32"/>
          <w:szCs w:val="32"/>
        </w:rPr>
      </w:pPr>
      <w:r>
        <w:rPr>
          <w:rFonts w:ascii="仿宋_GB2312" w:eastAsia="仿宋_GB2312"/>
          <w:sz w:val="32"/>
          <w:szCs w:val="32"/>
        </w:rPr>
        <w:t>具体附部门整体支出绩效自评表，项目支出绩效自评表和部门评价报告。</w:t>
      </w:r>
    </w:p>
    <w:p w14:paraId="556A4762">
      <w:pPr>
        <w:spacing w:line="240" w:lineRule="auto"/>
        <w:outlineLvl w:val="1"/>
        <w:rPr>
          <w:rFonts w:ascii="黑体" w:eastAsia="黑体"/>
          <w:sz w:val="32"/>
          <w:szCs w:val="32"/>
        </w:rPr>
      </w:pPr>
      <w:r>
        <w:rPr>
          <w:rFonts w:ascii="黑体" w:eastAsia="黑体"/>
          <w:sz w:val="32"/>
          <w:szCs w:val="32"/>
        </w:rPr>
        <w:t>十二、其他需说明的事项</w:t>
      </w:r>
    </w:p>
    <w:p w14:paraId="439F24CD">
      <w:pPr>
        <w:spacing w:line="240" w:lineRule="auto"/>
        <w:ind w:firstLine="640" w:firstLineChars="200"/>
        <w:jc w:val="both"/>
        <w:rPr>
          <w:rFonts w:ascii="仿宋_GB2312" w:eastAsia="仿宋_GB2312"/>
          <w:sz w:val="32"/>
          <w:szCs w:val="32"/>
        </w:rPr>
      </w:pPr>
      <w:r>
        <w:rPr>
          <w:rFonts w:ascii="仿宋_GB2312" w:eastAsia="仿宋_GB2312"/>
          <w:sz w:val="32"/>
          <w:szCs w:val="32"/>
        </w:rPr>
        <w:t>本单位无其他需说明事项。</w:t>
      </w:r>
    </w:p>
    <w:p w14:paraId="22A4B715">
      <w:pPr>
        <w:spacing w:line="240" w:lineRule="auto"/>
        <w:ind w:firstLine="640" w:firstLineChars="200"/>
        <w:rPr>
          <w:rFonts w:ascii="仿宋_GB2312" w:eastAsia="仿宋_GB2312"/>
          <w:color w:val="FF0000"/>
          <w:sz w:val="32"/>
          <w:szCs w:val="32"/>
        </w:rPr>
      </w:pPr>
    </w:p>
    <w:p w14:paraId="5F1C20CF">
      <w:pPr>
        <w:rPr>
          <w:color w:val="FF0000"/>
        </w:rPr>
      </w:pPr>
      <w:r>
        <w:rPr>
          <w:color w:val="FF0000"/>
          <w:sz w:val="0"/>
          <w:szCs w:val="0"/>
        </w:rPr>
        <w:br w:type="page"/>
      </w:r>
    </w:p>
    <w:p w14:paraId="6D906730">
      <w:pPr>
        <w:spacing w:line="240" w:lineRule="auto"/>
        <w:jc w:val="center"/>
        <w:outlineLvl w:val="0"/>
        <w:rPr>
          <w:rFonts w:ascii="黑体" w:eastAsia="黑体"/>
          <w:sz w:val="32"/>
          <w:szCs w:val="32"/>
        </w:rPr>
      </w:pPr>
      <w:r>
        <w:rPr>
          <w:rFonts w:ascii="黑体" w:eastAsia="黑体"/>
          <w:sz w:val="32"/>
          <w:szCs w:val="32"/>
        </w:rPr>
        <w:t>第三部分专业名词解释</w:t>
      </w:r>
    </w:p>
    <w:p w14:paraId="5B517717">
      <w:pPr>
        <w:spacing w:line="240" w:lineRule="auto"/>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158B25CE">
      <w:pPr>
        <w:spacing w:line="240" w:lineRule="auto"/>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14DD01C2">
      <w:pPr>
        <w:spacing w:line="240" w:lineRule="auto"/>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5546FFAD">
      <w:pPr>
        <w:spacing w:line="240" w:lineRule="auto"/>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7B66F005">
      <w:pPr>
        <w:spacing w:line="240" w:lineRule="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38E229B8">
      <w:pPr>
        <w:spacing w:line="240" w:lineRule="auto"/>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14:paraId="2531B743">
      <w:pPr>
        <w:spacing w:line="240" w:lineRule="auto"/>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B5C63F8">
      <w:pPr>
        <w:spacing w:line="240" w:lineRule="auto"/>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541072">
      <w:pPr>
        <w:spacing w:line="240" w:lineRule="auto"/>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20385AE3">
      <w:pPr>
        <w:spacing w:line="240" w:lineRule="auto"/>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038F5338">
      <w:pPr>
        <w:spacing w:line="240" w:lineRule="auto"/>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3109352A">
      <w:pPr>
        <w:spacing w:line="240" w:lineRule="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502EEF80">
      <w:pPr>
        <w:spacing w:line="240" w:lineRule="auto"/>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66B9C8">
      <w:pPr>
        <w:spacing w:line="240" w:lineRule="auto"/>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5819A7CE">
      <w:r>
        <w:rPr>
          <w:sz w:val="0"/>
          <w:szCs w:val="0"/>
        </w:rPr>
        <w:br w:type="page"/>
      </w:r>
    </w:p>
    <w:p w14:paraId="3ED4430E">
      <w:pPr>
        <w:spacing w:line="240" w:lineRule="auto"/>
        <w:jc w:val="center"/>
        <w:outlineLvl w:val="0"/>
        <w:rPr>
          <w:rFonts w:ascii="黑体" w:eastAsia="黑体"/>
          <w:sz w:val="32"/>
          <w:szCs w:val="32"/>
        </w:rPr>
      </w:pPr>
      <w:r>
        <w:rPr>
          <w:rFonts w:ascii="黑体" w:eastAsia="黑体"/>
          <w:sz w:val="32"/>
          <w:szCs w:val="32"/>
        </w:rPr>
        <w:t>第四部分部门决算报表（见附表）</w:t>
      </w:r>
    </w:p>
    <w:p w14:paraId="130864FB">
      <w:pPr>
        <w:spacing w:line="240" w:lineRule="auto"/>
        <w:ind w:firstLine="640" w:firstLineChars="200"/>
        <w:outlineLvl w:val="1"/>
        <w:rPr>
          <w:rFonts w:ascii="仿宋_GB2312" w:eastAsia="仿宋_GB2312"/>
          <w:sz w:val="32"/>
          <w:szCs w:val="32"/>
        </w:rPr>
      </w:pPr>
      <w:r>
        <w:rPr>
          <w:rFonts w:ascii="仿宋_GB2312" w:eastAsia="仿宋_GB2312"/>
          <w:sz w:val="32"/>
          <w:szCs w:val="32"/>
        </w:rPr>
        <w:t>一、《收入支出决算总表》</w:t>
      </w:r>
    </w:p>
    <w:p w14:paraId="351E4BA0">
      <w:pPr>
        <w:spacing w:line="240" w:lineRule="auto"/>
        <w:ind w:firstLine="640" w:firstLineChars="200"/>
        <w:outlineLvl w:val="1"/>
        <w:rPr>
          <w:rFonts w:ascii="仿宋_GB2312" w:eastAsia="仿宋_GB2312"/>
          <w:sz w:val="32"/>
          <w:szCs w:val="32"/>
        </w:rPr>
      </w:pPr>
      <w:r>
        <w:rPr>
          <w:rFonts w:ascii="仿宋_GB2312" w:eastAsia="仿宋_GB2312"/>
          <w:sz w:val="32"/>
          <w:szCs w:val="32"/>
        </w:rPr>
        <w:t>二、《收入决算表》</w:t>
      </w:r>
    </w:p>
    <w:p w14:paraId="4553AAE0">
      <w:pPr>
        <w:spacing w:line="240" w:lineRule="auto"/>
        <w:ind w:firstLine="640" w:firstLineChars="200"/>
        <w:outlineLvl w:val="1"/>
        <w:rPr>
          <w:rFonts w:ascii="仿宋_GB2312" w:eastAsia="仿宋_GB2312"/>
          <w:sz w:val="32"/>
          <w:szCs w:val="32"/>
        </w:rPr>
      </w:pPr>
      <w:r>
        <w:rPr>
          <w:rFonts w:ascii="仿宋_GB2312" w:eastAsia="仿宋_GB2312"/>
          <w:sz w:val="32"/>
          <w:szCs w:val="32"/>
        </w:rPr>
        <w:t>三、《支出决算表》</w:t>
      </w:r>
    </w:p>
    <w:p w14:paraId="1B1E27F9">
      <w:pPr>
        <w:spacing w:line="240" w:lineRule="auto"/>
        <w:ind w:firstLine="640" w:firstLineChars="200"/>
        <w:outlineLvl w:val="1"/>
        <w:rPr>
          <w:rFonts w:ascii="仿宋_GB2312" w:eastAsia="仿宋_GB2312"/>
          <w:sz w:val="32"/>
          <w:szCs w:val="32"/>
        </w:rPr>
      </w:pPr>
      <w:r>
        <w:rPr>
          <w:rFonts w:ascii="仿宋_GB2312" w:eastAsia="仿宋_GB2312"/>
          <w:sz w:val="32"/>
          <w:szCs w:val="32"/>
        </w:rPr>
        <w:t>四、《财政拨款收入支出决算总表》</w:t>
      </w:r>
    </w:p>
    <w:p w14:paraId="07C93D65">
      <w:pPr>
        <w:spacing w:line="240" w:lineRule="auto"/>
        <w:ind w:firstLine="640" w:firstLineChars="200"/>
        <w:outlineLvl w:val="1"/>
        <w:rPr>
          <w:rFonts w:ascii="仿宋_GB2312" w:eastAsia="仿宋_GB2312"/>
          <w:sz w:val="32"/>
          <w:szCs w:val="32"/>
        </w:rPr>
      </w:pPr>
      <w:r>
        <w:rPr>
          <w:rFonts w:ascii="仿宋_GB2312" w:eastAsia="仿宋_GB2312"/>
          <w:sz w:val="32"/>
          <w:szCs w:val="32"/>
        </w:rPr>
        <w:t>五、《一般公共预算财政拨款支出决算表》</w:t>
      </w:r>
    </w:p>
    <w:p w14:paraId="247754E8">
      <w:pPr>
        <w:spacing w:line="240" w:lineRule="auto"/>
        <w:ind w:firstLine="640" w:firstLineChars="200"/>
        <w:outlineLvl w:val="1"/>
        <w:rPr>
          <w:rFonts w:ascii="仿宋_GB2312" w:eastAsia="仿宋_GB2312"/>
          <w:sz w:val="32"/>
          <w:szCs w:val="32"/>
        </w:rPr>
      </w:pPr>
      <w:r>
        <w:rPr>
          <w:rFonts w:ascii="仿宋_GB2312" w:eastAsia="仿宋_GB2312"/>
          <w:sz w:val="32"/>
          <w:szCs w:val="32"/>
        </w:rPr>
        <w:t>六、《一般公共预算财政拨款基本支出决算表》</w:t>
      </w:r>
    </w:p>
    <w:p w14:paraId="2B850876">
      <w:pPr>
        <w:spacing w:line="240" w:lineRule="auto"/>
        <w:ind w:firstLine="640" w:firstLineChars="200"/>
        <w:outlineLvl w:val="1"/>
        <w:rPr>
          <w:rFonts w:ascii="仿宋_GB2312" w:eastAsia="仿宋_GB2312"/>
          <w:sz w:val="32"/>
          <w:szCs w:val="32"/>
        </w:rPr>
      </w:pPr>
      <w:r>
        <w:rPr>
          <w:rFonts w:ascii="仿宋_GB2312" w:eastAsia="仿宋_GB2312"/>
          <w:sz w:val="32"/>
          <w:szCs w:val="32"/>
        </w:rPr>
        <w:t>七、《政府性基金预算财政拨款收入支出决算表》</w:t>
      </w:r>
    </w:p>
    <w:p w14:paraId="670F9EA1">
      <w:pPr>
        <w:spacing w:line="240" w:lineRule="auto"/>
        <w:ind w:firstLine="640" w:firstLineChars="200"/>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4B184173">
      <w:pPr>
        <w:spacing w:line="240" w:lineRule="auto"/>
        <w:ind w:firstLine="640" w:firstLineChars="200"/>
        <w:outlineLvl w:val="1"/>
        <w:rPr>
          <w:rFonts w:ascii="仿宋_GB2312" w:eastAsia="仿宋_GB2312"/>
          <w:sz w:val="32"/>
          <w:szCs w:val="32"/>
        </w:rPr>
      </w:pPr>
      <w:r>
        <w:rPr>
          <w:rFonts w:ascii="仿宋_GB2312" w:eastAsia="仿宋_GB2312"/>
          <w:sz w:val="32"/>
          <w:szCs w:val="32"/>
        </w:rPr>
        <w:t>九、《财政拨款“三公”经费支出决算表》</w:t>
      </w:r>
    </w:p>
    <w:p w14:paraId="139FE257">
      <w:pPr>
        <w:spacing w:line="240" w:lineRule="auto"/>
        <w:ind w:firstLine="640" w:firstLineChars="200"/>
        <w:outlineLvl w:val="1"/>
        <w:rPr>
          <w:rFonts w:ascii="仿宋_GB2312" w:eastAsia="仿宋_GB2312"/>
          <w:sz w:val="32"/>
          <w:szCs w:val="32"/>
        </w:rPr>
      </w:pPr>
    </w:p>
    <w:p w14:paraId="51F1B673">
      <w:pPr>
        <w:spacing w:line="240" w:lineRule="auto"/>
        <w:ind w:firstLine="640" w:firstLineChars="200"/>
        <w:outlineLvl w:val="1"/>
        <w:rPr>
          <w:rFonts w:ascii="仿宋_GB2312" w:eastAsia="仿宋_GB2312"/>
          <w:sz w:val="32"/>
          <w:szCs w:val="32"/>
        </w:rPr>
      </w:pPr>
    </w:p>
    <w:p w14:paraId="53E50616">
      <w:pPr>
        <w:spacing w:line="240" w:lineRule="auto"/>
        <w:ind w:firstLine="640" w:firstLineChars="200"/>
        <w:outlineLvl w:val="1"/>
        <w:rPr>
          <w:rFonts w:ascii="仿宋_GB2312" w:eastAsia="仿宋_GB2312"/>
          <w:sz w:val="32"/>
          <w:szCs w:val="32"/>
        </w:rPr>
      </w:pPr>
    </w:p>
    <w:p w14:paraId="2052F760">
      <w:pPr>
        <w:spacing w:line="240" w:lineRule="auto"/>
        <w:ind w:firstLine="640" w:firstLineChars="200"/>
        <w:outlineLvl w:val="1"/>
        <w:rPr>
          <w:rFonts w:ascii="仿宋_GB2312" w:eastAsia="仿宋_GB2312"/>
          <w:sz w:val="32"/>
          <w:szCs w:val="32"/>
        </w:rPr>
      </w:pPr>
    </w:p>
    <w:p w14:paraId="72FF81EA">
      <w:pPr>
        <w:spacing w:line="240" w:lineRule="auto"/>
        <w:ind w:firstLine="640" w:firstLineChars="200"/>
        <w:outlineLvl w:val="1"/>
        <w:rPr>
          <w:rFonts w:ascii="仿宋_GB2312" w:eastAsia="仿宋_GB2312"/>
          <w:sz w:val="32"/>
          <w:szCs w:val="32"/>
        </w:rPr>
      </w:pPr>
    </w:p>
    <w:p w14:paraId="032AEAE4">
      <w:pPr>
        <w:spacing w:line="240" w:lineRule="auto"/>
        <w:ind w:firstLine="640" w:firstLineChars="200"/>
        <w:outlineLvl w:val="1"/>
        <w:rPr>
          <w:rFonts w:ascii="仿宋_GB2312" w:eastAsia="仿宋_GB2312"/>
          <w:sz w:val="32"/>
          <w:szCs w:val="32"/>
        </w:rPr>
      </w:pPr>
    </w:p>
    <w:p w14:paraId="7BF8EF4C">
      <w:pPr>
        <w:spacing w:line="240" w:lineRule="auto"/>
        <w:ind w:firstLine="640" w:firstLineChars="200"/>
        <w:outlineLvl w:val="1"/>
        <w:rPr>
          <w:rFonts w:ascii="仿宋_GB2312" w:eastAsia="仿宋_GB2312"/>
          <w:sz w:val="32"/>
          <w:szCs w:val="32"/>
        </w:rPr>
      </w:pPr>
    </w:p>
    <w:p w14:paraId="0879673C">
      <w:pPr>
        <w:spacing w:line="240" w:lineRule="auto"/>
        <w:ind w:firstLine="640" w:firstLineChars="200"/>
        <w:outlineLvl w:val="1"/>
        <w:rPr>
          <w:rFonts w:ascii="仿宋_GB2312" w:eastAsia="仿宋_GB2312"/>
          <w:sz w:val="32"/>
          <w:szCs w:val="32"/>
        </w:rPr>
      </w:pPr>
    </w:p>
    <w:p w14:paraId="2DD894AE">
      <w:pPr>
        <w:spacing w:line="240" w:lineRule="auto"/>
        <w:ind w:firstLine="640" w:firstLineChars="200"/>
        <w:outlineLvl w:val="1"/>
        <w:rPr>
          <w:rFonts w:ascii="仿宋_GB2312" w:eastAsia="仿宋_GB2312"/>
          <w:sz w:val="32"/>
          <w:szCs w:val="32"/>
        </w:rPr>
      </w:pPr>
    </w:p>
    <w:p w14:paraId="49600FD8">
      <w:pPr>
        <w:spacing w:line="240" w:lineRule="auto"/>
        <w:ind w:firstLine="640" w:firstLineChars="200"/>
        <w:outlineLvl w:val="1"/>
        <w:rPr>
          <w:rFonts w:ascii="仿宋_GB2312" w:eastAsia="仿宋_GB2312"/>
          <w:sz w:val="32"/>
          <w:szCs w:val="32"/>
        </w:rPr>
      </w:pPr>
    </w:p>
    <w:p w14:paraId="37D6C0F7">
      <w:pPr>
        <w:spacing w:line="240" w:lineRule="auto"/>
        <w:ind w:firstLine="640" w:firstLineChars="200"/>
        <w:outlineLvl w:val="1"/>
        <w:rPr>
          <w:rFonts w:ascii="仿宋_GB2312" w:eastAsia="仿宋_GB2312"/>
          <w:sz w:val="32"/>
          <w:szCs w:val="32"/>
        </w:rPr>
      </w:pPr>
    </w:p>
    <w:p w14:paraId="28A76930">
      <w:pPr>
        <w:spacing w:line="240" w:lineRule="auto"/>
        <w:ind w:firstLine="440" w:firstLineChars="200"/>
        <w:outlineLvl w:val="1"/>
        <w:rPr>
          <w:rFonts w:ascii="仿宋_GB2312" w:eastAsia="仿宋_GB2312"/>
          <w:sz w:val="32"/>
          <w:szCs w:val="32"/>
        </w:rPr>
      </w:pPr>
      <w:r>
        <w:rPr>
          <w:lang w:eastAsia="zh-CN"/>
        </w:rPr>
        <w:drawing>
          <wp:inline distT="0" distB="0" distL="114300" distR="114300">
            <wp:extent cx="5479415" cy="4791710"/>
            <wp:effectExtent l="0" t="0" r="698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cstate="print"/>
                    <a:stretch>
                      <a:fillRect/>
                    </a:stretch>
                  </pic:blipFill>
                  <pic:spPr>
                    <a:xfrm>
                      <a:off x="0" y="0"/>
                      <a:ext cx="5479415" cy="4791710"/>
                    </a:xfrm>
                    <a:prstGeom prst="rect">
                      <a:avLst/>
                    </a:prstGeom>
                    <a:noFill/>
                    <a:ln>
                      <a:noFill/>
                    </a:ln>
                  </pic:spPr>
                </pic:pic>
              </a:graphicData>
            </a:graphic>
          </wp:inline>
        </w:drawing>
      </w:r>
    </w:p>
    <w:p w14:paraId="4B2ECE51">
      <w:pPr>
        <w:spacing w:line="240" w:lineRule="auto"/>
        <w:ind w:firstLine="640" w:firstLineChars="200"/>
        <w:outlineLvl w:val="1"/>
        <w:rPr>
          <w:rFonts w:ascii="仿宋_GB2312" w:eastAsia="仿宋_GB2312"/>
          <w:sz w:val="32"/>
          <w:szCs w:val="32"/>
        </w:rPr>
      </w:pPr>
    </w:p>
    <w:p w14:paraId="23875199">
      <w:pPr>
        <w:spacing w:line="240" w:lineRule="auto"/>
        <w:ind w:firstLine="640" w:firstLineChars="200"/>
        <w:outlineLvl w:val="1"/>
        <w:rPr>
          <w:rFonts w:ascii="仿宋_GB2312" w:eastAsia="仿宋_GB2312"/>
          <w:sz w:val="32"/>
          <w:szCs w:val="32"/>
        </w:rPr>
      </w:pPr>
    </w:p>
    <w:p w14:paraId="70CAEDB1">
      <w:pPr>
        <w:spacing w:line="240" w:lineRule="auto"/>
        <w:ind w:firstLine="640" w:firstLineChars="200"/>
        <w:outlineLvl w:val="1"/>
        <w:rPr>
          <w:rFonts w:ascii="仿宋_GB2312" w:eastAsia="仿宋_GB2312"/>
          <w:sz w:val="32"/>
          <w:szCs w:val="32"/>
        </w:rPr>
      </w:pPr>
    </w:p>
    <w:p w14:paraId="1E6F1114">
      <w:pPr>
        <w:spacing w:line="240" w:lineRule="auto"/>
        <w:ind w:firstLine="640" w:firstLineChars="200"/>
        <w:outlineLvl w:val="1"/>
        <w:rPr>
          <w:rFonts w:ascii="仿宋_GB2312" w:eastAsia="仿宋_GB2312"/>
          <w:sz w:val="32"/>
          <w:szCs w:val="32"/>
        </w:rPr>
      </w:pPr>
    </w:p>
    <w:p w14:paraId="47614C77">
      <w:pPr>
        <w:spacing w:line="240" w:lineRule="auto"/>
        <w:ind w:firstLine="640" w:firstLineChars="200"/>
        <w:outlineLvl w:val="1"/>
        <w:rPr>
          <w:rFonts w:ascii="仿宋_GB2312" w:eastAsia="仿宋_GB2312"/>
          <w:sz w:val="32"/>
          <w:szCs w:val="32"/>
        </w:rPr>
      </w:pPr>
    </w:p>
    <w:p w14:paraId="3B5A8CB6">
      <w:pPr>
        <w:spacing w:line="240" w:lineRule="auto"/>
        <w:ind w:firstLine="640" w:firstLineChars="200"/>
        <w:outlineLvl w:val="1"/>
        <w:rPr>
          <w:rFonts w:ascii="仿宋_GB2312" w:eastAsia="仿宋_GB2312"/>
          <w:sz w:val="32"/>
          <w:szCs w:val="32"/>
        </w:rPr>
      </w:pPr>
    </w:p>
    <w:p w14:paraId="62D06DFC">
      <w:pPr>
        <w:spacing w:line="240" w:lineRule="auto"/>
        <w:ind w:firstLine="640" w:firstLineChars="200"/>
        <w:outlineLvl w:val="1"/>
        <w:rPr>
          <w:rFonts w:ascii="仿宋_GB2312" w:eastAsia="仿宋_GB2312"/>
          <w:sz w:val="32"/>
          <w:szCs w:val="32"/>
        </w:rPr>
      </w:pPr>
    </w:p>
    <w:p w14:paraId="091CDC46">
      <w:pPr>
        <w:spacing w:line="240" w:lineRule="auto"/>
        <w:ind w:firstLine="640" w:firstLineChars="200"/>
        <w:outlineLvl w:val="1"/>
        <w:rPr>
          <w:rFonts w:ascii="仿宋_GB2312" w:eastAsia="仿宋_GB2312"/>
          <w:sz w:val="32"/>
          <w:szCs w:val="32"/>
        </w:rPr>
      </w:pPr>
    </w:p>
    <w:p w14:paraId="6A2768A2">
      <w:pPr>
        <w:spacing w:line="240" w:lineRule="auto"/>
        <w:ind w:firstLine="440" w:firstLineChars="200"/>
        <w:outlineLvl w:val="1"/>
      </w:pPr>
      <w:r>
        <w:rPr>
          <w:lang w:eastAsia="zh-CN"/>
        </w:rPr>
        <w:drawing>
          <wp:inline distT="0" distB="0" distL="114300" distR="114300">
            <wp:extent cx="5480050" cy="6050280"/>
            <wp:effectExtent l="0" t="0" r="635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grayscl/>
                    </a:blip>
                    <a:stretch>
                      <a:fillRect/>
                    </a:stretch>
                  </pic:blipFill>
                  <pic:spPr>
                    <a:xfrm>
                      <a:off x="0" y="0"/>
                      <a:ext cx="5480050" cy="6050280"/>
                    </a:xfrm>
                    <a:prstGeom prst="rect">
                      <a:avLst/>
                    </a:prstGeom>
                    <a:noFill/>
                    <a:ln>
                      <a:noFill/>
                    </a:ln>
                  </pic:spPr>
                </pic:pic>
              </a:graphicData>
            </a:graphic>
          </wp:inline>
        </w:drawing>
      </w:r>
    </w:p>
    <w:p w14:paraId="6C421DD6">
      <w:pPr>
        <w:spacing w:line="240" w:lineRule="auto"/>
        <w:ind w:firstLine="440" w:firstLineChars="200"/>
        <w:outlineLvl w:val="1"/>
      </w:pPr>
    </w:p>
    <w:p w14:paraId="32DDA8E6">
      <w:pPr>
        <w:spacing w:line="240" w:lineRule="auto"/>
        <w:ind w:firstLine="440" w:firstLineChars="200"/>
        <w:outlineLvl w:val="1"/>
      </w:pPr>
    </w:p>
    <w:p w14:paraId="074763CE">
      <w:pPr>
        <w:spacing w:line="240" w:lineRule="auto"/>
        <w:ind w:firstLine="440" w:firstLineChars="200"/>
        <w:outlineLvl w:val="1"/>
      </w:pPr>
    </w:p>
    <w:p w14:paraId="076040B7">
      <w:pPr>
        <w:spacing w:line="240" w:lineRule="auto"/>
        <w:ind w:firstLine="440" w:firstLineChars="200"/>
        <w:outlineLvl w:val="1"/>
      </w:pPr>
    </w:p>
    <w:p w14:paraId="16D23D89">
      <w:pPr>
        <w:spacing w:line="240" w:lineRule="auto"/>
        <w:ind w:firstLine="440" w:firstLineChars="200"/>
        <w:outlineLvl w:val="1"/>
      </w:pPr>
    </w:p>
    <w:p w14:paraId="4D359F29">
      <w:pPr>
        <w:spacing w:line="240" w:lineRule="auto"/>
        <w:ind w:firstLine="440" w:firstLineChars="200"/>
        <w:outlineLvl w:val="1"/>
      </w:pPr>
    </w:p>
    <w:p w14:paraId="7A33211F">
      <w:pPr>
        <w:spacing w:line="240" w:lineRule="auto"/>
        <w:ind w:firstLine="440" w:firstLineChars="200"/>
        <w:outlineLvl w:val="1"/>
      </w:pPr>
    </w:p>
    <w:p w14:paraId="3E363679">
      <w:pPr>
        <w:spacing w:line="240" w:lineRule="auto"/>
        <w:ind w:firstLine="440" w:firstLineChars="200"/>
        <w:outlineLvl w:val="1"/>
      </w:pPr>
      <w:r>
        <w:rPr>
          <w:lang w:eastAsia="zh-CN"/>
        </w:rPr>
        <w:drawing>
          <wp:inline distT="0" distB="0" distL="114300" distR="114300">
            <wp:extent cx="5485765" cy="7341235"/>
            <wp:effectExtent l="0" t="0" r="635"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grayscl/>
                    </a:blip>
                    <a:stretch>
                      <a:fillRect/>
                    </a:stretch>
                  </pic:blipFill>
                  <pic:spPr>
                    <a:xfrm>
                      <a:off x="0" y="0"/>
                      <a:ext cx="5485765" cy="7341235"/>
                    </a:xfrm>
                    <a:prstGeom prst="rect">
                      <a:avLst/>
                    </a:prstGeom>
                    <a:noFill/>
                    <a:ln>
                      <a:noFill/>
                    </a:ln>
                  </pic:spPr>
                </pic:pic>
              </a:graphicData>
            </a:graphic>
          </wp:inline>
        </w:drawing>
      </w:r>
    </w:p>
    <w:p w14:paraId="2BDC0BEF">
      <w:pPr>
        <w:spacing w:line="240" w:lineRule="auto"/>
        <w:ind w:firstLine="440" w:firstLineChars="200"/>
        <w:outlineLvl w:val="1"/>
      </w:pPr>
    </w:p>
    <w:p w14:paraId="26100B7F">
      <w:pPr>
        <w:spacing w:line="240" w:lineRule="auto"/>
        <w:ind w:firstLine="440" w:firstLineChars="200"/>
        <w:outlineLvl w:val="1"/>
      </w:pPr>
    </w:p>
    <w:p w14:paraId="725A1B98">
      <w:pPr>
        <w:spacing w:line="240" w:lineRule="auto"/>
        <w:ind w:firstLine="440" w:firstLineChars="200"/>
        <w:outlineLvl w:val="1"/>
      </w:pPr>
      <w:r>
        <w:rPr>
          <w:lang w:eastAsia="zh-CN"/>
        </w:rPr>
        <w:drawing>
          <wp:inline distT="0" distB="0" distL="114300" distR="114300">
            <wp:extent cx="5485130" cy="3762375"/>
            <wp:effectExtent l="0" t="0" r="127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stretch>
                      <a:fillRect/>
                    </a:stretch>
                  </pic:blipFill>
                  <pic:spPr>
                    <a:xfrm>
                      <a:off x="0" y="0"/>
                      <a:ext cx="5485130" cy="3762375"/>
                    </a:xfrm>
                    <a:prstGeom prst="rect">
                      <a:avLst/>
                    </a:prstGeom>
                    <a:noFill/>
                    <a:ln>
                      <a:noFill/>
                    </a:ln>
                  </pic:spPr>
                </pic:pic>
              </a:graphicData>
            </a:graphic>
          </wp:inline>
        </w:drawing>
      </w:r>
    </w:p>
    <w:p w14:paraId="3B547B78">
      <w:pPr>
        <w:spacing w:line="240" w:lineRule="auto"/>
        <w:ind w:firstLine="440" w:firstLineChars="200"/>
        <w:outlineLvl w:val="1"/>
      </w:pPr>
    </w:p>
    <w:p w14:paraId="17B4916B">
      <w:pPr>
        <w:spacing w:line="240" w:lineRule="auto"/>
        <w:ind w:firstLine="440" w:firstLineChars="200"/>
        <w:outlineLvl w:val="1"/>
      </w:pPr>
    </w:p>
    <w:p w14:paraId="6FDE7DE0">
      <w:pPr>
        <w:spacing w:line="240" w:lineRule="auto"/>
        <w:ind w:firstLine="440" w:firstLineChars="200"/>
        <w:outlineLvl w:val="1"/>
      </w:pPr>
    </w:p>
    <w:p w14:paraId="623DE1BB">
      <w:pPr>
        <w:spacing w:line="240" w:lineRule="auto"/>
        <w:ind w:firstLine="440" w:firstLineChars="200"/>
        <w:outlineLvl w:val="1"/>
      </w:pPr>
    </w:p>
    <w:p w14:paraId="2D2681C5">
      <w:pPr>
        <w:spacing w:line="240" w:lineRule="auto"/>
        <w:ind w:firstLine="440" w:firstLineChars="200"/>
        <w:outlineLvl w:val="1"/>
      </w:pPr>
    </w:p>
    <w:p w14:paraId="5A05099D">
      <w:pPr>
        <w:spacing w:line="240" w:lineRule="auto"/>
        <w:ind w:firstLine="440" w:firstLineChars="200"/>
        <w:outlineLvl w:val="1"/>
      </w:pPr>
    </w:p>
    <w:p w14:paraId="41AEBBA9">
      <w:pPr>
        <w:spacing w:line="240" w:lineRule="auto"/>
        <w:ind w:firstLine="440" w:firstLineChars="200"/>
        <w:outlineLvl w:val="1"/>
      </w:pPr>
    </w:p>
    <w:p w14:paraId="0DDAE9B8">
      <w:pPr>
        <w:spacing w:line="240" w:lineRule="auto"/>
        <w:ind w:firstLine="440" w:firstLineChars="200"/>
        <w:outlineLvl w:val="1"/>
      </w:pPr>
    </w:p>
    <w:p w14:paraId="64818768">
      <w:pPr>
        <w:spacing w:line="240" w:lineRule="auto"/>
        <w:ind w:firstLine="440" w:firstLineChars="200"/>
        <w:outlineLvl w:val="1"/>
      </w:pPr>
    </w:p>
    <w:p w14:paraId="58954ED0">
      <w:pPr>
        <w:spacing w:line="240" w:lineRule="auto"/>
        <w:ind w:firstLine="440" w:firstLineChars="200"/>
        <w:outlineLvl w:val="1"/>
      </w:pPr>
    </w:p>
    <w:p w14:paraId="0B31E3AC">
      <w:pPr>
        <w:spacing w:line="240" w:lineRule="auto"/>
        <w:ind w:firstLine="440" w:firstLineChars="200"/>
        <w:outlineLvl w:val="1"/>
      </w:pPr>
    </w:p>
    <w:p w14:paraId="2BEEFA57">
      <w:pPr>
        <w:spacing w:line="240" w:lineRule="auto"/>
        <w:ind w:firstLine="440" w:firstLineChars="200"/>
        <w:outlineLvl w:val="1"/>
      </w:pPr>
    </w:p>
    <w:p w14:paraId="18A7E2EF">
      <w:pPr>
        <w:spacing w:line="240" w:lineRule="auto"/>
        <w:ind w:firstLine="440" w:firstLineChars="200"/>
        <w:outlineLvl w:val="1"/>
      </w:pPr>
    </w:p>
    <w:p w14:paraId="35B8C16A">
      <w:pPr>
        <w:spacing w:line="240" w:lineRule="auto"/>
        <w:ind w:firstLine="440" w:firstLineChars="200"/>
        <w:outlineLvl w:val="1"/>
      </w:pPr>
    </w:p>
    <w:p w14:paraId="0C8A8CB7">
      <w:pPr>
        <w:spacing w:line="240" w:lineRule="auto"/>
        <w:ind w:firstLine="440" w:firstLineChars="200"/>
        <w:outlineLvl w:val="1"/>
      </w:pPr>
      <w:r>
        <w:rPr>
          <w:lang w:eastAsia="zh-CN"/>
        </w:rPr>
        <w:drawing>
          <wp:inline distT="0" distB="0" distL="114300" distR="114300">
            <wp:extent cx="5481955" cy="7590155"/>
            <wp:effectExtent l="0" t="0" r="4445" b="1079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cstate="print">
                      <a:grayscl/>
                    </a:blip>
                    <a:stretch>
                      <a:fillRect/>
                    </a:stretch>
                  </pic:blipFill>
                  <pic:spPr>
                    <a:xfrm>
                      <a:off x="0" y="0"/>
                      <a:ext cx="5481955" cy="7590155"/>
                    </a:xfrm>
                    <a:prstGeom prst="rect">
                      <a:avLst/>
                    </a:prstGeom>
                    <a:noFill/>
                    <a:ln>
                      <a:noFill/>
                    </a:ln>
                  </pic:spPr>
                </pic:pic>
              </a:graphicData>
            </a:graphic>
          </wp:inline>
        </w:drawing>
      </w:r>
    </w:p>
    <w:p w14:paraId="73B5DDCB">
      <w:pPr>
        <w:spacing w:line="240" w:lineRule="auto"/>
        <w:ind w:firstLine="440" w:firstLineChars="200"/>
        <w:outlineLvl w:val="1"/>
      </w:pPr>
    </w:p>
    <w:p w14:paraId="3EC23AB4">
      <w:pPr>
        <w:spacing w:line="240" w:lineRule="auto"/>
        <w:ind w:firstLine="440" w:firstLineChars="200"/>
        <w:outlineLvl w:val="1"/>
      </w:pPr>
    </w:p>
    <w:p w14:paraId="5E5B92EA">
      <w:pPr>
        <w:spacing w:line="240" w:lineRule="auto"/>
        <w:ind w:firstLine="440" w:firstLineChars="200"/>
        <w:outlineLvl w:val="1"/>
      </w:pPr>
      <w:r>
        <w:rPr>
          <w:lang w:eastAsia="zh-CN"/>
        </w:rPr>
        <w:drawing>
          <wp:inline distT="0" distB="0" distL="114300" distR="114300">
            <wp:extent cx="5481955" cy="4699635"/>
            <wp:effectExtent l="0" t="0" r="444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cstate="print"/>
                    <a:stretch>
                      <a:fillRect/>
                    </a:stretch>
                  </pic:blipFill>
                  <pic:spPr>
                    <a:xfrm>
                      <a:off x="0" y="0"/>
                      <a:ext cx="5481955" cy="4699635"/>
                    </a:xfrm>
                    <a:prstGeom prst="rect">
                      <a:avLst/>
                    </a:prstGeom>
                    <a:noFill/>
                    <a:ln>
                      <a:noFill/>
                    </a:ln>
                  </pic:spPr>
                </pic:pic>
              </a:graphicData>
            </a:graphic>
          </wp:inline>
        </w:drawing>
      </w:r>
    </w:p>
    <w:p w14:paraId="0663ADD6">
      <w:pPr>
        <w:spacing w:line="240" w:lineRule="auto"/>
        <w:ind w:firstLine="440" w:firstLineChars="200"/>
        <w:outlineLvl w:val="1"/>
      </w:pPr>
    </w:p>
    <w:p w14:paraId="62AA4DCE">
      <w:pPr>
        <w:spacing w:line="240" w:lineRule="auto"/>
        <w:ind w:firstLine="440" w:firstLineChars="200"/>
        <w:outlineLvl w:val="1"/>
      </w:pPr>
    </w:p>
    <w:p w14:paraId="2746271D">
      <w:pPr>
        <w:spacing w:line="240" w:lineRule="auto"/>
        <w:ind w:firstLine="440" w:firstLineChars="200"/>
        <w:outlineLvl w:val="1"/>
      </w:pPr>
    </w:p>
    <w:p w14:paraId="005C76CF">
      <w:pPr>
        <w:spacing w:line="240" w:lineRule="auto"/>
        <w:ind w:firstLine="440" w:firstLineChars="200"/>
        <w:outlineLvl w:val="1"/>
      </w:pPr>
    </w:p>
    <w:p w14:paraId="5DB0D769">
      <w:pPr>
        <w:spacing w:line="240" w:lineRule="auto"/>
        <w:ind w:firstLine="440" w:firstLineChars="200"/>
        <w:outlineLvl w:val="1"/>
      </w:pPr>
    </w:p>
    <w:p w14:paraId="5FCF8BDA">
      <w:pPr>
        <w:spacing w:line="240" w:lineRule="auto"/>
        <w:ind w:firstLine="440" w:firstLineChars="200"/>
        <w:outlineLvl w:val="1"/>
      </w:pPr>
    </w:p>
    <w:p w14:paraId="41E72B5B">
      <w:pPr>
        <w:spacing w:line="240" w:lineRule="auto"/>
        <w:ind w:firstLine="440" w:firstLineChars="200"/>
        <w:outlineLvl w:val="1"/>
      </w:pPr>
    </w:p>
    <w:p w14:paraId="3FDE879B">
      <w:pPr>
        <w:spacing w:line="240" w:lineRule="auto"/>
        <w:ind w:firstLine="440" w:firstLineChars="200"/>
        <w:outlineLvl w:val="1"/>
      </w:pPr>
    </w:p>
    <w:p w14:paraId="76E71149">
      <w:pPr>
        <w:spacing w:line="240" w:lineRule="auto"/>
        <w:ind w:firstLine="440" w:firstLineChars="200"/>
        <w:outlineLvl w:val="1"/>
      </w:pPr>
    </w:p>
    <w:p w14:paraId="15E49E6E">
      <w:pPr>
        <w:spacing w:line="240" w:lineRule="auto"/>
        <w:ind w:firstLine="440" w:firstLineChars="200"/>
        <w:outlineLvl w:val="1"/>
      </w:pPr>
    </w:p>
    <w:p w14:paraId="1E5BBA98">
      <w:pPr>
        <w:spacing w:line="240" w:lineRule="auto"/>
        <w:ind w:firstLine="440" w:firstLineChars="200"/>
        <w:outlineLvl w:val="1"/>
      </w:pPr>
    </w:p>
    <w:p w14:paraId="3BD99152">
      <w:pPr>
        <w:spacing w:line="240" w:lineRule="auto"/>
        <w:ind w:firstLine="440" w:firstLineChars="200"/>
        <w:outlineLvl w:val="1"/>
      </w:pPr>
      <w:r>
        <w:rPr>
          <w:lang w:eastAsia="zh-CN"/>
        </w:rPr>
        <w:drawing>
          <wp:inline distT="0" distB="0" distL="114300" distR="114300">
            <wp:extent cx="5483225" cy="18973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cstate="print">
                      <a:grayscl/>
                    </a:blip>
                    <a:stretch>
                      <a:fillRect/>
                    </a:stretch>
                  </pic:blipFill>
                  <pic:spPr>
                    <a:xfrm>
                      <a:off x="0" y="0"/>
                      <a:ext cx="5483225" cy="1897380"/>
                    </a:xfrm>
                    <a:prstGeom prst="rect">
                      <a:avLst/>
                    </a:prstGeom>
                    <a:noFill/>
                    <a:ln>
                      <a:noFill/>
                    </a:ln>
                  </pic:spPr>
                </pic:pic>
              </a:graphicData>
            </a:graphic>
          </wp:inline>
        </w:drawing>
      </w:r>
    </w:p>
    <w:p w14:paraId="41B37778">
      <w:pPr>
        <w:spacing w:line="240" w:lineRule="auto"/>
        <w:ind w:firstLine="440" w:firstLineChars="200"/>
        <w:outlineLvl w:val="1"/>
      </w:pPr>
    </w:p>
    <w:p w14:paraId="5B263E34">
      <w:pPr>
        <w:spacing w:line="240" w:lineRule="auto"/>
        <w:ind w:firstLine="440" w:firstLineChars="200"/>
        <w:outlineLvl w:val="1"/>
      </w:pPr>
    </w:p>
    <w:p w14:paraId="1E25AF5B">
      <w:pPr>
        <w:spacing w:line="240" w:lineRule="auto"/>
        <w:ind w:firstLine="440" w:firstLineChars="200"/>
        <w:outlineLvl w:val="1"/>
      </w:pPr>
    </w:p>
    <w:p w14:paraId="7F0345BB">
      <w:pPr>
        <w:spacing w:line="240" w:lineRule="auto"/>
        <w:ind w:firstLine="440" w:firstLineChars="200"/>
        <w:outlineLvl w:val="1"/>
      </w:pPr>
    </w:p>
    <w:p w14:paraId="43380A5A">
      <w:pPr>
        <w:spacing w:line="240" w:lineRule="auto"/>
        <w:ind w:firstLine="440" w:firstLineChars="200"/>
        <w:outlineLvl w:val="1"/>
      </w:pPr>
    </w:p>
    <w:p w14:paraId="4B9E6848">
      <w:pPr>
        <w:spacing w:line="240" w:lineRule="auto"/>
        <w:ind w:firstLine="440" w:firstLineChars="200"/>
        <w:outlineLvl w:val="1"/>
      </w:pPr>
    </w:p>
    <w:p w14:paraId="17E3177C">
      <w:pPr>
        <w:spacing w:line="240" w:lineRule="auto"/>
        <w:ind w:firstLine="440" w:firstLineChars="200"/>
        <w:outlineLvl w:val="1"/>
      </w:pPr>
    </w:p>
    <w:p w14:paraId="5A4C0CB1">
      <w:pPr>
        <w:spacing w:line="240" w:lineRule="auto"/>
        <w:ind w:firstLine="440" w:firstLineChars="200"/>
        <w:outlineLvl w:val="1"/>
      </w:pPr>
    </w:p>
    <w:p w14:paraId="2B9D75C1">
      <w:pPr>
        <w:spacing w:line="240" w:lineRule="auto"/>
        <w:ind w:firstLine="440" w:firstLineChars="200"/>
        <w:outlineLvl w:val="1"/>
      </w:pPr>
    </w:p>
    <w:p w14:paraId="7AFD82B7">
      <w:pPr>
        <w:spacing w:line="240" w:lineRule="auto"/>
        <w:ind w:firstLine="440" w:firstLineChars="200"/>
        <w:outlineLvl w:val="1"/>
      </w:pPr>
    </w:p>
    <w:p w14:paraId="372FF538">
      <w:pPr>
        <w:spacing w:line="240" w:lineRule="auto"/>
        <w:ind w:firstLine="440" w:firstLineChars="200"/>
        <w:outlineLvl w:val="1"/>
      </w:pPr>
    </w:p>
    <w:p w14:paraId="66EDF4AA">
      <w:pPr>
        <w:spacing w:line="240" w:lineRule="auto"/>
        <w:ind w:firstLine="440" w:firstLineChars="200"/>
        <w:outlineLvl w:val="1"/>
      </w:pPr>
    </w:p>
    <w:p w14:paraId="75A1F7CC">
      <w:pPr>
        <w:spacing w:line="240" w:lineRule="auto"/>
        <w:ind w:firstLine="440" w:firstLineChars="200"/>
        <w:outlineLvl w:val="1"/>
      </w:pPr>
    </w:p>
    <w:p w14:paraId="2B5251DB">
      <w:pPr>
        <w:spacing w:line="240" w:lineRule="auto"/>
        <w:ind w:firstLine="440" w:firstLineChars="200"/>
        <w:outlineLvl w:val="1"/>
      </w:pPr>
    </w:p>
    <w:p w14:paraId="1B1883FF">
      <w:pPr>
        <w:spacing w:line="240" w:lineRule="auto"/>
        <w:ind w:firstLine="440" w:firstLineChars="200"/>
        <w:outlineLvl w:val="1"/>
      </w:pPr>
    </w:p>
    <w:p w14:paraId="22C4CF73">
      <w:pPr>
        <w:spacing w:line="240" w:lineRule="auto"/>
        <w:ind w:firstLine="440" w:firstLineChars="200"/>
        <w:outlineLvl w:val="1"/>
      </w:pPr>
    </w:p>
    <w:p w14:paraId="066CFFF1">
      <w:pPr>
        <w:spacing w:line="240" w:lineRule="auto"/>
        <w:ind w:firstLine="440" w:firstLineChars="200"/>
        <w:outlineLvl w:val="1"/>
      </w:pPr>
    </w:p>
    <w:p w14:paraId="43EE9B79">
      <w:pPr>
        <w:spacing w:line="240" w:lineRule="auto"/>
        <w:ind w:firstLine="440" w:firstLineChars="200"/>
        <w:outlineLvl w:val="1"/>
      </w:pPr>
    </w:p>
    <w:p w14:paraId="5448EED8">
      <w:pPr>
        <w:spacing w:line="240" w:lineRule="auto"/>
        <w:ind w:firstLine="440" w:firstLineChars="200"/>
        <w:outlineLvl w:val="1"/>
      </w:pPr>
    </w:p>
    <w:p w14:paraId="27C006D1">
      <w:pPr>
        <w:spacing w:line="240" w:lineRule="auto"/>
        <w:ind w:firstLine="440" w:firstLineChars="200"/>
        <w:outlineLvl w:val="1"/>
      </w:pPr>
    </w:p>
    <w:p w14:paraId="1CCFD42A">
      <w:pPr>
        <w:spacing w:line="240" w:lineRule="auto"/>
        <w:ind w:firstLine="440" w:firstLineChars="200"/>
        <w:outlineLvl w:val="1"/>
      </w:pPr>
    </w:p>
    <w:p w14:paraId="4CBEEC53">
      <w:pPr>
        <w:spacing w:line="240" w:lineRule="auto"/>
        <w:ind w:firstLine="440" w:firstLineChars="200"/>
        <w:outlineLvl w:val="1"/>
      </w:pPr>
      <w:r>
        <w:rPr>
          <w:lang w:eastAsia="zh-CN"/>
        </w:rPr>
        <w:drawing>
          <wp:inline distT="0" distB="0" distL="114300" distR="114300">
            <wp:extent cx="5482590" cy="2369820"/>
            <wp:effectExtent l="0" t="0" r="381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print"/>
                    <a:stretch>
                      <a:fillRect/>
                    </a:stretch>
                  </pic:blipFill>
                  <pic:spPr>
                    <a:xfrm>
                      <a:off x="0" y="0"/>
                      <a:ext cx="5482590" cy="2369820"/>
                    </a:xfrm>
                    <a:prstGeom prst="rect">
                      <a:avLst/>
                    </a:prstGeom>
                    <a:noFill/>
                    <a:ln>
                      <a:noFill/>
                    </a:ln>
                  </pic:spPr>
                </pic:pic>
              </a:graphicData>
            </a:graphic>
          </wp:inline>
        </w:drawing>
      </w:r>
    </w:p>
    <w:p w14:paraId="03B4D3CB">
      <w:pPr>
        <w:spacing w:line="240" w:lineRule="auto"/>
        <w:ind w:firstLine="440" w:firstLineChars="200"/>
        <w:outlineLvl w:val="1"/>
      </w:pPr>
    </w:p>
    <w:p w14:paraId="5B65FB5D">
      <w:pPr>
        <w:spacing w:line="240" w:lineRule="auto"/>
        <w:ind w:firstLine="440" w:firstLineChars="200"/>
        <w:outlineLvl w:val="1"/>
      </w:pPr>
    </w:p>
    <w:p w14:paraId="7E53FAE3">
      <w:pPr>
        <w:spacing w:line="240" w:lineRule="auto"/>
        <w:ind w:firstLine="440" w:firstLineChars="200"/>
        <w:outlineLvl w:val="1"/>
      </w:pPr>
    </w:p>
    <w:p w14:paraId="17EABFD9">
      <w:pPr>
        <w:spacing w:line="240" w:lineRule="auto"/>
        <w:ind w:firstLine="440" w:firstLineChars="200"/>
        <w:outlineLvl w:val="1"/>
      </w:pPr>
    </w:p>
    <w:p w14:paraId="792B7ECD">
      <w:pPr>
        <w:spacing w:line="240" w:lineRule="auto"/>
        <w:ind w:firstLine="440" w:firstLineChars="200"/>
        <w:outlineLvl w:val="1"/>
      </w:pPr>
    </w:p>
    <w:p w14:paraId="188079D7">
      <w:pPr>
        <w:spacing w:line="240" w:lineRule="auto"/>
        <w:ind w:firstLine="440" w:firstLineChars="200"/>
        <w:outlineLvl w:val="1"/>
      </w:pPr>
    </w:p>
    <w:p w14:paraId="6CB29279">
      <w:pPr>
        <w:spacing w:line="240" w:lineRule="auto"/>
        <w:ind w:firstLine="440" w:firstLineChars="200"/>
        <w:outlineLvl w:val="1"/>
      </w:pPr>
    </w:p>
    <w:p w14:paraId="7CE0C980">
      <w:pPr>
        <w:spacing w:line="240" w:lineRule="auto"/>
        <w:ind w:firstLine="440" w:firstLineChars="200"/>
        <w:outlineLvl w:val="1"/>
      </w:pPr>
    </w:p>
    <w:p w14:paraId="4D3F13B0">
      <w:pPr>
        <w:spacing w:line="240" w:lineRule="auto"/>
        <w:ind w:firstLine="440" w:firstLineChars="200"/>
        <w:outlineLvl w:val="1"/>
      </w:pPr>
    </w:p>
    <w:p w14:paraId="2B588584">
      <w:pPr>
        <w:spacing w:line="240" w:lineRule="auto"/>
        <w:ind w:firstLine="440" w:firstLineChars="200"/>
        <w:outlineLvl w:val="1"/>
      </w:pPr>
    </w:p>
    <w:p w14:paraId="3EC3C2D5">
      <w:pPr>
        <w:spacing w:line="240" w:lineRule="auto"/>
        <w:ind w:firstLine="440" w:firstLineChars="200"/>
        <w:outlineLvl w:val="1"/>
      </w:pPr>
    </w:p>
    <w:p w14:paraId="5F595ACF">
      <w:pPr>
        <w:spacing w:line="240" w:lineRule="auto"/>
        <w:ind w:firstLine="440" w:firstLineChars="200"/>
        <w:outlineLvl w:val="1"/>
      </w:pPr>
    </w:p>
    <w:p w14:paraId="75A9ED46">
      <w:pPr>
        <w:spacing w:line="240" w:lineRule="auto"/>
        <w:ind w:firstLine="440" w:firstLineChars="200"/>
        <w:outlineLvl w:val="1"/>
      </w:pPr>
    </w:p>
    <w:p w14:paraId="4F975BE3">
      <w:pPr>
        <w:spacing w:line="240" w:lineRule="auto"/>
        <w:ind w:firstLine="440" w:firstLineChars="200"/>
        <w:outlineLvl w:val="1"/>
      </w:pPr>
    </w:p>
    <w:p w14:paraId="44E1D1C0">
      <w:pPr>
        <w:spacing w:line="240" w:lineRule="auto"/>
        <w:ind w:firstLine="440" w:firstLineChars="200"/>
        <w:outlineLvl w:val="1"/>
      </w:pPr>
    </w:p>
    <w:p w14:paraId="2BE56BAD">
      <w:pPr>
        <w:spacing w:line="240" w:lineRule="auto"/>
        <w:ind w:firstLine="440" w:firstLineChars="200"/>
        <w:outlineLvl w:val="1"/>
      </w:pPr>
    </w:p>
    <w:p w14:paraId="6E884928">
      <w:pPr>
        <w:spacing w:line="240" w:lineRule="auto"/>
        <w:ind w:firstLine="440" w:firstLineChars="200"/>
        <w:outlineLvl w:val="1"/>
      </w:pPr>
    </w:p>
    <w:p w14:paraId="440E2FE4">
      <w:pPr>
        <w:spacing w:line="240" w:lineRule="auto"/>
        <w:ind w:firstLine="440" w:firstLineChars="200"/>
        <w:outlineLvl w:val="1"/>
      </w:pPr>
    </w:p>
    <w:p w14:paraId="40322F1C">
      <w:pPr>
        <w:spacing w:line="240" w:lineRule="auto"/>
        <w:ind w:firstLine="440" w:firstLineChars="200"/>
        <w:outlineLvl w:val="1"/>
      </w:pPr>
    </w:p>
    <w:p w14:paraId="49F45B43">
      <w:pPr>
        <w:spacing w:line="240" w:lineRule="auto"/>
        <w:ind w:firstLine="440" w:firstLineChars="200"/>
        <w:outlineLvl w:val="1"/>
      </w:pPr>
    </w:p>
    <w:p w14:paraId="5666A1B2">
      <w:pPr>
        <w:spacing w:line="240" w:lineRule="auto"/>
        <w:ind w:firstLine="440" w:firstLineChars="200"/>
        <w:outlineLvl w:val="1"/>
      </w:pPr>
      <w:r>
        <w:rPr>
          <w:lang w:eastAsia="zh-CN"/>
        </w:rPr>
        <w:drawing>
          <wp:inline distT="0" distB="0" distL="114300" distR="114300">
            <wp:extent cx="5476240" cy="872490"/>
            <wp:effectExtent l="0" t="0" r="1016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cstate="print"/>
                    <a:stretch>
                      <a:fillRect/>
                    </a:stretch>
                  </pic:blipFill>
                  <pic:spPr>
                    <a:xfrm>
                      <a:off x="0" y="0"/>
                      <a:ext cx="5476240" cy="872490"/>
                    </a:xfrm>
                    <a:prstGeom prst="rect">
                      <a:avLst/>
                    </a:prstGeom>
                    <a:noFill/>
                    <a:ln>
                      <a:noFill/>
                    </a:ln>
                  </pic:spPr>
                </pic:pic>
              </a:graphicData>
            </a:graphic>
          </wp:inline>
        </w:drawing>
      </w:r>
    </w:p>
    <w:p w14:paraId="5EB82B59">
      <w:pPr>
        <w:spacing w:line="240" w:lineRule="auto"/>
        <w:ind w:firstLine="440" w:firstLineChars="200"/>
        <w:outlineLvl w:val="1"/>
      </w:pPr>
    </w:p>
    <w:p w14:paraId="05EF0C41">
      <w:pPr>
        <w:spacing w:line="240" w:lineRule="auto"/>
        <w:ind w:firstLine="440" w:firstLineChars="200"/>
        <w:outlineLvl w:val="1"/>
      </w:pPr>
    </w:p>
    <w:p w14:paraId="27DC40E3">
      <w:pPr>
        <w:spacing w:line="240" w:lineRule="auto"/>
        <w:ind w:firstLine="440" w:firstLineChars="200"/>
        <w:outlineLvl w:val="1"/>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596CF6"/>
    <w:multiLevelType w:val="multilevel"/>
    <w:tmpl w:val="1E596CF6"/>
    <w:lvl w:ilvl="0" w:tentative="0">
      <w:start w:val="1"/>
      <w:numFmt w:val="decimal"/>
      <w:suff w:val="nothing"/>
      <w:lvlText w:val="%1."/>
      <w:lvlJc w:val="left"/>
      <w:pPr>
        <w:spacing w:beforeLines="0" w:beforeAutospacing="0" w:line="240" w:lineRule="auto"/>
        <w:ind w:firstLine="640" w:firstLineChars="200"/>
      </w:pPr>
      <w:rPr>
        <w:rFonts w:hint="default"/>
        <w:color w:val="000000" w:themeColor="text1"/>
      </w:rPr>
    </w:lvl>
    <w:lvl w:ilvl="1" w:tentative="0">
      <w:start w:val="1"/>
      <w:numFmt w:val="decimal"/>
      <w:suff w:val="nothing"/>
      <w:lvlText w:val="%1.%2."/>
      <w:lvlJc w:val="left"/>
      <w:pPr>
        <w:spacing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58254D62"/>
    <w:multiLevelType w:val="multilevel"/>
    <w:tmpl w:val="58254D62"/>
    <w:lvl w:ilvl="0" w:tentative="0">
      <w:start w:val="1"/>
      <w:numFmt w:val="decimal"/>
      <w:suff w:val="nothing"/>
      <w:lvlText w:val="%1."/>
      <w:lvlJc w:val="left"/>
      <w:pPr>
        <w:spacing w:beforeLines="0" w:beforeAutospacing="0" w:line="240" w:lineRule="auto"/>
        <w:ind w:firstLine="640" w:firstLineChars="200"/>
      </w:pPr>
    </w:lvl>
    <w:lvl w:ilvl="1" w:tentative="0">
      <w:start w:val="1"/>
      <w:numFmt w:val="decimal"/>
      <w:suff w:val="nothing"/>
      <w:lvlText w:val="%1.%2."/>
      <w:lvlJc w:val="left"/>
      <w:pPr>
        <w:spacing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950D08"/>
    <w:rsid w:val="00017BAF"/>
    <w:rsid w:val="00020D17"/>
    <w:rsid w:val="00074DA9"/>
    <w:rsid w:val="000E7A6E"/>
    <w:rsid w:val="001018C9"/>
    <w:rsid w:val="00141842"/>
    <w:rsid w:val="00141E7E"/>
    <w:rsid w:val="0014734C"/>
    <w:rsid w:val="001578EB"/>
    <w:rsid w:val="00162ED7"/>
    <w:rsid w:val="00277813"/>
    <w:rsid w:val="00286FB0"/>
    <w:rsid w:val="0029171B"/>
    <w:rsid w:val="002B5374"/>
    <w:rsid w:val="00331425"/>
    <w:rsid w:val="0033228F"/>
    <w:rsid w:val="00386655"/>
    <w:rsid w:val="003E22EC"/>
    <w:rsid w:val="003F2F42"/>
    <w:rsid w:val="0040066B"/>
    <w:rsid w:val="004009F3"/>
    <w:rsid w:val="00462C1C"/>
    <w:rsid w:val="00466A08"/>
    <w:rsid w:val="004C1F1C"/>
    <w:rsid w:val="004D4EF8"/>
    <w:rsid w:val="00531696"/>
    <w:rsid w:val="0055652A"/>
    <w:rsid w:val="005837EB"/>
    <w:rsid w:val="005D2DBE"/>
    <w:rsid w:val="005D3D80"/>
    <w:rsid w:val="006331C6"/>
    <w:rsid w:val="00697AA9"/>
    <w:rsid w:val="00756227"/>
    <w:rsid w:val="00774CE8"/>
    <w:rsid w:val="00796D6A"/>
    <w:rsid w:val="007D70CB"/>
    <w:rsid w:val="007E5641"/>
    <w:rsid w:val="008A421D"/>
    <w:rsid w:val="008F41CD"/>
    <w:rsid w:val="00934A72"/>
    <w:rsid w:val="00950D08"/>
    <w:rsid w:val="009B19F7"/>
    <w:rsid w:val="009C272D"/>
    <w:rsid w:val="009D6296"/>
    <w:rsid w:val="009F7D83"/>
    <w:rsid w:val="00A11195"/>
    <w:rsid w:val="00A17367"/>
    <w:rsid w:val="00A66EFA"/>
    <w:rsid w:val="00AB292C"/>
    <w:rsid w:val="00BD5AC1"/>
    <w:rsid w:val="00C03F8D"/>
    <w:rsid w:val="00C04D26"/>
    <w:rsid w:val="00CB10B8"/>
    <w:rsid w:val="00CB5659"/>
    <w:rsid w:val="00CB7E86"/>
    <w:rsid w:val="00D035C4"/>
    <w:rsid w:val="00D1444E"/>
    <w:rsid w:val="00D361D6"/>
    <w:rsid w:val="00DA21E5"/>
    <w:rsid w:val="00E064E7"/>
    <w:rsid w:val="00E342DB"/>
    <w:rsid w:val="00EB1DB0"/>
    <w:rsid w:val="00F0010B"/>
    <w:rsid w:val="00F57EFE"/>
    <w:rsid w:val="00F63141"/>
    <w:rsid w:val="00FA70AE"/>
    <w:rsid w:val="00FD0D86"/>
    <w:rsid w:val="00FD60BD"/>
    <w:rsid w:val="04D34028"/>
    <w:rsid w:val="0BD560C9"/>
    <w:rsid w:val="0D3F57ED"/>
    <w:rsid w:val="14955031"/>
    <w:rsid w:val="1C0329C9"/>
    <w:rsid w:val="263039BD"/>
    <w:rsid w:val="2C464464"/>
    <w:rsid w:val="462129BF"/>
    <w:rsid w:val="4FE15F71"/>
    <w:rsid w:val="57D737A3"/>
    <w:rsid w:val="59174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Balloon Text"/>
    <w:basedOn w:val="1"/>
    <w:link w:val="27"/>
    <w:semiHidden/>
    <w:unhideWhenUsed/>
    <w:qFormat/>
    <w:uiPriority w:val="99"/>
    <w:pPr>
      <w:spacing w:after="0" w:line="240" w:lineRule="auto"/>
    </w:pPr>
    <w:rPr>
      <w:sz w:val="18"/>
      <w:szCs w:val="18"/>
    </w:rPr>
  </w:style>
  <w:style w:type="paragraph" w:styleId="9">
    <w:name w:val="footer"/>
    <w:basedOn w:val="1"/>
    <w:link w:val="25"/>
    <w:semiHidden/>
    <w:unhideWhenUsed/>
    <w:qFormat/>
    <w:uiPriority w:val="99"/>
    <w:pPr>
      <w:tabs>
        <w:tab w:val="center" w:pos="4153"/>
        <w:tab w:val="right" w:pos="8306"/>
      </w:tabs>
      <w:snapToGrid w:val="0"/>
      <w:spacing w:line="240" w:lineRule="auto"/>
    </w:pPr>
    <w:rPr>
      <w:sz w:val="18"/>
      <w:szCs w:val="18"/>
    </w:rPr>
  </w:style>
  <w:style w:type="paragraph" w:styleId="10">
    <w:name w:val="header"/>
    <w:basedOn w:val="1"/>
    <w:link w:val="18"/>
    <w:unhideWhenUsed/>
    <w:qFormat/>
    <w:uiPriority w:val="99"/>
    <w:pPr>
      <w:tabs>
        <w:tab w:val="center" w:pos="4680"/>
        <w:tab w:val="right" w:pos="9360"/>
      </w:tabs>
    </w:pPr>
  </w:style>
  <w:style w:type="paragraph" w:styleId="11">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2">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Emphasis"/>
    <w:basedOn w:val="15"/>
    <w:qFormat/>
    <w:uiPriority w:val="20"/>
    <w:rPr>
      <w:i/>
      <w:iCs/>
    </w:rPr>
  </w:style>
  <w:style w:type="character" w:styleId="17">
    <w:name w:val="Hyperlink"/>
    <w:basedOn w:val="15"/>
    <w:unhideWhenUsed/>
    <w:qFormat/>
    <w:uiPriority w:val="99"/>
    <w:rPr>
      <w:color w:val="0000FF" w:themeColor="hyperlink"/>
      <w:u w:val="single"/>
    </w:rPr>
  </w:style>
  <w:style w:type="character" w:customStyle="1" w:styleId="18">
    <w:name w:val="页眉 Char"/>
    <w:basedOn w:val="15"/>
    <w:link w:val="10"/>
    <w:qFormat/>
    <w:uiPriority w:val="99"/>
  </w:style>
  <w:style w:type="character" w:customStyle="1" w:styleId="19">
    <w:name w:val="标题 1 Char"/>
    <w:basedOn w:val="15"/>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5"/>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5"/>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5"/>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5"/>
    <w:link w:val="11"/>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5"/>
    <w:link w:val="12"/>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5">
    <w:name w:val="页脚 Char"/>
    <w:basedOn w:val="15"/>
    <w:link w:val="9"/>
    <w:semiHidden/>
    <w:qFormat/>
    <w:uiPriority w:val="99"/>
    <w:rPr>
      <w:sz w:val="18"/>
      <w:szCs w:val="18"/>
    </w:rPr>
  </w:style>
  <w:style w:type="paragraph" w:styleId="26">
    <w:name w:val="List Paragraph"/>
    <w:basedOn w:val="1"/>
    <w:unhideWhenUsed/>
    <w:qFormat/>
    <w:uiPriority w:val="99"/>
    <w:pPr>
      <w:widowControl w:val="0"/>
      <w:spacing w:after="0" w:line="240" w:lineRule="auto"/>
      <w:ind w:firstLine="420" w:firstLineChars="200"/>
      <w:jc w:val="both"/>
    </w:pPr>
    <w:rPr>
      <w:rFonts w:ascii="Times New Roman" w:hAnsi="Times New Roman" w:eastAsia="宋体" w:cs="Times New Roman"/>
      <w:kern w:val="2"/>
      <w:sz w:val="21"/>
      <w:szCs w:val="24"/>
      <w:lang w:eastAsia="zh-CN"/>
    </w:rPr>
  </w:style>
  <w:style w:type="character" w:customStyle="1" w:styleId="27">
    <w:name w:val="批注框文本 Char"/>
    <w:basedOn w:val="15"/>
    <w:link w:val="8"/>
    <w:semiHidden/>
    <w:qFormat/>
    <w:uiPriority w:val="99"/>
    <w:rPr>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1548</Words>
  <Characters>8827</Characters>
  <Lines>73</Lines>
  <Paragraphs>20</Paragraphs>
  <TotalTime>0</TotalTime>
  <ScaleCrop>false</ScaleCrop>
  <LinksUpToDate>false</LinksUpToDate>
  <CharactersWithSpaces>10355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2025-08-14T02:39:00Z</dcterms:created>
  <dc:creator>Administrator</dc:creator>
  <cp:lastModifiedBy>lenovo</cp:lastModifiedBy>
  <dcterms:modified xsi:type="dcterms:W3CDTF">2025-08-21T02:58:51Z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FFFE57355C4E4EF683A0E4102A489092</vt:lpwstr>
  </property>
  <property fmtid="{D5CDD505-2E9C-101B-9397-08002B2CF9AE}" pid="4" name="KSOTemplateDocerSaveRecord">
    <vt:lpwstr>eyJoZGlkIjoiN2UyYzA3ZTJiNTkwNDJkN2UyYmRiZWNlYzNlZDMxOTQifQ==</vt:lpwstr>
  </property>
</Properties>
</file>