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591A3">
      <w:pPr>
        <w:spacing w:line="540" w:lineRule="exact"/>
        <w:jc w:val="center"/>
        <w:rPr>
          <w:rFonts w:hint="default" w:ascii="Times New Roman" w:hAnsi="Times New Roman" w:eastAsia="华文中宋" w:cs="Times New Roman"/>
          <w:b/>
          <w:kern w:val="0"/>
          <w:sz w:val="52"/>
          <w:szCs w:val="52"/>
          <w:highlight w:val="none"/>
        </w:rPr>
      </w:pPr>
      <w:bookmarkStart w:id="3" w:name="_GoBack"/>
      <w:bookmarkEnd w:id="3"/>
    </w:p>
    <w:p w14:paraId="17DD7575">
      <w:pPr>
        <w:spacing w:line="540" w:lineRule="exact"/>
        <w:rPr>
          <w:rFonts w:hint="default" w:ascii="Times New Roman" w:hAnsi="Times New Roman" w:eastAsia="华文中宋" w:cs="Times New Roman"/>
          <w:b/>
          <w:kern w:val="0"/>
          <w:sz w:val="52"/>
          <w:szCs w:val="52"/>
          <w:highlight w:val="none"/>
        </w:rPr>
      </w:pPr>
    </w:p>
    <w:p w14:paraId="708669BB">
      <w:pPr>
        <w:spacing w:line="540" w:lineRule="exact"/>
        <w:jc w:val="center"/>
        <w:rPr>
          <w:rFonts w:hint="default" w:ascii="Times New Roman" w:hAnsi="Times New Roman" w:eastAsia="华文中宋" w:cs="Times New Roman"/>
          <w:b/>
          <w:kern w:val="0"/>
          <w:sz w:val="52"/>
          <w:szCs w:val="52"/>
          <w:highlight w:val="none"/>
        </w:rPr>
      </w:pPr>
    </w:p>
    <w:p w14:paraId="7C449037">
      <w:pPr>
        <w:spacing w:line="540" w:lineRule="exact"/>
        <w:jc w:val="center"/>
        <w:rPr>
          <w:rFonts w:hint="default" w:ascii="Times New Roman" w:hAnsi="Times New Roman" w:eastAsia="华文中宋" w:cs="Times New Roman"/>
          <w:b/>
          <w:kern w:val="0"/>
          <w:sz w:val="52"/>
          <w:szCs w:val="52"/>
          <w:highlight w:val="none"/>
        </w:rPr>
      </w:pPr>
    </w:p>
    <w:p w14:paraId="356DF597">
      <w:pPr>
        <w:spacing w:line="540" w:lineRule="exact"/>
        <w:jc w:val="center"/>
        <w:rPr>
          <w:rFonts w:hint="default" w:ascii="Times New Roman" w:hAnsi="Times New Roman" w:eastAsia="方正小标宋_GBK" w:cs="Times New Roman"/>
          <w:kern w:val="0"/>
          <w:sz w:val="48"/>
          <w:szCs w:val="48"/>
          <w:highlight w:val="none"/>
        </w:rPr>
      </w:pPr>
      <w:r>
        <w:rPr>
          <w:rFonts w:hint="eastAsia" w:eastAsia="方正小标宋_GBK" w:cs="Times New Roman"/>
          <w:kern w:val="0"/>
          <w:sz w:val="48"/>
          <w:szCs w:val="48"/>
          <w:highlight w:val="none"/>
          <w:lang w:val="en-US" w:eastAsia="zh-CN"/>
        </w:rPr>
        <w:t>库尔勒市残疾人联合会</w:t>
      </w:r>
      <w:r>
        <w:rPr>
          <w:rFonts w:hint="default" w:ascii="Times New Roman" w:hAnsi="Times New Roman" w:eastAsia="方正小标宋_GBK" w:cs="Times New Roman"/>
          <w:kern w:val="0"/>
          <w:sz w:val="48"/>
          <w:szCs w:val="48"/>
          <w:highlight w:val="none"/>
        </w:rPr>
        <w:t>项目支出绩效</w:t>
      </w:r>
    </w:p>
    <w:p w14:paraId="3CF0F270">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评价报告</w:t>
      </w:r>
    </w:p>
    <w:p w14:paraId="022431BE">
      <w:pPr>
        <w:spacing w:line="540" w:lineRule="exact"/>
        <w:jc w:val="center"/>
        <w:rPr>
          <w:rFonts w:hint="default" w:ascii="Times New Roman" w:hAnsi="Times New Roman" w:eastAsia="华文中宋" w:cs="Times New Roman"/>
          <w:b/>
          <w:kern w:val="0"/>
          <w:sz w:val="52"/>
          <w:szCs w:val="52"/>
          <w:highlight w:val="none"/>
        </w:rPr>
      </w:pPr>
    </w:p>
    <w:p w14:paraId="7A37BCC5">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59D6ECD5">
      <w:pPr>
        <w:spacing w:line="540" w:lineRule="exact"/>
        <w:jc w:val="center"/>
        <w:rPr>
          <w:rFonts w:hint="default" w:ascii="Times New Roman" w:hAnsi="Times New Roman" w:eastAsia="仿宋_GB2312" w:cs="Times New Roman"/>
          <w:kern w:val="0"/>
          <w:sz w:val="30"/>
          <w:szCs w:val="30"/>
          <w:highlight w:val="none"/>
        </w:rPr>
      </w:pPr>
    </w:p>
    <w:p w14:paraId="70297DDE">
      <w:pPr>
        <w:spacing w:line="540" w:lineRule="exact"/>
        <w:jc w:val="center"/>
        <w:rPr>
          <w:rFonts w:hint="default" w:ascii="Times New Roman" w:hAnsi="Times New Roman" w:eastAsia="仿宋_GB2312" w:cs="Times New Roman"/>
          <w:kern w:val="0"/>
          <w:sz w:val="30"/>
          <w:szCs w:val="30"/>
          <w:highlight w:val="none"/>
        </w:rPr>
      </w:pPr>
    </w:p>
    <w:p w14:paraId="7938F47F">
      <w:pPr>
        <w:spacing w:line="540" w:lineRule="exact"/>
        <w:jc w:val="center"/>
        <w:rPr>
          <w:rFonts w:hint="default" w:ascii="Times New Roman" w:hAnsi="Times New Roman" w:eastAsia="仿宋_GB2312" w:cs="Times New Roman"/>
          <w:kern w:val="0"/>
          <w:sz w:val="30"/>
          <w:szCs w:val="30"/>
          <w:highlight w:val="none"/>
        </w:rPr>
      </w:pPr>
    </w:p>
    <w:p w14:paraId="6C5AA1B2">
      <w:pPr>
        <w:pStyle w:val="11"/>
        <w:rPr>
          <w:rFonts w:hint="default" w:ascii="Times New Roman" w:hAnsi="Times New Roman" w:cs="Times New Roman"/>
          <w:highlight w:val="none"/>
        </w:rPr>
      </w:pPr>
    </w:p>
    <w:p w14:paraId="75C91F5D">
      <w:pPr>
        <w:spacing w:line="540" w:lineRule="exact"/>
        <w:jc w:val="center"/>
        <w:rPr>
          <w:rFonts w:hint="default" w:ascii="Times New Roman" w:hAnsi="Times New Roman" w:eastAsia="仿宋_GB2312" w:cs="Times New Roman"/>
          <w:kern w:val="0"/>
          <w:sz w:val="30"/>
          <w:szCs w:val="30"/>
          <w:highlight w:val="none"/>
        </w:rPr>
      </w:pPr>
    </w:p>
    <w:p w14:paraId="46342A3B">
      <w:pPr>
        <w:spacing w:line="540" w:lineRule="exact"/>
        <w:rPr>
          <w:rFonts w:hint="default" w:ascii="Times New Roman" w:hAnsi="Times New Roman" w:eastAsia="仿宋_GB2312" w:cs="Times New Roman"/>
          <w:kern w:val="0"/>
          <w:sz w:val="30"/>
          <w:szCs w:val="30"/>
          <w:highlight w:val="none"/>
        </w:rPr>
      </w:pPr>
    </w:p>
    <w:p w14:paraId="6EE3334D">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项目名称：巴财社[2023]83号提前下达2024年自治区财政残疾人事业发展补助资金[彩票公益金]（142.016万元）</w:t>
      </w:r>
    </w:p>
    <w:p w14:paraId="70C5CEB3">
      <w:pPr>
        <w:spacing w:line="70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库尔勒市残疾人联合会</w:t>
      </w:r>
    </w:p>
    <w:p w14:paraId="24E3BAF0">
      <w:pPr>
        <w:spacing w:line="70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eastAsia="zh-CN"/>
        </w:rPr>
        <w:t>库尔勒市残疾人联合会</w:t>
      </w:r>
    </w:p>
    <w:p w14:paraId="7D0BAC80">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曹刚</w:t>
      </w:r>
    </w:p>
    <w:p w14:paraId="48B97E6F">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18</w:t>
      </w:r>
      <w:r>
        <w:rPr>
          <w:rFonts w:hint="default" w:ascii="Times New Roman" w:hAnsi="Times New Roman" w:eastAsia="仿宋_GB2312" w:cs="Times New Roman"/>
          <w:kern w:val="0"/>
          <w:sz w:val="36"/>
          <w:szCs w:val="36"/>
          <w:highlight w:val="none"/>
        </w:rPr>
        <w:t>日</w:t>
      </w:r>
    </w:p>
    <w:p w14:paraId="7755E5FB">
      <w:pPr>
        <w:spacing w:line="540" w:lineRule="exact"/>
        <w:jc w:val="center"/>
        <w:rPr>
          <w:rFonts w:hint="default" w:ascii="Times New Roman" w:hAnsi="Times New Roman" w:eastAsia="仿宋_GB2312" w:cs="Times New Roman"/>
          <w:kern w:val="0"/>
          <w:sz w:val="30"/>
          <w:szCs w:val="30"/>
          <w:highlight w:val="none"/>
        </w:rPr>
      </w:pPr>
    </w:p>
    <w:p w14:paraId="2ED77963">
      <w:pPr>
        <w:spacing w:line="540" w:lineRule="exact"/>
        <w:rPr>
          <w:rStyle w:val="17"/>
          <w:rFonts w:hint="default" w:ascii="Times New Roman" w:hAnsi="Times New Roman" w:eastAsia="黑体" w:cs="Times New Roman"/>
          <w:b w:val="0"/>
          <w:spacing w:val="-4"/>
          <w:sz w:val="32"/>
          <w:szCs w:val="32"/>
          <w:highlight w:val="none"/>
        </w:rPr>
      </w:pPr>
    </w:p>
    <w:p w14:paraId="6E716C7F">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178E7126">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713927EC">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63F4395D">
      <w:pPr>
        <w:pStyle w:val="11"/>
        <w:spacing w:before="0" w:after="0" w:line="560" w:lineRule="exact"/>
        <w:ind w:firstLine="640" w:firstLineChars="200"/>
        <w:jc w:val="left"/>
        <w:rPr>
          <w:rFonts w:hint="default" w:ascii="Times New Roman" w:hAnsi="Times New Roman" w:eastAsia="仿宋_GB2312" w:cs="Times New Roman"/>
          <w:b w:val="0"/>
          <w:bCs w:val="0"/>
          <w:kern w:val="2"/>
          <w:highlight w:val="none"/>
          <w:lang w:val="en-US" w:eastAsia="zh-CN"/>
        </w:rPr>
      </w:pPr>
      <w:r>
        <w:rPr>
          <w:rFonts w:hint="eastAsia" w:ascii="Times New Roman" w:hAnsi="Times New Roman" w:eastAsia="仿宋_GB2312" w:cs="Times New Roman"/>
          <w:b w:val="0"/>
          <w:bCs w:val="0"/>
          <w:kern w:val="2"/>
          <w:highlight w:val="none"/>
          <w:lang w:val="en-US" w:eastAsia="zh-CN"/>
        </w:rPr>
        <w:t>巴财社[2023]83号提前下达2024年自治区财政残疾人事业发展补助资金[彩票公益金]：2021年国务院下发《“十四五”残疾人保障和发展规划》，规划要求 ：“（三）健全残疾人关爱服务体系，提升残疾人康复、教育、文化、体育等公共服务质量。” 2021年7月8日国务院下发《“十四五”残疾人保障和发展规划》，规划提出残疾人事业是中国特色社会主义事业的重要标志。习近平总书记强调“残疾人事业一定要继续推动”。《中华人民共和国残疾人保障法》第五条规定“县级以上人民政府应当将残疾人事业纳入国民经济和社会发展规划，加强领导，综合协调，并将残疾人事业经费列入财政预算，建立稳定的经费保障机制。”“中国残疾人联合会及地方组织依照法律、法规、章程或者接受政府委托，开展残疾人工作，发展残疾人事业。”</w:t>
      </w:r>
    </w:p>
    <w:p w14:paraId="713FE731">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035AD241">
      <w:pPr>
        <w:pStyle w:val="11"/>
        <w:spacing w:before="0" w:after="0" w:line="560" w:lineRule="exact"/>
        <w:ind w:firstLine="640" w:firstLineChars="200"/>
        <w:jc w:val="left"/>
        <w:rPr>
          <w:rFonts w:hint="eastAsia" w:ascii="Times New Roman" w:hAnsi="Times New Roman" w:eastAsia="仿宋_GB2312" w:cs="Times New Roman"/>
          <w:b w:val="0"/>
          <w:bCs w:val="0"/>
          <w:kern w:val="2"/>
          <w:highlight w:val="none"/>
          <w:lang w:val="en-US" w:eastAsia="zh-CN"/>
        </w:rPr>
      </w:pPr>
      <w:r>
        <w:rPr>
          <w:rFonts w:hint="default" w:ascii="Times New Roman" w:hAnsi="Times New Roman" w:eastAsia="仿宋_GB2312" w:cs="Times New Roman"/>
          <w:b w:val="0"/>
          <w:bCs w:val="0"/>
          <w:kern w:val="2"/>
          <w:highlight w:val="none"/>
          <w:lang w:val="en-US" w:eastAsia="zh-CN"/>
        </w:rPr>
        <w:t>项目主要内容：2024年自治区财政残疾人事业发展补助资金</w:t>
      </w:r>
      <w:r>
        <w:rPr>
          <w:rFonts w:hint="eastAsia" w:ascii="Times New Roman" w:hAnsi="Times New Roman" w:eastAsia="仿宋_GB2312" w:cs="Times New Roman"/>
          <w:b w:val="0"/>
          <w:bCs w:val="0"/>
          <w:kern w:val="2"/>
          <w:highlight w:val="none"/>
          <w:lang w:val="en-US" w:eastAsia="zh-CN"/>
        </w:rPr>
        <w:t>，为8名残疾儿童提供精准康复救助，为22名残疾人运动员组建四支集训队伍，培养游泳、乒乓球、旱地冰壶、田径方面的竞技体育人才，通过全国助残日、爱耳日、残疾预防日等重要节点，深入乡镇街道、村、社区、学校、车站等场所，积极广泛在全市开展残疾人康复政策及残疾预防知识宣传，不断提升群众知晓率，保障残疾人事业发展。</w:t>
      </w:r>
    </w:p>
    <w:p w14:paraId="7DCA36A7">
      <w:pPr>
        <w:pStyle w:val="11"/>
        <w:spacing w:before="0" w:after="0" w:line="560" w:lineRule="exact"/>
        <w:ind w:firstLine="640" w:firstLineChars="200"/>
        <w:jc w:val="left"/>
        <w:rPr>
          <w:rFonts w:hint="eastAsia"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lang w:val="en-US" w:eastAsia="zh-CN"/>
        </w:rPr>
        <w:t>项目实施情况：</w:t>
      </w:r>
      <w:r>
        <w:rPr>
          <w:rFonts w:hint="eastAsia" w:ascii="Times New Roman" w:hAnsi="Times New Roman" w:eastAsia="仿宋_GB2312" w:cs="Times New Roman"/>
          <w:b w:val="0"/>
          <w:bCs w:val="0"/>
          <w:kern w:val="2"/>
          <w:highlight w:val="none"/>
          <w:lang w:val="en-US" w:eastAsia="zh-CN"/>
        </w:rPr>
        <w:t>库尔勒市残疾人联合会全面落实残疾儿童康复救助政策，根据《库尔勒市残疾儿童康复救助实施方案》，完成残疾儿童康复救助人数8人，残疾儿童言语、社会认知、言语、融入社会水平得到提高；24名残疾人运动员参加集训项目4个，为备战2025年全国第十二届残疾人运动会暨第九届特殊奥林匹克运动会选拔出残疾人游泳、乒乓球、旱地冰壶、田径等体育竞技项目体育人才，力争在2025年全国第十二届残疾人运动会暨第九届特殊奥林匹克运动会取得优异成绩。</w:t>
      </w:r>
    </w:p>
    <w:p w14:paraId="7858582A">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5F7FDF44">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E168EA7">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142.02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142.02</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自治区财政残疾人事业发展补助资金彩票公益金</w:t>
      </w:r>
      <w:r>
        <w:rPr>
          <w:rFonts w:hint="default" w:ascii="Times New Roman" w:hAnsi="Times New Roman" w:eastAsia="仿宋_GB2312" w:cs="Times New Roman"/>
          <w:sz w:val="32"/>
          <w:szCs w:val="32"/>
          <w:highlight w:val="none"/>
          <w:lang w:val="en-US" w:eastAsia="zh-CN"/>
        </w:rPr>
        <w:t>。</w:t>
      </w:r>
    </w:p>
    <w:p w14:paraId="1156C737">
      <w:pPr>
        <w:keepNext w:val="0"/>
        <w:keepLines w:val="0"/>
        <w:pageBreakBefore w:val="0"/>
        <w:numPr>
          <w:ilvl w:val="0"/>
          <w:numId w:val="1"/>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资金使用情况</w:t>
      </w:r>
    </w:p>
    <w:p w14:paraId="4135A991">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142.02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142.02</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134.44</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93.96</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残疾儿童康复救助</w:t>
      </w:r>
      <w:r>
        <w:rPr>
          <w:rFonts w:hint="eastAsia" w:eastAsia="仿宋_GB2312" w:cs="Times New Roman"/>
          <w:sz w:val="32"/>
          <w:szCs w:val="32"/>
          <w:highlight w:val="none"/>
          <w:lang w:val="en-US" w:eastAsia="zh-CN"/>
        </w:rPr>
        <w:t>7.44万元</w:t>
      </w:r>
      <w:r>
        <w:rPr>
          <w:rFonts w:hint="eastAsia" w:ascii="Times New Roman" w:hAnsi="Times New Roman" w:eastAsia="仿宋_GB2312" w:cs="Times New Roman"/>
          <w:sz w:val="32"/>
          <w:szCs w:val="32"/>
          <w:highlight w:val="none"/>
          <w:lang w:val="en-US" w:eastAsia="zh-CN"/>
        </w:rPr>
        <w:t>、残疾人</w:t>
      </w:r>
      <w:r>
        <w:rPr>
          <w:rFonts w:hint="eastAsia" w:eastAsia="仿宋_GB2312" w:cs="Times New Roman"/>
          <w:sz w:val="32"/>
          <w:szCs w:val="32"/>
          <w:highlight w:val="none"/>
          <w:lang w:val="en-US" w:eastAsia="zh-CN"/>
        </w:rPr>
        <w:t>游泳、乒乓球、旱地冰壶、田径体育经费共127万元</w:t>
      </w:r>
      <w:r>
        <w:rPr>
          <w:rFonts w:hint="default" w:ascii="Times New Roman" w:hAnsi="Times New Roman" w:eastAsia="仿宋_GB2312" w:cs="Times New Roman"/>
          <w:sz w:val="32"/>
          <w:szCs w:val="32"/>
          <w:highlight w:val="none"/>
          <w:lang w:val="en-US" w:eastAsia="zh-CN"/>
        </w:rPr>
        <w:t>。</w:t>
      </w:r>
    </w:p>
    <w:p w14:paraId="26567C12">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11A03D8B">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506DFE22">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目标1：残疾儿童康复救助人数8人，22名残疾人运动员参加集训项目4个。目标2：残疾人康复政策及预防知识宣传</w:t>
      </w:r>
      <w:r>
        <w:rPr>
          <w:rFonts w:hint="eastAsia" w:eastAsia="仿宋_GB2312" w:cs="Times New Roman"/>
          <w:sz w:val="32"/>
          <w:szCs w:val="32"/>
          <w:highlight w:val="none"/>
          <w:lang w:val="en-US" w:eastAsia="zh-CN"/>
        </w:rPr>
        <w:t>知晓</w:t>
      </w:r>
      <w:r>
        <w:rPr>
          <w:rFonts w:hint="eastAsia" w:ascii="Times New Roman" w:hAnsi="Times New Roman" w:eastAsia="仿宋_GB2312" w:cs="Times New Roman"/>
          <w:sz w:val="32"/>
          <w:szCs w:val="32"/>
          <w:highlight w:val="none"/>
          <w:lang w:val="en-US" w:eastAsia="zh-CN"/>
        </w:rPr>
        <w:t>率85%以上。</w:t>
      </w:r>
    </w:p>
    <w:p w14:paraId="26EA212B">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363E78C0">
      <w:pPr>
        <w:pStyle w:val="11"/>
        <w:spacing w:before="0" w:after="0" w:line="560" w:lineRule="exact"/>
        <w:ind w:firstLine="640" w:firstLineChars="200"/>
        <w:jc w:val="left"/>
        <w:rPr>
          <w:rFonts w:hint="default" w:ascii="Times New Roman" w:hAnsi="Times New Roman" w:eastAsia="仿宋_GB2312" w:cs="Times New Roman"/>
          <w:b w:val="0"/>
          <w:bCs w:val="0"/>
          <w:kern w:val="2"/>
          <w:highlight w:val="none"/>
          <w:lang w:val="en-US" w:eastAsia="zh-CN"/>
        </w:rPr>
      </w:pPr>
      <w:r>
        <w:rPr>
          <w:rFonts w:hint="default" w:ascii="Times New Roman" w:hAnsi="Times New Roman" w:eastAsia="仿宋_GB2312" w:cs="Times New Roman"/>
          <w:b w:val="0"/>
          <w:bCs w:val="0"/>
          <w:kern w:val="2"/>
          <w:highlight w:val="none"/>
          <w:lang w:val="en-US" w:eastAsia="zh-CN"/>
        </w:rPr>
        <w:t>第一阶段</w:t>
      </w:r>
      <w:r>
        <w:rPr>
          <w:rFonts w:hint="eastAsia" w:ascii="Times New Roman" w:hAnsi="Times New Roman" w:eastAsia="仿宋_GB2312" w:cs="Times New Roman"/>
          <w:b w:val="0"/>
          <w:bCs w:val="0"/>
          <w:kern w:val="2"/>
          <w:highlight w:val="none"/>
          <w:lang w:val="en-US" w:eastAsia="zh-CN"/>
        </w:rPr>
        <w:t>是</w:t>
      </w:r>
      <w:r>
        <w:rPr>
          <w:rFonts w:hint="default" w:ascii="Times New Roman" w:hAnsi="Times New Roman" w:eastAsia="仿宋_GB2312" w:cs="Times New Roman"/>
          <w:b w:val="0"/>
          <w:bCs w:val="0"/>
          <w:kern w:val="2"/>
          <w:highlight w:val="none"/>
          <w:lang w:val="en-US" w:eastAsia="zh-CN"/>
        </w:rPr>
        <w:t>对需要精准康复救助的残疾儿童进行摸排和对晋级人才进行选拔确定运动员名单和集训项目</w:t>
      </w:r>
      <w:r>
        <w:rPr>
          <w:rFonts w:hint="eastAsia" w:ascii="Times New Roman" w:hAnsi="Times New Roman" w:eastAsia="仿宋_GB2312" w:cs="Times New Roman"/>
          <w:b w:val="0"/>
          <w:bCs w:val="0"/>
          <w:kern w:val="2"/>
          <w:highlight w:val="none"/>
          <w:lang w:val="en-US" w:eastAsia="zh-CN"/>
        </w:rPr>
        <w:t>，以及确定本年度需要宣传的内容，印制宣传单等。</w:t>
      </w:r>
    </w:p>
    <w:p w14:paraId="542A49C6">
      <w:pPr>
        <w:pStyle w:val="11"/>
        <w:spacing w:before="0" w:after="0" w:line="560" w:lineRule="exact"/>
        <w:ind w:firstLine="640" w:firstLineChars="200"/>
        <w:jc w:val="left"/>
        <w:rPr>
          <w:rFonts w:hint="default" w:ascii="Times New Roman" w:hAnsi="Times New Roman" w:eastAsia="仿宋_GB2312" w:cs="Times New Roman"/>
          <w:b w:val="0"/>
          <w:bCs w:val="0"/>
          <w:kern w:val="2"/>
          <w:highlight w:val="none"/>
          <w:lang w:val="en-US" w:eastAsia="zh-CN"/>
        </w:rPr>
      </w:pPr>
      <w:r>
        <w:rPr>
          <w:rFonts w:hint="default" w:ascii="Times New Roman" w:hAnsi="Times New Roman" w:eastAsia="仿宋_GB2312" w:cs="Times New Roman"/>
          <w:b w:val="0"/>
          <w:bCs w:val="0"/>
          <w:kern w:val="2"/>
          <w:highlight w:val="none"/>
          <w:lang w:val="en-US" w:eastAsia="zh-CN"/>
        </w:rPr>
        <w:t>第二阶段是与合作的第三方</w:t>
      </w:r>
      <w:r>
        <w:rPr>
          <w:rFonts w:hint="eastAsia" w:ascii="Times New Roman" w:hAnsi="Times New Roman" w:eastAsia="仿宋_GB2312" w:cs="Times New Roman"/>
          <w:b w:val="0"/>
          <w:bCs w:val="0"/>
          <w:kern w:val="2"/>
          <w:highlight w:val="none"/>
          <w:lang w:val="en-US" w:eastAsia="zh-CN"/>
        </w:rPr>
        <w:t>机构</w:t>
      </w:r>
      <w:r>
        <w:rPr>
          <w:rFonts w:hint="default" w:ascii="Times New Roman" w:hAnsi="Times New Roman" w:eastAsia="仿宋_GB2312" w:cs="Times New Roman"/>
          <w:b w:val="0"/>
          <w:bCs w:val="0"/>
          <w:kern w:val="2"/>
          <w:highlight w:val="none"/>
          <w:lang w:val="en-US" w:eastAsia="zh-CN"/>
        </w:rPr>
        <w:t>进行联系，</w:t>
      </w:r>
      <w:r>
        <w:rPr>
          <w:rFonts w:hint="eastAsia" w:ascii="Times New Roman" w:hAnsi="Times New Roman" w:eastAsia="仿宋_GB2312" w:cs="Times New Roman"/>
          <w:b w:val="0"/>
          <w:bCs w:val="0"/>
          <w:kern w:val="2"/>
          <w:highlight w:val="none"/>
          <w:lang w:val="en-US" w:eastAsia="zh-CN"/>
        </w:rPr>
        <w:t>负责</w:t>
      </w:r>
      <w:r>
        <w:rPr>
          <w:rFonts w:hint="default" w:ascii="Times New Roman" w:hAnsi="Times New Roman" w:eastAsia="仿宋_GB2312" w:cs="Times New Roman"/>
          <w:b w:val="0"/>
          <w:bCs w:val="0"/>
          <w:kern w:val="2"/>
          <w:highlight w:val="none"/>
          <w:lang w:val="en-US" w:eastAsia="zh-CN"/>
        </w:rPr>
        <w:t>残疾儿童</w:t>
      </w:r>
      <w:r>
        <w:rPr>
          <w:rFonts w:hint="eastAsia" w:ascii="Times New Roman" w:hAnsi="Times New Roman" w:eastAsia="仿宋_GB2312" w:cs="Times New Roman"/>
          <w:b w:val="0"/>
          <w:bCs w:val="0"/>
          <w:kern w:val="2"/>
          <w:highlight w:val="none"/>
          <w:lang w:val="en-US" w:eastAsia="zh-CN"/>
        </w:rPr>
        <w:t>的</w:t>
      </w:r>
      <w:r>
        <w:rPr>
          <w:rFonts w:hint="default" w:ascii="Times New Roman" w:hAnsi="Times New Roman" w:eastAsia="仿宋_GB2312" w:cs="Times New Roman"/>
          <w:b w:val="0"/>
          <w:bCs w:val="0"/>
          <w:kern w:val="2"/>
          <w:highlight w:val="none"/>
          <w:lang w:val="en-US" w:eastAsia="zh-CN"/>
        </w:rPr>
        <w:t>康复救助和</w:t>
      </w:r>
      <w:r>
        <w:rPr>
          <w:rFonts w:hint="eastAsia" w:ascii="Times New Roman" w:hAnsi="Times New Roman" w:eastAsia="仿宋_GB2312" w:cs="Times New Roman"/>
          <w:b w:val="0"/>
          <w:bCs w:val="0"/>
          <w:kern w:val="2"/>
          <w:highlight w:val="none"/>
          <w:lang w:val="en-US" w:eastAsia="zh-CN"/>
        </w:rPr>
        <w:t>残疾人</w:t>
      </w:r>
      <w:r>
        <w:rPr>
          <w:rFonts w:hint="default" w:ascii="Times New Roman" w:hAnsi="Times New Roman" w:eastAsia="仿宋_GB2312" w:cs="Times New Roman"/>
          <w:b w:val="0"/>
          <w:bCs w:val="0"/>
          <w:kern w:val="2"/>
          <w:highlight w:val="none"/>
          <w:lang w:val="en-US" w:eastAsia="zh-CN"/>
        </w:rPr>
        <w:t>运动员训练</w:t>
      </w:r>
      <w:r>
        <w:rPr>
          <w:rFonts w:hint="eastAsia" w:ascii="Times New Roman" w:hAnsi="Times New Roman" w:eastAsia="仿宋_GB2312" w:cs="Times New Roman"/>
          <w:b w:val="0"/>
          <w:bCs w:val="0"/>
          <w:kern w:val="2"/>
          <w:highlight w:val="none"/>
          <w:lang w:val="en-US" w:eastAsia="zh-CN"/>
        </w:rPr>
        <w:t>；以及</w:t>
      </w:r>
      <w:r>
        <w:rPr>
          <w:rFonts w:hint="eastAsia" w:ascii="Times New Roman" w:hAnsi="Times New Roman" w:eastAsia="仿宋_GB2312" w:cs="Times New Roman"/>
          <w:b w:val="0"/>
          <w:bCs w:val="0"/>
          <w:kern w:val="2"/>
          <w:highlight w:val="none"/>
          <w:lang w:eastAsia="zh-CN"/>
        </w:rPr>
        <w:t>通过全国助残日、爱耳日、残疾预防日等重要节点，深入乡镇街道、村、社区、学校、车站等场所，积极广泛在全市开展残疾人康复政策及残疾预防知识宣传。</w:t>
      </w:r>
    </w:p>
    <w:p w14:paraId="6DF64C03">
      <w:pPr>
        <w:pStyle w:val="11"/>
        <w:spacing w:before="0" w:after="0" w:line="560" w:lineRule="exact"/>
        <w:ind w:firstLine="640" w:firstLineChars="200"/>
        <w:jc w:val="left"/>
        <w:rPr>
          <w:rFonts w:hint="default" w:ascii="Times New Roman" w:hAnsi="Times New Roman" w:eastAsia="仿宋_GB2312" w:cs="Times New Roman"/>
          <w:b w:val="0"/>
          <w:bCs w:val="0"/>
          <w:kern w:val="2"/>
          <w:highlight w:val="none"/>
          <w:lang w:val="en-US" w:eastAsia="zh-CN"/>
        </w:rPr>
      </w:pPr>
      <w:r>
        <w:rPr>
          <w:rFonts w:hint="default" w:ascii="Times New Roman" w:hAnsi="Times New Roman" w:eastAsia="仿宋_GB2312" w:cs="Times New Roman"/>
          <w:b w:val="0"/>
          <w:bCs w:val="0"/>
          <w:kern w:val="2"/>
          <w:highlight w:val="none"/>
          <w:lang w:val="en-US" w:eastAsia="zh-CN"/>
        </w:rPr>
        <w:t>第三阶段是不定期对机构的项目开展情况进行问效并跟进具体实施情况</w:t>
      </w:r>
      <w:r>
        <w:rPr>
          <w:rFonts w:hint="eastAsia" w:ascii="Times New Roman" w:hAnsi="Times New Roman" w:eastAsia="仿宋_GB2312" w:cs="Times New Roman"/>
          <w:b w:val="0"/>
          <w:bCs w:val="0"/>
          <w:kern w:val="2"/>
          <w:highlight w:val="none"/>
          <w:lang w:val="en-US" w:eastAsia="zh-CN"/>
        </w:rPr>
        <w:t>，走访群众继续宣传</w:t>
      </w:r>
      <w:r>
        <w:rPr>
          <w:rFonts w:hint="eastAsia" w:ascii="Times New Roman" w:hAnsi="Times New Roman" w:eastAsia="仿宋_GB2312" w:cs="Times New Roman"/>
          <w:b w:val="0"/>
          <w:bCs w:val="0"/>
          <w:kern w:val="2"/>
          <w:highlight w:val="none"/>
          <w:lang w:eastAsia="zh-CN"/>
        </w:rPr>
        <w:t>残疾人康复政策及残疾预防知识。</w:t>
      </w:r>
    </w:p>
    <w:p w14:paraId="2ADCA558">
      <w:pPr>
        <w:pStyle w:val="11"/>
        <w:spacing w:before="0" w:after="0" w:line="560" w:lineRule="exact"/>
        <w:ind w:firstLine="640" w:firstLineChars="200"/>
        <w:jc w:val="left"/>
        <w:rPr>
          <w:rFonts w:hint="default" w:ascii="Times New Roman" w:hAnsi="Times New Roman" w:eastAsia="仿宋_GB2312" w:cs="Times New Roman"/>
          <w:b w:val="0"/>
          <w:bCs w:val="0"/>
          <w:kern w:val="2"/>
          <w:highlight w:val="none"/>
          <w:lang w:val="en-US" w:eastAsia="zh-CN"/>
        </w:rPr>
      </w:pPr>
      <w:r>
        <w:rPr>
          <w:rFonts w:hint="default" w:ascii="Times New Roman" w:hAnsi="Times New Roman" w:eastAsia="仿宋_GB2312" w:cs="Times New Roman"/>
          <w:b w:val="0"/>
          <w:bCs w:val="0"/>
          <w:kern w:val="2"/>
          <w:highlight w:val="none"/>
          <w:lang w:val="en-US" w:eastAsia="zh-CN"/>
        </w:rPr>
        <w:t>第四阶段是发放调查问卷</w:t>
      </w:r>
      <w:r>
        <w:rPr>
          <w:rFonts w:hint="eastAsia" w:ascii="Times New Roman" w:hAnsi="Times New Roman" w:eastAsia="仿宋_GB2312" w:cs="Times New Roman"/>
          <w:b w:val="0"/>
          <w:bCs w:val="0"/>
          <w:kern w:val="2"/>
          <w:highlight w:val="none"/>
          <w:lang w:val="en-US" w:eastAsia="zh-CN"/>
        </w:rPr>
        <w:t>进行数据分析</w:t>
      </w:r>
      <w:r>
        <w:rPr>
          <w:rFonts w:hint="default" w:ascii="Times New Roman" w:hAnsi="Times New Roman" w:eastAsia="仿宋_GB2312" w:cs="Times New Roman"/>
          <w:b w:val="0"/>
          <w:bCs w:val="0"/>
          <w:kern w:val="2"/>
          <w:highlight w:val="none"/>
          <w:lang w:val="en-US" w:eastAsia="zh-CN"/>
        </w:rPr>
        <w:t>，对训练和康复成果进行验收</w:t>
      </w:r>
      <w:r>
        <w:rPr>
          <w:rFonts w:hint="eastAsia" w:ascii="Times New Roman" w:hAnsi="Times New Roman" w:eastAsia="仿宋_GB2312" w:cs="Times New Roman"/>
          <w:b w:val="0"/>
          <w:bCs w:val="0"/>
          <w:kern w:val="2"/>
          <w:highlight w:val="none"/>
          <w:lang w:val="en-US" w:eastAsia="zh-CN"/>
        </w:rPr>
        <w:t>。</w:t>
      </w:r>
    </w:p>
    <w:p w14:paraId="05053E35">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5E676794">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Times New Roman" w:hAnsi="Times New Roman" w:eastAsia="楷体_GB2312" w:cs="Times New Roman"/>
          <w:b/>
          <w:bCs/>
          <w:sz w:val="32"/>
          <w:szCs w:val="32"/>
          <w:highlight w:val="none"/>
          <w:lang w:eastAsia="zh-CN"/>
        </w:rPr>
      </w:pPr>
      <w:r>
        <w:rPr>
          <w:rFonts w:hint="default" w:ascii="Times New Roman" w:hAnsi="Times New Roman" w:eastAsia="楷体_GB2312" w:cs="Times New Roman"/>
          <w:b/>
          <w:bCs/>
          <w:sz w:val="32"/>
          <w:szCs w:val="32"/>
          <w:highlight w:val="none"/>
        </w:rPr>
        <w:t>（一）绩效评价目的、对象和范围</w:t>
      </w:r>
    </w:p>
    <w:p w14:paraId="24C26AC1">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1.绩效评价完整性</w:t>
      </w:r>
    </w:p>
    <w:p w14:paraId="72FF5EC0">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94F37DB">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0B9F70FB">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在数据收集与分析环节，采用了多种科学合理的方法，如实地调研、问卷调查，广泛收集了与项目相关的</w:t>
      </w:r>
      <w:r>
        <w:rPr>
          <w:rFonts w:hint="eastAsia" w:eastAsia="仿宋_GB2312" w:cs="Times New Roman"/>
          <w:sz w:val="32"/>
          <w:szCs w:val="32"/>
          <w:highlight w:val="none"/>
          <w:lang w:val="en-US" w:eastAsia="zh-CN"/>
        </w:rPr>
        <w:t>基础信息、需求反馈、实施效果、群众满意度等数据</w:t>
      </w:r>
      <w:r>
        <w:rPr>
          <w:rFonts w:hint="default" w:ascii="Times New Roman" w:hAnsi="Times New Roman" w:eastAsia="仿宋_GB2312" w:cs="Times New Roman"/>
          <w:sz w:val="32"/>
          <w:szCs w:val="32"/>
          <w:highlight w:val="none"/>
          <w:lang w:val="en-US" w:eastAsia="zh-CN"/>
        </w:rPr>
        <w:t>，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F6DA3C6">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1A8D943">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087F092">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2.绩效评价的目的</w:t>
      </w:r>
    </w:p>
    <w:p w14:paraId="124CF648">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（1）评估项目实施效果</w:t>
      </w:r>
    </w:p>
    <w:p w14:paraId="76AFE716">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通过对项目预算执行情况及各项绩效目标达成程度的系统性分析，全面、客观地评估巴财社[2023]83号提前下达2024年自治区财政残疾人事业发展补助资金[彩票公益金]（142.016万元）</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在预定周期内的实施效果，包括社会效益以及可持续性</w:t>
      </w:r>
      <w:r>
        <w:rPr>
          <w:rFonts w:hint="eastAsia" w:ascii="Times New Roman" w:hAnsi="Times New Roman" w:eastAsia="仿宋_GB2312" w:cs="Times New Roman"/>
          <w:sz w:val="32"/>
          <w:szCs w:val="32"/>
          <w:highlight w:val="none"/>
          <w:lang w:val="en-US" w:eastAsia="zh-CN"/>
        </w:rPr>
        <w:t>体育人才选拔</w:t>
      </w:r>
      <w:r>
        <w:rPr>
          <w:rFonts w:hint="default" w:ascii="Times New Roman" w:hAnsi="Times New Roman" w:eastAsia="仿宋_GB2312" w:cs="Times New Roman"/>
          <w:sz w:val="32"/>
          <w:szCs w:val="32"/>
          <w:highlight w:val="none"/>
          <w:lang w:val="en-US" w:eastAsia="zh-CN"/>
        </w:rPr>
        <w:t>等多维度指标，为项目后续的改进与优化提供科学依据。</w:t>
      </w:r>
    </w:p>
    <w:p w14:paraId="47D3B67D">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（2）提升资源利用效率</w:t>
      </w:r>
    </w:p>
    <w:p w14:paraId="661B2A4D">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F6B02E7">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（3）强化项目管理责任</w:t>
      </w:r>
    </w:p>
    <w:p w14:paraId="67890D38">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5993D36">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（4）为决策提供支持</w:t>
      </w:r>
    </w:p>
    <w:p w14:paraId="251E38CC">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B7EE05A">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（5）促进项目持续改进</w:t>
      </w:r>
    </w:p>
    <w:p w14:paraId="4D2D5544">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6F5020C">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41F7F21">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3.绩效评价的对象</w:t>
      </w:r>
    </w:p>
    <w:p w14:paraId="6EC4EF0C">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本项目预算绩效评价报告的评价对象是[巴财社[2023]83号提前下达2024年自治区财政残疾人事业发展补助资金[彩票公益金]（142.016万元）]及其预算执行情况。该项目由</w:t>
      </w:r>
      <w:r>
        <w:rPr>
          <w:rFonts w:hint="eastAsia" w:ascii="Times New Roman" w:hAnsi="Times New Roman" w:eastAsia="仿宋_GB2312" w:cs="Times New Roman"/>
          <w:sz w:val="32"/>
          <w:szCs w:val="32"/>
          <w:highlight w:val="none"/>
          <w:lang w:val="en-US" w:eastAsia="zh-CN"/>
        </w:rPr>
        <w:t>库尔勒市残疾人联合会</w:t>
      </w:r>
      <w:r>
        <w:rPr>
          <w:rFonts w:hint="default" w:ascii="Times New Roman" w:hAnsi="Times New Roman" w:eastAsia="仿宋_GB2312" w:cs="Times New Roman"/>
          <w:sz w:val="32"/>
          <w:szCs w:val="32"/>
          <w:highlight w:val="none"/>
          <w:lang w:val="en-US" w:eastAsia="zh-CN"/>
        </w:rPr>
        <w:t>负责实施，旨在</w:t>
      </w:r>
      <w:r>
        <w:rPr>
          <w:rFonts w:hint="eastAsia" w:ascii="Times New Roman" w:hAnsi="Times New Roman" w:eastAsia="仿宋_GB2312" w:cs="Times New Roman"/>
          <w:sz w:val="32"/>
          <w:szCs w:val="32"/>
          <w:highlight w:val="none"/>
          <w:lang w:val="en-US" w:eastAsia="zh-CN"/>
        </w:rPr>
        <w:t>对有需求的残疾儿童进行康复救助，培养选拔残疾人运动员参加集训项目</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通过多形式宣传，使得残疾人康复政策及预防知识宣传知</w:t>
      </w:r>
      <w:r>
        <w:rPr>
          <w:rFonts w:hint="eastAsia" w:eastAsia="仿宋_GB2312" w:cs="Times New Roman"/>
          <w:sz w:val="32"/>
          <w:szCs w:val="32"/>
          <w:highlight w:val="none"/>
          <w:lang w:val="en-US" w:eastAsia="zh-CN"/>
        </w:rPr>
        <w:t>晓</w:t>
      </w:r>
      <w:r>
        <w:rPr>
          <w:rFonts w:hint="eastAsia" w:ascii="Times New Roman" w:hAnsi="Times New Roman" w:eastAsia="仿宋_GB2312" w:cs="Times New Roman"/>
          <w:sz w:val="32"/>
          <w:szCs w:val="32"/>
          <w:highlight w:val="none"/>
          <w:lang w:val="en-US" w:eastAsia="zh-CN"/>
        </w:rPr>
        <w:t>率</w:t>
      </w:r>
      <w:r>
        <w:rPr>
          <w:rFonts w:hint="eastAsia" w:eastAsia="仿宋_GB2312" w:cs="Times New Roman"/>
          <w:sz w:val="32"/>
          <w:szCs w:val="32"/>
          <w:highlight w:val="none"/>
          <w:lang w:val="en-US" w:eastAsia="zh-CN"/>
        </w:rPr>
        <w:t>有所提高</w:t>
      </w:r>
      <w:r>
        <w:rPr>
          <w:rFonts w:hint="default" w:ascii="Times New Roman" w:hAnsi="Times New Roman" w:eastAsia="仿宋_GB2312" w:cs="Times New Roman"/>
          <w:sz w:val="32"/>
          <w:szCs w:val="32"/>
          <w:highlight w:val="none"/>
          <w:lang w:val="en-US" w:eastAsia="zh-CN"/>
        </w:rPr>
        <w:t>。项目预算涵盖从</w:t>
      </w:r>
      <w:r>
        <w:rPr>
          <w:rFonts w:hint="eastAsia" w:eastAsia="仿宋_GB2312" w:cs="Times New Roman"/>
          <w:sz w:val="32"/>
          <w:szCs w:val="32"/>
          <w:highlight w:val="none"/>
          <w:lang w:val="en-US" w:eastAsia="zh-CN"/>
        </w:rPr>
        <w:t>2024年1月1日</w:t>
      </w:r>
      <w:r>
        <w:rPr>
          <w:rFonts w:hint="default" w:ascii="Times New Roman" w:hAnsi="Times New Roman" w:eastAsia="仿宋_GB2312" w:cs="Times New Roman"/>
          <w:sz w:val="32"/>
          <w:szCs w:val="32"/>
          <w:highlight w:val="none"/>
          <w:lang w:val="en-US" w:eastAsia="zh-CN"/>
        </w:rPr>
        <w:t>至</w:t>
      </w:r>
      <w:r>
        <w:rPr>
          <w:rFonts w:hint="eastAsia"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lang w:val="en-US" w:eastAsia="zh-CN"/>
        </w:rPr>
        <w:t>的全部资金投入与支出，涉及资金总额为[</w:t>
      </w:r>
      <w:r>
        <w:rPr>
          <w:rFonts w:hint="eastAsia" w:ascii="Times New Roman" w:hAnsi="Times New Roman" w:eastAsia="仿宋_GB2312" w:cs="Times New Roman"/>
          <w:sz w:val="32"/>
          <w:szCs w:val="32"/>
          <w:highlight w:val="none"/>
          <w:lang w:val="en-US" w:eastAsia="zh-CN"/>
        </w:rPr>
        <w:t>142.02</w:t>
      </w:r>
      <w:r>
        <w:rPr>
          <w:rFonts w:hint="default" w:ascii="Times New Roman" w:hAnsi="Times New Roman" w:eastAsia="仿宋_GB2312" w:cs="Times New Roman"/>
          <w:sz w:val="32"/>
          <w:szCs w:val="32"/>
          <w:highlight w:val="none"/>
          <w:lang w:val="en-US" w:eastAsia="zh-CN"/>
        </w:rPr>
        <w:t>]万元。</w:t>
      </w:r>
    </w:p>
    <w:p w14:paraId="15F9EF4B">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4.绩效评价的范围</w:t>
      </w:r>
    </w:p>
    <w:p w14:paraId="35AF1079">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本项目预算绩效评价报告的评价范围广泛而全面，涵盖了从项目立项至评价时点期间的所有关键预算活动和财务流程。具体而言，评价范围包括但不限于以下几个方面：</w:t>
      </w:r>
    </w:p>
    <w:p w14:paraId="39116E68">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项目预算编制与执行：全面审视项目预算的编制依据、合理性、科学性以及实际执行情况，包括预算调整的原因和效果。</w:t>
      </w:r>
    </w:p>
    <w:p w14:paraId="311F594E">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资金管理：深入分析项目资金的分配、使用和监管情况，确保资金使用的合规性、高效性和透明度。</w:t>
      </w:r>
    </w:p>
    <w:p w14:paraId="587B3387">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项目实施进度与产出：评估项目是否按照既定计划顺利推进，各项任务是否按时完成，以及项目产出的数量、质量和时效性是否符合预期。</w:t>
      </w:r>
    </w:p>
    <w:p w14:paraId="220976B4">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社会影响：考察项目对社会</w:t>
      </w:r>
      <w:r>
        <w:rPr>
          <w:rFonts w:hint="eastAsia" w:eastAsia="仿宋_GB2312" w:cs="Times New Roman"/>
          <w:sz w:val="32"/>
          <w:szCs w:val="32"/>
          <w:highlight w:val="none"/>
          <w:lang w:val="en-US" w:eastAsia="zh-CN"/>
        </w:rPr>
        <w:t>公共服务</w:t>
      </w:r>
      <w:r>
        <w:rPr>
          <w:rFonts w:hint="default" w:ascii="Times New Roman" w:hAnsi="Times New Roman" w:eastAsia="仿宋_GB2312" w:cs="Times New Roman"/>
          <w:sz w:val="32"/>
          <w:szCs w:val="32"/>
          <w:highlight w:val="none"/>
          <w:lang w:val="en-US" w:eastAsia="zh-CN"/>
        </w:rPr>
        <w:t>方面的综合影响。</w:t>
      </w:r>
    </w:p>
    <w:p w14:paraId="5C29C979">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188163FE">
      <w:pPr>
        <w:pStyle w:val="11"/>
        <w:keepNext w:val="0"/>
        <w:keepLines w:val="0"/>
        <w:pageBreakBefore w:val="0"/>
        <w:widowControl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3461D45C">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4ABEC032">
      <w:pPr>
        <w:pStyle w:val="11"/>
        <w:keepNext w:val="0"/>
        <w:keepLines w:val="0"/>
        <w:pageBreakBefore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2150FB75">
      <w:pPr>
        <w:pStyle w:val="11"/>
        <w:keepNext w:val="0"/>
        <w:keepLines w:val="0"/>
        <w:pageBreakBefore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57BEBE75">
      <w:pPr>
        <w:pStyle w:val="11"/>
        <w:keepNext w:val="0"/>
        <w:keepLines w:val="0"/>
        <w:pageBreakBefore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7CCB8D3B">
      <w:pPr>
        <w:pStyle w:val="11"/>
        <w:keepNext w:val="0"/>
        <w:keepLines w:val="0"/>
        <w:pageBreakBefore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4647CCE3">
      <w:pPr>
        <w:pStyle w:val="11"/>
        <w:keepNext w:val="0"/>
        <w:keepLines w:val="0"/>
        <w:pageBreakBefore w:val="0"/>
        <w:widowControl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40DC6644">
      <w:pPr>
        <w:keepNext w:val="0"/>
        <w:keepLines w:val="0"/>
        <w:pageBreakBefore w:val="0"/>
        <w:kinsoku/>
        <w:wordWrap/>
        <w:overflowPunct/>
        <w:topLinePunct w:val="0"/>
        <w:autoSpaceDE/>
        <w:autoSpaceDN/>
        <w:bidi w:val="0"/>
        <w:adjustRightInd/>
        <w:snapToGrid/>
        <w:spacing w:line="500" w:lineRule="exact"/>
        <w:ind w:firstLine="708" w:firstLineChars="200"/>
        <w:textAlignment w:val="auto"/>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44410E06">
      <w:pPr>
        <w:keepNext w:val="0"/>
        <w:keepLines w:val="0"/>
        <w:pageBreakBefore w:val="0"/>
        <w:kinsoku/>
        <w:wordWrap/>
        <w:overflowPunct/>
        <w:topLinePunct w:val="0"/>
        <w:autoSpaceDE/>
        <w:autoSpaceDN/>
        <w:bidi w:val="0"/>
        <w:adjustRightInd/>
        <w:snapToGrid/>
        <w:spacing w:line="50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5145704B">
      <w:pPr>
        <w:keepNext w:val="0"/>
        <w:keepLines w:val="0"/>
        <w:pageBreakBefore w:val="0"/>
        <w:kinsoku/>
        <w:wordWrap/>
        <w:overflowPunct/>
        <w:topLinePunct w:val="0"/>
        <w:autoSpaceDE/>
        <w:autoSpaceDN/>
        <w:bidi w:val="0"/>
        <w:adjustRightInd/>
        <w:snapToGrid/>
        <w:spacing w:line="50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30EC8A31">
      <w:pPr>
        <w:keepNext w:val="0"/>
        <w:keepLines w:val="0"/>
        <w:pageBreakBefore w:val="0"/>
        <w:kinsoku/>
        <w:wordWrap/>
        <w:overflowPunct/>
        <w:topLinePunct w:val="0"/>
        <w:autoSpaceDE/>
        <w:autoSpaceDN/>
        <w:bidi w:val="0"/>
        <w:adjustRightInd/>
        <w:snapToGrid/>
        <w:spacing w:line="50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5C68DFFC">
      <w:pPr>
        <w:keepNext w:val="0"/>
        <w:keepLines w:val="0"/>
        <w:pageBreakBefore w:val="0"/>
        <w:kinsoku/>
        <w:wordWrap/>
        <w:overflowPunct/>
        <w:topLinePunct w:val="0"/>
        <w:autoSpaceDE/>
        <w:autoSpaceDN/>
        <w:bidi w:val="0"/>
        <w:adjustRightInd/>
        <w:snapToGrid/>
        <w:spacing w:line="500" w:lineRule="exact"/>
        <w:ind w:firstLine="708" w:firstLineChars="200"/>
        <w:textAlignment w:val="auto"/>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val="en-US" w:eastAsia="zh-CN"/>
        </w:rPr>
        <w:t>确定各个指标相对于项目总体绩效的权重分值。在绩效评价指标体系中，项目决策权重为20分，项目过程权重为20分，项目产出权重为40分，项目效益权重为20分。</w:t>
      </w:r>
    </w:p>
    <w:p w14:paraId="0578DA3C">
      <w:pPr>
        <w:keepNext w:val="0"/>
        <w:keepLines w:val="0"/>
        <w:pageBreakBefore w:val="0"/>
        <w:kinsoku/>
        <w:wordWrap/>
        <w:overflowPunct/>
        <w:topLinePunct w:val="0"/>
        <w:autoSpaceDE/>
        <w:autoSpaceDN/>
        <w:bidi w:val="0"/>
        <w:adjustRightInd/>
        <w:snapToGrid/>
        <w:spacing w:line="50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31061EA1">
      <w:pPr>
        <w:keepNext w:val="0"/>
        <w:keepLines w:val="0"/>
        <w:pageBreakBefore w:val="0"/>
        <w:kinsoku/>
        <w:wordWrap/>
        <w:overflowPunct/>
        <w:topLinePunct w:val="0"/>
        <w:autoSpaceDE/>
        <w:autoSpaceDN/>
        <w:bidi w:val="0"/>
        <w:adjustRightInd/>
        <w:snapToGrid/>
        <w:spacing w:line="50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w:t>
      </w:r>
      <w:r>
        <w:rPr>
          <w:rFonts w:hint="default" w:ascii="Times New Roman" w:hAnsi="Times New Roman" w:eastAsia="仿宋_GB2312" w:cs="Times New Roman"/>
          <w:b w:val="0"/>
          <w:bCs w:val="0"/>
          <w:kern w:val="28"/>
          <w:sz w:val="32"/>
          <w:szCs w:val="32"/>
          <w:highlight w:val="none"/>
          <w:lang w:val="en-US" w:eastAsia="zh-CN" w:bidi="ar-SA"/>
        </w:rPr>
        <w:t>标准值是绩效评价指标的尺度，既要反映同类项目的先进水平，又要符合项目的实际绩效水平。具体采用计划标准等确定此</w:t>
      </w:r>
      <w:r>
        <w:rPr>
          <w:rFonts w:hint="default" w:ascii="Times New Roman" w:hAnsi="Times New Roman" w:eastAsia="仿宋_GB2312" w:cs="Times New Roman"/>
          <w:color w:val="000000"/>
          <w:spacing w:val="17"/>
          <w:sz w:val="32"/>
          <w:szCs w:val="32"/>
          <w:highlight w:val="none"/>
        </w:rPr>
        <w:t>次绩效评价指标标准值。</w:t>
      </w:r>
    </w:p>
    <w:p w14:paraId="4901CA5A">
      <w:pPr>
        <w:pStyle w:val="11"/>
        <w:keepNext w:val="0"/>
        <w:keepLines w:val="0"/>
        <w:pageBreakBefore w:val="0"/>
        <w:kinsoku/>
        <w:wordWrap/>
        <w:overflowPunct/>
        <w:topLinePunct w:val="0"/>
        <w:autoSpaceDE/>
        <w:autoSpaceDN/>
        <w:bidi w:val="0"/>
        <w:adjustRightInd/>
        <w:snapToGrid/>
        <w:spacing w:before="0" w:after="0" w:line="500" w:lineRule="exact"/>
        <w:ind w:firstLine="708" w:firstLineChars="200"/>
        <w:jc w:val="both"/>
        <w:textAlignment w:val="auto"/>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39931D4C">
      <w:pPr>
        <w:pStyle w:val="11"/>
        <w:keepNext w:val="0"/>
        <w:keepLines w:val="0"/>
        <w:pageBreakBefore w:val="0"/>
        <w:widowControl w:val="0"/>
        <w:kinsoku/>
        <w:wordWrap/>
        <w:overflowPunct/>
        <w:topLinePunct w:val="0"/>
        <w:autoSpaceDE/>
        <w:autoSpaceDN/>
        <w:bidi w:val="0"/>
        <w:adjustRightInd/>
        <w:snapToGrid/>
        <w:spacing w:before="0" w:after="0" w:line="500" w:lineRule="exact"/>
        <w:ind w:firstLine="708" w:firstLineChars="200"/>
        <w:jc w:val="both"/>
        <w:textAlignment w:val="auto"/>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1333295D">
      <w:pPr>
        <w:pStyle w:val="11"/>
        <w:keepNext w:val="0"/>
        <w:keepLines w:val="0"/>
        <w:pageBreakBefore w:val="0"/>
        <w:widowControl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098F77DE">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绩效评价从项目决策、项目过程、项目产出、项目效益四个维度进行评价。评价对象为项目目标实施情况，评价核心为资金的支出完成情况和项目的产出效益。</w:t>
      </w:r>
    </w:p>
    <w:p w14:paraId="085E03D5">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本次评价指标中，既有定性指标又有定量指标，各类指标因考核内容不同和客观标准不同存在较大差异，因此核定具体指标时采用了不同方法，具体评价方法如下：</w:t>
      </w:r>
    </w:p>
    <w:p w14:paraId="71143454">
      <w:pPr>
        <w:pStyle w:val="11"/>
        <w:keepNext w:val="0"/>
        <w:keepLines w:val="0"/>
        <w:pageBreakBefore w:val="0"/>
        <w:widowControl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w:t>
      </w:r>
      <w:r>
        <w:rPr>
          <w:rFonts w:hint="eastAsia" w:ascii="Times New Roman" w:hAnsi="Times New Roman" w:eastAsia="仿宋_GB2312" w:cs="Times New Roman"/>
          <w:b w:val="0"/>
          <w:bCs w:val="0"/>
          <w:highlight w:val="none"/>
          <w:lang w:val="en-US" w:eastAsia="zh-CN"/>
        </w:rPr>
        <w:t>一</w:t>
      </w:r>
      <w:r>
        <w:rPr>
          <w:rFonts w:hint="default" w:ascii="Times New Roman" w:hAnsi="Times New Roman" w:eastAsia="仿宋_GB2312" w:cs="Times New Roman"/>
          <w:b w:val="0"/>
          <w:bCs w:val="0"/>
          <w:highlight w:val="none"/>
        </w:rPr>
        <w:t>）比较法。</w:t>
      </w:r>
      <w:r>
        <w:rPr>
          <w:rFonts w:hint="eastAsia" w:ascii="Times New Roman" w:hAnsi="Times New Roman" w:eastAsia="仿宋_GB2312" w:cs="Times New Roman"/>
          <w:b w:val="0"/>
          <w:bCs w:val="0"/>
          <w:highlight w:val="none"/>
          <w:lang w:val="en-US" w:eastAsia="zh-CN"/>
        </w:rPr>
        <w:t>在项目实施之前预先制定了该项目的目标、计划和预算，可以</w:t>
      </w:r>
      <w:r>
        <w:rPr>
          <w:rFonts w:hint="default" w:ascii="Times New Roman" w:hAnsi="Times New Roman" w:eastAsia="仿宋_GB2312" w:cs="Times New Roman"/>
          <w:b w:val="0"/>
          <w:bCs w:val="0"/>
          <w:highlight w:val="none"/>
        </w:rPr>
        <w:t>将</w:t>
      </w:r>
      <w:r>
        <w:rPr>
          <w:rFonts w:hint="eastAsia" w:ascii="Times New Roman" w:hAnsi="Times New Roman" w:eastAsia="仿宋_GB2312" w:cs="Times New Roman"/>
          <w:b w:val="0"/>
          <w:bCs w:val="0"/>
          <w:highlight w:val="none"/>
          <w:lang w:val="en-US" w:eastAsia="zh-CN"/>
        </w:rPr>
        <w:t>该项目的</w:t>
      </w:r>
      <w:r>
        <w:rPr>
          <w:rFonts w:hint="default" w:ascii="Times New Roman" w:hAnsi="Times New Roman" w:eastAsia="仿宋_GB2312" w:cs="Times New Roman"/>
          <w:b w:val="0"/>
          <w:bCs w:val="0"/>
          <w:highlight w:val="none"/>
        </w:rPr>
        <w:t>实施情况与绩效目标比较</w:t>
      </w:r>
      <w:r>
        <w:rPr>
          <w:rFonts w:hint="eastAsia" w:ascii="Times New Roman" w:hAnsi="Times New Roman" w:eastAsia="仿宋_GB2312" w:cs="Times New Roman"/>
          <w:b w:val="0"/>
          <w:bCs w:val="0"/>
          <w:highlight w:val="none"/>
          <w:lang w:val="en-US" w:eastAsia="zh-CN"/>
        </w:rPr>
        <w:t>后进行评价</w:t>
      </w:r>
      <w:r>
        <w:rPr>
          <w:rFonts w:hint="default" w:ascii="Times New Roman" w:hAnsi="Times New Roman" w:eastAsia="仿宋_GB2312" w:cs="Times New Roman"/>
          <w:b w:val="0"/>
          <w:bCs w:val="0"/>
          <w:highlight w:val="none"/>
        </w:rPr>
        <w:t>。</w:t>
      </w:r>
    </w:p>
    <w:p w14:paraId="04256A9E">
      <w:pPr>
        <w:pStyle w:val="11"/>
        <w:keepNext w:val="0"/>
        <w:keepLines w:val="0"/>
        <w:pageBreakBefore w:val="0"/>
        <w:widowControl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yellow"/>
        </w:rPr>
      </w:pPr>
      <w:r>
        <w:rPr>
          <w:rFonts w:hint="default" w:ascii="Times New Roman" w:hAnsi="Times New Roman" w:eastAsia="仿宋_GB2312" w:cs="Times New Roman"/>
          <w:b w:val="0"/>
          <w:bCs w:val="0"/>
          <w:highlight w:val="none"/>
        </w:rPr>
        <w:t>（</w:t>
      </w:r>
      <w:r>
        <w:rPr>
          <w:rFonts w:hint="eastAsia" w:ascii="Times New Roman" w:hAnsi="Times New Roman" w:eastAsia="仿宋_GB2312" w:cs="Times New Roman"/>
          <w:b w:val="0"/>
          <w:bCs w:val="0"/>
          <w:highlight w:val="none"/>
          <w:lang w:val="en-US" w:eastAsia="zh-CN"/>
        </w:rPr>
        <w:t>二</w:t>
      </w:r>
      <w:r>
        <w:rPr>
          <w:rFonts w:hint="default" w:ascii="Times New Roman" w:hAnsi="Times New Roman" w:eastAsia="仿宋_GB2312" w:cs="Times New Roman"/>
          <w:b w:val="0"/>
          <w:bCs w:val="0"/>
          <w:highlight w:val="none"/>
        </w:rPr>
        <w:t>）公众评判法。</w:t>
      </w:r>
      <w:r>
        <w:rPr>
          <w:rFonts w:hint="eastAsia" w:ascii="Times New Roman" w:hAnsi="Times New Roman" w:eastAsia="仿宋_GB2312" w:cs="Times New Roman"/>
          <w:b w:val="0"/>
          <w:bCs w:val="0"/>
          <w:highlight w:val="none"/>
          <w:lang w:val="en-US" w:eastAsia="zh-CN"/>
        </w:rPr>
        <w:t>本单位在该项目实施完成后向参与到该项目的残疾人发放调查</w:t>
      </w:r>
      <w:r>
        <w:rPr>
          <w:rFonts w:hint="default" w:ascii="Times New Roman" w:hAnsi="Times New Roman" w:eastAsia="仿宋_GB2312" w:cs="Times New Roman"/>
          <w:b w:val="0"/>
          <w:bCs w:val="0"/>
          <w:highlight w:val="none"/>
        </w:rPr>
        <w:t>问卷</w:t>
      </w:r>
      <w:r>
        <w:rPr>
          <w:rFonts w:hint="eastAsia" w:ascii="Times New Roman" w:hAnsi="Times New Roman" w:eastAsia="仿宋_GB2312" w:cs="Times New Roman"/>
          <w:b w:val="0"/>
          <w:bCs w:val="0"/>
          <w:highlight w:val="none"/>
          <w:lang w:val="en-US" w:eastAsia="zh-CN"/>
        </w:rPr>
        <w:t>对该项目绩效的各种指标</w:t>
      </w:r>
      <w:r>
        <w:rPr>
          <w:rFonts w:hint="default" w:ascii="Times New Roman" w:hAnsi="Times New Roman" w:eastAsia="仿宋_GB2312" w:cs="Times New Roman"/>
          <w:b w:val="0"/>
          <w:bCs w:val="0"/>
          <w:highlight w:val="none"/>
        </w:rPr>
        <w:t>进行评判</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可以根据评判结果进行评价</w:t>
      </w:r>
      <w:r>
        <w:rPr>
          <w:rFonts w:hint="default" w:ascii="Times New Roman" w:hAnsi="Times New Roman" w:eastAsia="仿宋_GB2312" w:cs="Times New Roman"/>
          <w:b w:val="0"/>
          <w:bCs w:val="0"/>
          <w:highlight w:val="none"/>
        </w:rPr>
        <w:t>。</w:t>
      </w:r>
    </w:p>
    <w:p w14:paraId="6532FBA3">
      <w:pPr>
        <w:pStyle w:val="11"/>
        <w:keepNext w:val="0"/>
        <w:keepLines w:val="0"/>
        <w:pageBreakBefore w:val="0"/>
        <w:widowControl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1EF1B3E1">
      <w:pPr>
        <w:pStyle w:val="11"/>
        <w:keepNext w:val="0"/>
        <w:keepLines w:val="0"/>
        <w:pageBreakBefore w:val="0"/>
        <w:widowControl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w:t>
      </w:r>
    </w:p>
    <w:p w14:paraId="6EF81FD4">
      <w:pPr>
        <w:pStyle w:val="11"/>
        <w:keepNext w:val="0"/>
        <w:keepLines w:val="0"/>
        <w:pageBreakBefore w:val="0"/>
        <w:widowControl w:val="0"/>
        <w:kinsoku/>
        <w:wordWrap/>
        <w:overflowPunct/>
        <w:topLinePunct w:val="0"/>
        <w:autoSpaceDE/>
        <w:autoSpaceDN/>
        <w:bidi w:val="0"/>
        <w:adjustRightInd/>
        <w:snapToGrid/>
        <w:spacing w:before="0" w:after="0" w:line="500" w:lineRule="exact"/>
        <w:ind w:firstLine="640" w:firstLineChars="200"/>
        <w:jc w:val="both"/>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rPr>
        <w:t>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eastAsia" w:ascii="Times New Roman" w:hAnsi="Times New Roman" w:eastAsia="仿宋_GB2312" w:cs="Times New Roman"/>
          <w:b w:val="0"/>
          <w:bCs w:val="0"/>
          <w:highlight w:val="none"/>
          <w:lang w:val="en-US" w:eastAsia="zh-CN"/>
        </w:rPr>
        <w:t>因为本单位在项目实施之前预先制定了该项目的目标、计划和预算，可以通过对比该项目的实际完成值与预定值，找出两者之间的差距，从而评估绩效。‌</w:t>
      </w:r>
    </w:p>
    <w:p w14:paraId="594CCB79">
      <w:pPr>
        <w:pStyle w:val="11"/>
        <w:keepNext w:val="0"/>
        <w:keepLines w:val="0"/>
        <w:pageBreakBefore w:val="0"/>
        <w:numPr>
          <w:ilvl w:val="0"/>
          <w:numId w:val="2"/>
        </w:numPr>
        <w:kinsoku/>
        <w:wordWrap/>
        <w:overflowPunct/>
        <w:topLinePunct w:val="0"/>
        <w:autoSpaceDE/>
        <w:autoSpaceDN/>
        <w:bidi w:val="0"/>
        <w:adjustRightInd/>
        <w:snapToGrid/>
        <w:spacing w:before="0" w:after="0" w:line="500" w:lineRule="exact"/>
        <w:ind w:firstLine="711" w:firstLineChars="200"/>
        <w:jc w:val="both"/>
        <w:textAlignment w:val="auto"/>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26419F7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（1）前期准备与规划</w:t>
      </w:r>
    </w:p>
    <w:p w14:paraId="4DBD321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在项目绩效评价工作启动之初，成立了专门的评价工作小组，小组成员由财务</w:t>
      </w:r>
      <w:r>
        <w:rPr>
          <w:rFonts w:hint="eastAsia" w:ascii="Times New Roman" w:hAnsi="Times New Roman" w:eastAsia="仿宋_GB2312" w:cs="Times New Roman"/>
          <w:kern w:val="2"/>
          <w:sz w:val="32"/>
          <w:szCs w:val="32"/>
          <w:highlight w:val="none"/>
          <w:lang w:val="en-US" w:eastAsia="zh-CN" w:bidi="ar-SA"/>
        </w:rPr>
        <w:t>报账员</w:t>
      </w:r>
      <w:r>
        <w:rPr>
          <w:rFonts w:hint="default" w:ascii="Times New Roman" w:hAnsi="Times New Roman" w:eastAsia="仿宋_GB2312" w:cs="Times New Roman"/>
          <w:kern w:val="2"/>
          <w:sz w:val="32"/>
          <w:szCs w:val="32"/>
          <w:highlight w:val="none"/>
          <w:lang w:val="en-US" w:eastAsia="zh-CN" w:bidi="ar-SA"/>
        </w:rPr>
        <w:t>、项目管理专业人员及相关领域技术骨干组成，确保从多角度、全方位对项目绩效进行评价。同时，明确了评价工作的目标、范围、重点及时间安排，制定了详细的工作计划，为评价工作的顺利开展奠定了坚实基础。</w:t>
      </w:r>
    </w:p>
    <w:p w14:paraId="1936978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（2）指标体系构建</w:t>
      </w:r>
    </w:p>
    <w:p w14:paraId="35A51C0E">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6B3BC56D">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（3）数据收集与整理</w:t>
      </w:r>
    </w:p>
    <w:p w14:paraId="3DE0905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广泛收集与项目相关的各类数据，包括</w:t>
      </w:r>
      <w:r>
        <w:rPr>
          <w:rFonts w:hint="eastAsia" w:eastAsia="仿宋_GB2312" w:cs="Times New Roman"/>
          <w:kern w:val="2"/>
          <w:sz w:val="32"/>
          <w:szCs w:val="32"/>
          <w:highlight w:val="none"/>
          <w:lang w:val="en-US" w:eastAsia="zh-CN" w:bidi="ar-SA"/>
        </w:rPr>
        <w:t>项目资金支出报表</w:t>
      </w:r>
      <w:r>
        <w:rPr>
          <w:rFonts w:hint="default"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人员名单</w:t>
      </w:r>
      <w:r>
        <w:rPr>
          <w:rFonts w:hint="default"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康复和训练数据</w:t>
      </w:r>
      <w:r>
        <w:rPr>
          <w:rFonts w:hint="default"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满意度评价</w:t>
      </w:r>
      <w:r>
        <w:rPr>
          <w:rFonts w:hint="default" w:ascii="Times New Roman" w:hAnsi="Times New Roman" w:eastAsia="仿宋_GB2312" w:cs="Times New Roman"/>
          <w:kern w:val="2"/>
          <w:sz w:val="32"/>
          <w:szCs w:val="32"/>
          <w:highlight w:val="none"/>
          <w:lang w:val="en-US" w:eastAsia="zh-CN" w:bidi="ar-SA"/>
        </w:rPr>
        <w:t>等。在数据收集过程中，注重数据的质量与完整性，对缺失或异常的数据进行了合理的处理和补充。随后，对收集到的数据进行了系统的整理与分类，为后续的数据分析提供了有力支持。</w:t>
      </w:r>
    </w:p>
    <w:p w14:paraId="75DD5BF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（4）数据分析与评估</w:t>
      </w:r>
    </w:p>
    <w:p w14:paraId="481EEDE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对收集到的数据进行了深入挖掘与分析。通过对各项绩效指标的实际完成情况与预期目标进行对比，计算出指标的达成率，并结合指标权重进行综合评分，从而得出项目的整体绩效评价结果</w:t>
      </w:r>
      <w:r>
        <w:rPr>
          <w:rFonts w:hint="eastAsia" w:eastAsia="仿宋_GB2312" w:cs="Times New Roman"/>
          <w:kern w:val="2"/>
          <w:sz w:val="32"/>
          <w:szCs w:val="32"/>
          <w:highlight w:val="none"/>
          <w:lang w:val="en-US" w:eastAsia="zh-CN" w:bidi="ar-SA"/>
        </w:rPr>
        <w:t>达到了预期的标准和要求，</w:t>
      </w:r>
      <w:r>
        <w:rPr>
          <w:rFonts w:hint="default" w:ascii="Times New Roman" w:hAnsi="Times New Roman" w:eastAsia="仿宋_GB2312" w:cs="Times New Roman"/>
          <w:kern w:val="2"/>
          <w:sz w:val="32"/>
          <w:szCs w:val="32"/>
          <w:highlight w:val="none"/>
          <w:lang w:val="en-US" w:eastAsia="zh-CN" w:bidi="ar-SA"/>
        </w:rPr>
        <w:t>按照预定计划完成各项任务</w:t>
      </w:r>
      <w:r>
        <w:rPr>
          <w:rFonts w:hint="eastAsia" w:eastAsia="仿宋_GB2312" w:cs="Times New Roman"/>
          <w:kern w:val="2"/>
          <w:sz w:val="32"/>
          <w:szCs w:val="32"/>
          <w:highlight w:val="none"/>
          <w:lang w:val="en-US" w:eastAsia="zh-CN" w:bidi="ar-SA"/>
        </w:rPr>
        <w:t>，符合预期的质量标准，对社会产生积极影响，改善了公共服务、提高了社会福利，群众满意度高</w:t>
      </w:r>
      <w:r>
        <w:rPr>
          <w:rFonts w:hint="default" w:ascii="Times New Roman" w:hAnsi="Times New Roman" w:eastAsia="仿宋_GB2312" w:cs="Times New Roman"/>
          <w:kern w:val="2"/>
          <w:sz w:val="32"/>
          <w:szCs w:val="32"/>
          <w:highlight w:val="none"/>
          <w:lang w:val="en-US" w:eastAsia="zh-CN" w:bidi="ar-SA"/>
        </w:rPr>
        <w:t>。在分析过程中，注重数据之间的关联性与逻辑性，深入剖析项目绩效背后的原因，识别出项目实施过程中的优势与不足，为提出有针对性的改进建议提供了依据。</w:t>
      </w:r>
    </w:p>
    <w:p w14:paraId="407D2A6D">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（5）报告撰写与反馈</w:t>
      </w:r>
    </w:p>
    <w:p w14:paraId="3D797C1F">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04DED1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（6）后续跟踪与改进</w:t>
      </w:r>
    </w:p>
    <w:p w14:paraId="179603E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08DFA45">
      <w:pPr>
        <w:keepNext w:val="0"/>
        <w:keepLines w:val="0"/>
        <w:pageBreakBefore w:val="0"/>
        <w:numPr>
          <w:ilvl w:val="0"/>
          <w:numId w:val="3"/>
        </w:numPr>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12E5A9A0">
      <w:pPr>
        <w:pStyle w:val="11"/>
        <w:keepNext w:val="0"/>
        <w:keepLines w:val="0"/>
        <w:pageBreakBefore w:val="0"/>
        <w:widowControl/>
        <w:kinsoku/>
        <w:wordWrap/>
        <w:overflowPunct/>
        <w:topLinePunct w:val="0"/>
        <w:autoSpaceDE/>
        <w:autoSpaceDN/>
        <w:bidi w:val="0"/>
        <w:adjustRightInd/>
        <w:snapToGrid/>
        <w:spacing w:before="0" w:after="0" w:line="50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70F5B772">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本项目的综合评价基于对项目各方面绩效的深入分析与评估。从项目目标的达成情况来看，[</w:t>
      </w:r>
      <w:r>
        <w:rPr>
          <w:rFonts w:hint="eastAsia" w:ascii="Times New Roman" w:hAnsi="Times New Roman" w:eastAsia="仿宋_GB2312" w:cs="Times New Roman"/>
          <w:kern w:val="2"/>
          <w:sz w:val="32"/>
          <w:szCs w:val="32"/>
          <w:highlight w:val="none"/>
          <w:lang w:val="en-US" w:eastAsia="zh-CN" w:bidi="ar-SA"/>
        </w:rPr>
        <w:t>巴财社[2023]83号提前下达2024年自治区财政残疾人事业发展补助资金[彩票公益金]（142.016万元）</w:t>
      </w:r>
      <w:r>
        <w:rPr>
          <w:rFonts w:hint="default" w:ascii="Times New Roman" w:hAnsi="Times New Roman" w:eastAsia="仿宋_GB2312" w:cs="Times New Roman"/>
          <w:kern w:val="2"/>
          <w:sz w:val="32"/>
          <w:szCs w:val="32"/>
          <w:highlight w:val="none"/>
          <w:lang w:val="en-US" w:eastAsia="zh-CN" w:bidi="ar-SA"/>
        </w:rPr>
        <w:t>]在</w:t>
      </w:r>
      <w:r>
        <w:rPr>
          <w:rFonts w:hint="eastAsia" w:ascii="Times New Roman" w:hAnsi="Times New Roman" w:eastAsia="仿宋_GB2312" w:cs="Times New Roman"/>
          <w:kern w:val="2"/>
          <w:sz w:val="32"/>
          <w:szCs w:val="32"/>
          <w:highlight w:val="none"/>
          <w:lang w:val="en-US" w:eastAsia="zh-CN" w:bidi="ar-SA"/>
        </w:rPr>
        <w:t>残疾儿童康复救助</w:t>
      </w:r>
      <w:r>
        <w:rPr>
          <w:rFonts w:hint="eastAsia"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残疾人运动员参加集训项目</w:t>
      </w:r>
      <w:r>
        <w:rPr>
          <w:rFonts w:hint="eastAsia" w:eastAsia="仿宋_GB2312" w:cs="Times New Roman"/>
          <w:kern w:val="2"/>
          <w:sz w:val="32"/>
          <w:szCs w:val="32"/>
          <w:highlight w:val="none"/>
          <w:lang w:val="en-US" w:eastAsia="zh-CN" w:bidi="ar-SA"/>
        </w:rPr>
        <w:t>以及</w:t>
      </w:r>
      <w:r>
        <w:rPr>
          <w:rFonts w:hint="eastAsia" w:ascii="Times New Roman" w:hAnsi="Times New Roman" w:eastAsia="仿宋_GB2312" w:cs="Times New Roman"/>
          <w:kern w:val="2"/>
          <w:sz w:val="32"/>
          <w:szCs w:val="32"/>
          <w:highlight w:val="none"/>
          <w:lang w:val="en-US" w:eastAsia="zh-CN" w:bidi="ar-SA"/>
        </w:rPr>
        <w:t>残疾人康复政策及预防知识宣传</w:t>
      </w:r>
      <w:r>
        <w:rPr>
          <w:rFonts w:hint="default" w:ascii="Times New Roman" w:hAnsi="Times New Roman" w:eastAsia="仿宋_GB2312" w:cs="Times New Roman"/>
          <w:kern w:val="2"/>
          <w:sz w:val="32"/>
          <w:szCs w:val="32"/>
          <w:highlight w:val="none"/>
          <w:lang w:val="en-US" w:eastAsia="zh-CN" w:bidi="ar-SA"/>
        </w:rPr>
        <w:t>方面表现出色，达到了预期的标准与要求。同时，项目也在</w:t>
      </w:r>
      <w:r>
        <w:rPr>
          <w:rFonts w:hint="eastAsia" w:ascii="Times New Roman" w:hAnsi="Times New Roman" w:eastAsia="仿宋_GB2312" w:cs="Times New Roman"/>
          <w:kern w:val="2"/>
          <w:sz w:val="32"/>
          <w:szCs w:val="32"/>
          <w:highlight w:val="none"/>
          <w:lang w:val="en-US" w:eastAsia="zh-CN" w:bidi="ar-SA"/>
        </w:rPr>
        <w:t>残疾人游泳、乒乓球、旱地冰壶、田径等体育竞技项目</w:t>
      </w:r>
      <w:r>
        <w:rPr>
          <w:rFonts w:hint="default" w:ascii="Times New Roman" w:hAnsi="Times New Roman" w:eastAsia="仿宋_GB2312" w:cs="Times New Roman"/>
          <w:kern w:val="2"/>
          <w:sz w:val="32"/>
          <w:szCs w:val="32"/>
          <w:highlight w:val="none"/>
          <w:lang w:val="en-US" w:eastAsia="zh-CN" w:bidi="ar-SA"/>
        </w:rPr>
        <w:t>取得了显著的成效，如</w:t>
      </w:r>
      <w:r>
        <w:rPr>
          <w:rFonts w:hint="eastAsia" w:ascii="Times New Roman" w:hAnsi="Times New Roman" w:eastAsia="仿宋_GB2312" w:cs="Times New Roman"/>
          <w:kern w:val="2"/>
          <w:sz w:val="32"/>
          <w:szCs w:val="32"/>
          <w:highlight w:val="none"/>
          <w:lang w:val="en-US" w:eastAsia="zh-CN" w:bidi="ar-SA"/>
        </w:rPr>
        <w:t>通过集训训练，为备战2025年全国第十二届残疾人运动会暨第九届特殊奥林匹克运动会选拔出残疾人游泳、乒乓球、旱地冰壶、田径等体育竞技项目体育人才，力争在2025年全国第十二届残疾人运动会暨第九届特殊奥林匹克运动会取得优异成绩。</w:t>
      </w:r>
    </w:p>
    <w:p w14:paraId="2F66376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在项目管理方面，</w:t>
      </w:r>
      <w:r>
        <w:rPr>
          <w:rFonts w:hint="eastAsia" w:ascii="Times New Roman" w:hAnsi="Times New Roman" w:eastAsia="仿宋_GB2312" w:cs="Times New Roman"/>
          <w:kern w:val="2"/>
          <w:sz w:val="32"/>
          <w:szCs w:val="32"/>
          <w:highlight w:val="none"/>
          <w:lang w:val="en-US" w:eastAsia="zh-CN" w:bidi="ar-SA"/>
        </w:rPr>
        <w:t>库尔勒市残疾人联合会</w:t>
      </w:r>
      <w:r>
        <w:rPr>
          <w:rFonts w:hint="default" w:ascii="Times New Roman" w:hAnsi="Times New Roman" w:eastAsia="仿宋_GB2312" w:cs="Times New Roman"/>
          <w:kern w:val="2"/>
          <w:sz w:val="32"/>
          <w:szCs w:val="32"/>
          <w:highlight w:val="none"/>
          <w:lang w:val="en-US" w:eastAsia="zh-CN" w:bidi="ar-SA"/>
        </w:rPr>
        <w:t>通过有效的规划、组织与协调，项目得以顺利实施，并在预算与时间上保持了良好的控制。</w:t>
      </w:r>
    </w:p>
    <w:p w14:paraId="12B3BC6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从项目效益的角度来看，本项目不仅实现了预期的社会效益方面产生了积极的影响。具体而言，</w:t>
      </w:r>
      <w:r>
        <w:rPr>
          <w:rFonts w:hint="eastAsia" w:ascii="Times New Roman" w:hAnsi="Times New Roman" w:eastAsia="仿宋_GB2312" w:cs="Times New Roman"/>
          <w:kern w:val="2"/>
          <w:sz w:val="32"/>
          <w:szCs w:val="32"/>
          <w:highlight w:val="none"/>
          <w:lang w:val="en-US" w:eastAsia="zh-CN" w:bidi="ar-SA"/>
        </w:rPr>
        <w:t>残疾人文化体育竞技</w:t>
      </w:r>
      <w:r>
        <w:rPr>
          <w:rFonts w:hint="default" w:ascii="Times New Roman" w:hAnsi="Times New Roman" w:eastAsia="仿宋_GB2312" w:cs="Times New Roman"/>
          <w:kern w:val="2"/>
          <w:sz w:val="32"/>
          <w:szCs w:val="32"/>
          <w:highlight w:val="none"/>
          <w:lang w:val="en-US" w:eastAsia="zh-CN" w:bidi="ar-SA"/>
        </w:rPr>
        <w:t>方面的提升，为项目的利益相关者带来了实实在在的利益。</w:t>
      </w:r>
    </w:p>
    <w:p w14:paraId="5EE80C7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综上所述，</w:t>
      </w:r>
      <w:r>
        <w:rPr>
          <w:rFonts w:hint="eastAsia" w:ascii="Times New Roman" w:hAnsi="Times New Roman" w:eastAsia="仿宋_GB2312" w:cs="Times New Roman"/>
          <w:kern w:val="2"/>
          <w:sz w:val="32"/>
          <w:szCs w:val="32"/>
          <w:highlight w:val="none"/>
          <w:lang w:val="en-US" w:eastAsia="zh-CN" w:bidi="ar-SA"/>
        </w:rPr>
        <w:t>巴财社[2023]83号提前下达2024年自治区财政残疾人事业发展补助资金[彩票公益金]（142.016万元）</w:t>
      </w:r>
      <w:r>
        <w:rPr>
          <w:rFonts w:hint="default" w:ascii="Times New Roman" w:hAnsi="Times New Roman" w:eastAsia="仿宋_GB2312" w:cs="Times New Roman"/>
          <w:kern w:val="2"/>
          <w:sz w:val="32"/>
          <w:szCs w:val="32"/>
          <w:highlight w:val="none"/>
          <w:lang w:val="en-US" w:eastAsia="zh-CN" w:bidi="ar-SA"/>
        </w:rPr>
        <w:t>在绩效评价中表现出色，达到了项目的预期目标，并在多个方面取得了显著的成效。</w:t>
      </w:r>
    </w:p>
    <w:p w14:paraId="1E183E74">
      <w:pPr>
        <w:pStyle w:val="11"/>
        <w:keepNext w:val="0"/>
        <w:keepLines w:val="0"/>
        <w:pageBreakBefore w:val="0"/>
        <w:widowControl/>
        <w:kinsoku/>
        <w:wordWrap/>
        <w:overflowPunct/>
        <w:topLinePunct w:val="0"/>
        <w:autoSpaceDE/>
        <w:autoSpaceDN/>
        <w:bidi w:val="0"/>
        <w:adjustRightInd/>
        <w:snapToGrid/>
        <w:spacing w:before="0" w:after="0" w:line="50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03FFA74A">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sz w:val="32"/>
          <w:szCs w:val="32"/>
          <w:highlight w:val="none"/>
          <w:lang w:val="en-US" w:eastAsia="zh-CN"/>
        </w:rPr>
        <w:t>97</w:t>
      </w:r>
      <w:r>
        <w:rPr>
          <w:rFonts w:hint="eastAsia" w:eastAsia="仿宋_GB2312" w:cs="Times New Roman"/>
          <w:sz w:val="32"/>
          <w:szCs w:val="32"/>
          <w:highlight w:val="none"/>
          <w:lang w:val="en-US" w:eastAsia="zh-CN"/>
        </w:rPr>
        <w:t>.27</w:t>
      </w:r>
      <w:r>
        <w:rPr>
          <w:rFonts w:hint="default" w:ascii="Times New Roman" w:hAnsi="Times New Roman" w:eastAsia="仿宋_GB2312" w:cs="Times New Roman"/>
          <w:sz w:val="32"/>
          <w:szCs w:val="32"/>
          <w:highlight w:val="none"/>
          <w:lang w:val="en-US" w:eastAsia="zh-CN"/>
        </w:rPr>
        <w:t xml:space="preserve">分，属于“优”。其中，项目决策类指标权重为20分，得分为 </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 xml:space="preserve">分，得分率为 </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%。项目过程类指标权重为20分，得分为</w:t>
      </w:r>
      <w:r>
        <w:rPr>
          <w:rFonts w:hint="eastAsia" w:eastAsia="仿宋_GB2312" w:cs="Times New Roman"/>
          <w:sz w:val="32"/>
          <w:szCs w:val="32"/>
          <w:highlight w:val="none"/>
          <w:lang w:val="en-US" w:eastAsia="zh-CN"/>
        </w:rPr>
        <w:t>19.79</w:t>
      </w:r>
      <w:r>
        <w:rPr>
          <w:rFonts w:hint="default" w:ascii="Times New Roman" w:hAnsi="Times New Roman" w:eastAsia="仿宋_GB2312" w:cs="Times New Roman"/>
          <w:sz w:val="32"/>
          <w:szCs w:val="32"/>
          <w:highlight w:val="none"/>
          <w:lang w:val="en-US" w:eastAsia="zh-CN"/>
        </w:rPr>
        <w:t xml:space="preserve">分，得分率为 </w:t>
      </w:r>
      <w:r>
        <w:rPr>
          <w:rFonts w:hint="eastAsia" w:eastAsia="仿宋_GB2312" w:cs="Times New Roman"/>
          <w:sz w:val="32"/>
          <w:szCs w:val="32"/>
          <w:highlight w:val="none"/>
          <w:lang w:val="en-US" w:eastAsia="zh-CN"/>
        </w:rPr>
        <w:t>98.95</w:t>
      </w:r>
      <w:r>
        <w:rPr>
          <w:rFonts w:hint="default" w:ascii="Times New Roman" w:hAnsi="Times New Roman" w:eastAsia="仿宋_GB2312" w:cs="Times New Roman"/>
          <w:sz w:val="32"/>
          <w:szCs w:val="32"/>
          <w:highlight w:val="none"/>
          <w:lang w:val="en-US" w:eastAsia="zh-CN"/>
        </w:rPr>
        <w:t>%。项目产出类指标权重为40分，得分为</w:t>
      </w:r>
      <w:r>
        <w:rPr>
          <w:rFonts w:hint="eastAsia" w:eastAsia="仿宋_GB2312" w:cs="Times New Roman"/>
          <w:sz w:val="32"/>
          <w:szCs w:val="32"/>
          <w:highlight w:val="none"/>
          <w:lang w:val="en-US" w:eastAsia="zh-CN"/>
        </w:rPr>
        <w:t>37.48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93.7</w:t>
      </w:r>
      <w:r>
        <w:rPr>
          <w:rFonts w:hint="default" w:ascii="Times New Roman" w:hAnsi="Times New Roman" w:eastAsia="仿宋_GB2312" w:cs="Times New Roman"/>
          <w:sz w:val="32"/>
          <w:szCs w:val="32"/>
          <w:highlight w:val="none"/>
          <w:lang w:val="en-US" w:eastAsia="zh-CN"/>
        </w:rPr>
        <w:t>%。项目效益类指标权重为20分，得分为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%。具体打分情况详见：附件1综合评分表。</w:t>
      </w:r>
    </w:p>
    <w:p w14:paraId="1F5AD654">
      <w:pPr>
        <w:pStyle w:val="11"/>
        <w:keepNext w:val="0"/>
        <w:keepLines w:val="0"/>
        <w:pageBreakBefore w:val="0"/>
        <w:widowControl/>
        <w:kinsoku/>
        <w:wordWrap/>
        <w:overflowPunct/>
        <w:topLinePunct w:val="0"/>
        <w:autoSpaceDE/>
        <w:autoSpaceDN/>
        <w:bidi w:val="0"/>
        <w:adjustRightInd/>
        <w:snapToGrid/>
        <w:spacing w:before="0" w:after="0" w:line="500" w:lineRule="exact"/>
        <w:ind w:firstLine="422" w:firstLineChars="20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14:paraId="67C69207">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3F77C3B">
            <w:pPr>
              <w:keepNext w:val="0"/>
              <w:keepLines w:val="0"/>
              <w:pageBreakBefore w:val="0"/>
              <w:kinsoku/>
              <w:wordWrap/>
              <w:overflowPunct/>
              <w:topLinePunct w:val="0"/>
              <w:autoSpaceDE/>
              <w:autoSpaceDN/>
              <w:bidi w:val="0"/>
              <w:adjustRightInd/>
              <w:snapToGrid/>
              <w:spacing w:line="500" w:lineRule="exact"/>
              <w:ind w:firstLine="422" w:firstLineChars="200"/>
              <w:jc w:val="center"/>
              <w:textAlignment w:val="auto"/>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C8A1FF7">
            <w:pPr>
              <w:keepNext w:val="0"/>
              <w:keepLines w:val="0"/>
              <w:pageBreakBefore w:val="0"/>
              <w:kinsoku/>
              <w:wordWrap/>
              <w:overflowPunct/>
              <w:topLinePunct w:val="0"/>
              <w:autoSpaceDE/>
              <w:autoSpaceDN/>
              <w:bidi w:val="0"/>
              <w:adjustRightInd/>
              <w:snapToGrid/>
              <w:spacing w:line="500" w:lineRule="exact"/>
              <w:ind w:firstLine="422" w:firstLineChars="200"/>
              <w:jc w:val="center"/>
              <w:textAlignment w:val="auto"/>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7EDA2A9">
            <w:pPr>
              <w:keepNext w:val="0"/>
              <w:keepLines w:val="0"/>
              <w:pageBreakBefore w:val="0"/>
              <w:kinsoku/>
              <w:wordWrap/>
              <w:overflowPunct/>
              <w:topLinePunct w:val="0"/>
              <w:autoSpaceDE/>
              <w:autoSpaceDN/>
              <w:bidi w:val="0"/>
              <w:adjustRightInd/>
              <w:snapToGrid/>
              <w:spacing w:line="500" w:lineRule="exact"/>
              <w:ind w:firstLine="422" w:firstLineChars="200"/>
              <w:jc w:val="center"/>
              <w:textAlignment w:val="auto"/>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7A46F5A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1B935A8">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4084D6A8">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3DA6065">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2D37425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E540541">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45FE576D">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A0D2D6C">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19.79</w:t>
            </w:r>
          </w:p>
        </w:tc>
      </w:tr>
      <w:tr w14:paraId="10B1C3B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4410973">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756B3EDE">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00278C5">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37.48</w:t>
            </w:r>
          </w:p>
        </w:tc>
      </w:tr>
      <w:tr w14:paraId="69F2888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ADE3728">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6CDFAB79">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E5A331E">
            <w:pPr>
              <w:keepNext w:val="0"/>
              <w:keepLines w:val="0"/>
              <w:pageBreakBefore w:val="0"/>
              <w:kinsoku/>
              <w:wordWrap/>
              <w:overflowPunct/>
              <w:topLinePunct w:val="0"/>
              <w:autoSpaceDE/>
              <w:autoSpaceDN/>
              <w:bidi w:val="0"/>
              <w:adjustRightInd/>
              <w:snapToGrid/>
              <w:spacing w:line="500" w:lineRule="exact"/>
              <w:ind w:firstLine="420" w:firstLineChars="200"/>
              <w:jc w:val="center"/>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0DBED1E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440D0F1">
            <w:pPr>
              <w:keepNext w:val="0"/>
              <w:keepLines w:val="0"/>
              <w:pageBreakBefore w:val="0"/>
              <w:kinsoku/>
              <w:wordWrap/>
              <w:overflowPunct/>
              <w:topLinePunct w:val="0"/>
              <w:autoSpaceDE/>
              <w:autoSpaceDN/>
              <w:bidi w:val="0"/>
              <w:adjustRightInd/>
              <w:snapToGrid/>
              <w:spacing w:line="500" w:lineRule="exact"/>
              <w:ind w:firstLine="422" w:firstLineChars="200"/>
              <w:jc w:val="center"/>
              <w:textAlignment w:val="auto"/>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5D88C84B">
            <w:pPr>
              <w:keepNext w:val="0"/>
              <w:keepLines w:val="0"/>
              <w:pageBreakBefore w:val="0"/>
              <w:kinsoku/>
              <w:wordWrap/>
              <w:overflowPunct/>
              <w:topLinePunct w:val="0"/>
              <w:autoSpaceDE/>
              <w:autoSpaceDN/>
              <w:bidi w:val="0"/>
              <w:adjustRightInd/>
              <w:snapToGrid/>
              <w:spacing w:line="500" w:lineRule="exact"/>
              <w:ind w:firstLine="422" w:firstLineChars="200"/>
              <w:jc w:val="center"/>
              <w:textAlignment w:val="auto"/>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C28FE5C">
            <w:pPr>
              <w:keepNext w:val="0"/>
              <w:keepLines w:val="0"/>
              <w:pageBreakBefore w:val="0"/>
              <w:kinsoku/>
              <w:wordWrap/>
              <w:overflowPunct/>
              <w:topLinePunct w:val="0"/>
              <w:autoSpaceDE/>
              <w:autoSpaceDN/>
              <w:bidi w:val="0"/>
              <w:adjustRightInd/>
              <w:snapToGrid/>
              <w:spacing w:line="500" w:lineRule="exact"/>
              <w:ind w:firstLine="422" w:firstLineChars="200"/>
              <w:jc w:val="center"/>
              <w:textAlignment w:val="auto"/>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97.27</w:t>
            </w:r>
          </w:p>
        </w:tc>
      </w:tr>
    </w:tbl>
    <w:p w14:paraId="4546E6E5">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3E61D291">
      <w:pPr>
        <w:pStyle w:val="11"/>
        <w:keepNext w:val="0"/>
        <w:keepLines w:val="0"/>
        <w:pageBreakBefore w:val="0"/>
        <w:kinsoku/>
        <w:wordWrap/>
        <w:overflowPunct/>
        <w:topLinePunct w:val="0"/>
        <w:autoSpaceDE/>
        <w:autoSpaceDN/>
        <w:bidi w:val="0"/>
        <w:adjustRightInd/>
        <w:snapToGrid/>
        <w:spacing w:before="0" w:after="0" w:line="500" w:lineRule="exact"/>
        <w:ind w:firstLine="643" w:firstLineChars="200"/>
        <w:jc w:val="both"/>
        <w:textAlignment w:val="auto"/>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0ABF43FB">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F2F412B">
      <w:pPr>
        <w:pStyle w:val="20"/>
        <w:keepNext w:val="0"/>
        <w:keepLines w:val="0"/>
        <w:pageBreakBefore w:val="0"/>
        <w:widowControl w:val="0"/>
        <w:shd w:val="clear"/>
        <w:kinsoku/>
        <w:wordWrap/>
        <w:overflowPunct/>
        <w:topLinePunct w:val="0"/>
        <w:autoSpaceDE/>
        <w:autoSpaceDN/>
        <w:bidi w:val="0"/>
        <w:adjustRightInd/>
        <w:snapToGrid/>
        <w:spacing w:line="500" w:lineRule="exact"/>
        <w:ind w:left="0" w:leftChars="0"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046EAB5E">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048C0839">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该项目立项符合2021年国务院下发《“十四五”残疾人保障和发展规划》要求 ：“（三）健全残疾人关爱服务体系，提升残疾人康复、教育、文化、体育等公共服务质量”</w:t>
      </w:r>
      <w:r>
        <w:rPr>
          <w:rFonts w:hint="eastAsia" w:eastAsia="仿宋_GB2312" w:cs="Times New Roman"/>
          <w:sz w:val="32"/>
          <w:szCs w:val="32"/>
          <w:highlight w:val="none"/>
          <w:lang w:val="en-US" w:eastAsia="zh-CN"/>
        </w:rPr>
        <w:t>以及《中华人民共和国残疾人保障法》第五条规定“县级以上人民政府应当将残疾人事业纳入国民经济和社会发展规划，加强领导，综合协调，并将残疾人事业经费列入财政预算，建立稳定的经费保障机制”，</w:t>
      </w:r>
      <w:r>
        <w:rPr>
          <w:rFonts w:hint="default" w:ascii="Times New Roman" w:hAnsi="Times New Roman" w:eastAsia="仿宋_GB2312" w:cs="Times New Roman"/>
          <w:sz w:val="32"/>
          <w:szCs w:val="32"/>
          <w:highlight w:val="none"/>
          <w:lang w:val="en-US" w:eastAsia="zh-CN"/>
        </w:rPr>
        <w:t>符合行业规划要求，围绕本年度工作重点和工作计划制定经费预算，属于公共财政支持范围。本项目与部门内部其他相关项目不重复。部门发展规划及职能文件等归档完整。</w:t>
      </w:r>
    </w:p>
    <w:p w14:paraId="79BC25BC">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5DF2002A">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7AB6D3C2">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3EA07666">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2FBBD76E">
      <w:pPr>
        <w:pStyle w:val="20"/>
        <w:keepNext w:val="0"/>
        <w:keepLines w:val="0"/>
        <w:pageBreakBefore w:val="0"/>
        <w:widowControl w:val="0"/>
        <w:shd w:val="clear"/>
        <w:kinsoku/>
        <w:wordWrap/>
        <w:overflowPunct/>
        <w:topLinePunct w:val="0"/>
        <w:autoSpaceDE/>
        <w:autoSpaceDN/>
        <w:bidi w:val="0"/>
        <w:adjustRightInd/>
        <w:snapToGrid/>
        <w:spacing w:line="500" w:lineRule="exact"/>
        <w:ind w:left="0" w:leftChars="0"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3B2F9BC8">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06078452">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8AEA2C6">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5D805314">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63D5EDAD">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3FEE5DD0">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5BA11746">
      <w:pPr>
        <w:pStyle w:val="20"/>
        <w:keepNext w:val="0"/>
        <w:keepLines w:val="0"/>
        <w:pageBreakBefore w:val="0"/>
        <w:widowControl w:val="0"/>
        <w:shd w:val="clear"/>
        <w:kinsoku/>
        <w:wordWrap/>
        <w:overflowPunct/>
        <w:topLinePunct w:val="0"/>
        <w:autoSpaceDE/>
        <w:autoSpaceDN/>
        <w:bidi w:val="0"/>
        <w:adjustRightInd/>
        <w:snapToGrid/>
        <w:spacing w:line="500" w:lineRule="exact"/>
        <w:ind w:left="0" w:leftChars="0"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1F8F2933">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114C718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79EBDD0">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6ACB38B">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此项权重分值为3分，得分为3分。</w:t>
      </w:r>
    </w:p>
    <w:p w14:paraId="480458B9">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0E6459D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3F5FD0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5AC771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D1FA5F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此项权重分值为3分，得分为3分。</w:t>
      </w:r>
    </w:p>
    <w:p w14:paraId="3A9036CC">
      <w:pPr>
        <w:pStyle w:val="11"/>
        <w:keepNext w:val="0"/>
        <w:keepLines w:val="0"/>
        <w:pageBreakBefore w:val="0"/>
        <w:numPr>
          <w:ilvl w:val="0"/>
          <w:numId w:val="4"/>
        </w:numPr>
        <w:kinsoku/>
        <w:wordWrap/>
        <w:overflowPunct/>
        <w:topLinePunct w:val="0"/>
        <w:autoSpaceDE/>
        <w:autoSpaceDN/>
        <w:bidi w:val="0"/>
        <w:adjustRightInd/>
        <w:snapToGrid/>
        <w:spacing w:before="0" w:after="0" w:line="500" w:lineRule="exact"/>
        <w:ind w:firstLine="643" w:firstLineChars="200"/>
        <w:jc w:val="both"/>
        <w:textAlignment w:val="auto"/>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6D583643">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19.79</w:t>
      </w:r>
      <w:r>
        <w:rPr>
          <w:rFonts w:hint="default"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98.95</w:t>
      </w:r>
      <w:r>
        <w:rPr>
          <w:rFonts w:hint="default" w:eastAsia="仿宋_GB2312" w:cs="Times New Roman"/>
          <w:sz w:val="32"/>
          <w:szCs w:val="32"/>
          <w:highlight w:val="none"/>
          <w:lang w:val="en-US" w:eastAsia="zh-CN"/>
        </w:rPr>
        <w:t>%。</w:t>
      </w:r>
    </w:p>
    <w:p w14:paraId="0F894047">
      <w:pPr>
        <w:pStyle w:val="20"/>
        <w:keepNext w:val="0"/>
        <w:keepLines w:val="0"/>
        <w:pageBreakBefore w:val="0"/>
        <w:widowControl w:val="0"/>
        <w:shd w:val="clear"/>
        <w:kinsoku/>
        <w:wordWrap/>
        <w:overflowPunct/>
        <w:topLinePunct w:val="0"/>
        <w:autoSpaceDE/>
        <w:autoSpaceDN/>
        <w:bidi w:val="0"/>
        <w:adjustRightInd/>
        <w:snapToGrid/>
        <w:spacing w:line="500" w:lineRule="exact"/>
        <w:ind w:left="0" w:leftChars="0"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10EBF2E7">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75071BE4">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142.02</w:t>
      </w:r>
      <w:r>
        <w:rPr>
          <w:rFonts w:hint="default"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%，预算资金按计划进度执行。</w:t>
      </w:r>
    </w:p>
    <w:p w14:paraId="2A030238">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0490DAE3">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6DAE4068">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134.44</w:t>
      </w:r>
      <w:r>
        <w:rPr>
          <w:rFonts w:hint="default"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94.66</w:t>
      </w:r>
      <w:r>
        <w:rPr>
          <w:rFonts w:hint="default" w:eastAsia="仿宋_GB2312" w:cs="Times New Roman"/>
          <w:sz w:val="32"/>
          <w:szCs w:val="32"/>
          <w:highlight w:val="none"/>
          <w:lang w:val="en-US" w:eastAsia="zh-CN"/>
        </w:rPr>
        <w:t>%。</w:t>
      </w:r>
    </w:p>
    <w:p w14:paraId="04A1C30C">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此项权重分值为4分，得分为3.79分。</w:t>
      </w:r>
    </w:p>
    <w:p w14:paraId="545557FD">
      <w:pPr>
        <w:keepNext w:val="0"/>
        <w:keepLines w:val="0"/>
        <w:pageBreakBefore w:val="0"/>
        <w:shd w:val="clear"/>
        <w:kinsoku/>
        <w:wordWrap/>
        <w:overflowPunct/>
        <w:topLinePunct w:val="0"/>
        <w:autoSpaceDE/>
        <w:autoSpaceDN/>
        <w:bidi w:val="0"/>
        <w:adjustRightInd/>
        <w:snapToGrid/>
        <w:spacing w:line="500" w:lineRule="exact"/>
        <w:ind w:firstLine="643" w:firstLineChars="200"/>
        <w:textAlignment w:val="auto"/>
        <w:outlineLvl w:val="0"/>
        <w:rPr>
          <w:rFonts w:hint="default" w:ascii="Times New Roman" w:hAnsi="Times New Roman" w:eastAsia="楷体_GB2312" w:cs="Times New Roman"/>
          <w:b/>
          <w:bCs/>
          <w:kern w:val="2"/>
          <w:sz w:val="32"/>
          <w:szCs w:val="32"/>
          <w:highlight w:val="none"/>
          <w:lang w:val="en-US" w:eastAsia="zh-CN" w:bidi="ar-SA"/>
        </w:rPr>
      </w:pPr>
      <w:r>
        <w:rPr>
          <w:rFonts w:hint="default" w:ascii="Times New Roman" w:hAnsi="Times New Roman" w:eastAsia="楷体_GB2312" w:cs="Times New Roman"/>
          <w:b/>
          <w:bCs/>
          <w:kern w:val="2"/>
          <w:sz w:val="32"/>
          <w:szCs w:val="32"/>
          <w:highlight w:val="none"/>
          <w:lang w:val="en-US" w:eastAsia="zh-CN" w:bidi="ar-SA"/>
        </w:rPr>
        <w:t>（3）资金使用合规性</w:t>
      </w:r>
    </w:p>
    <w:p w14:paraId="2A44282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662A56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69A273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A179A2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145966FD">
      <w:pPr>
        <w:pStyle w:val="20"/>
        <w:keepNext w:val="0"/>
        <w:keepLines w:val="0"/>
        <w:pageBreakBefore w:val="0"/>
        <w:widowControl w:val="0"/>
        <w:shd w:val="clear"/>
        <w:kinsoku/>
        <w:wordWrap/>
        <w:overflowPunct/>
        <w:topLinePunct w:val="0"/>
        <w:autoSpaceDE/>
        <w:autoSpaceDN/>
        <w:bidi w:val="0"/>
        <w:adjustRightInd/>
        <w:snapToGrid/>
        <w:spacing w:line="500" w:lineRule="exact"/>
        <w:ind w:left="0" w:leftChars="0"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4DEF6518">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5D64D18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599B116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35FF281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802AFCE">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8A145FD">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0D7A13DF">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18A9123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6487022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B3D63C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4EBC59F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48D2F688">
      <w:pPr>
        <w:pStyle w:val="13"/>
        <w:keepNext w:val="0"/>
        <w:keepLines w:val="0"/>
        <w:pageBreakBefore w:val="0"/>
        <w:numPr>
          <w:ilvl w:val="0"/>
          <w:numId w:val="4"/>
        </w:numPr>
        <w:kinsoku/>
        <w:wordWrap/>
        <w:overflowPunct/>
        <w:topLinePunct w:val="0"/>
        <w:autoSpaceDE/>
        <w:autoSpaceDN/>
        <w:bidi w:val="0"/>
        <w:adjustRightInd/>
        <w:snapToGrid/>
        <w:spacing w:line="500" w:lineRule="exact"/>
        <w:ind w:firstLine="643" w:firstLineChars="200"/>
        <w:textAlignment w:val="auto"/>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项目产出情况</w:t>
      </w:r>
    </w:p>
    <w:p w14:paraId="6CF80607">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37.48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93.7</w:t>
      </w:r>
      <w:r>
        <w:rPr>
          <w:rFonts w:hint="default" w:ascii="Times New Roman" w:hAnsi="Times New Roman" w:eastAsia="仿宋_GB2312" w:cs="Times New Roman"/>
          <w:sz w:val="32"/>
          <w:szCs w:val="32"/>
          <w:highlight w:val="none"/>
          <w:lang w:val="en-US" w:eastAsia="zh-CN"/>
        </w:rPr>
        <w:t>%。具体产出指标完成情况如下：</w:t>
      </w:r>
    </w:p>
    <w:p w14:paraId="57FBD2E1">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1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数量指标：</w:t>
      </w:r>
    </w:p>
    <w:p w14:paraId="3A5D1F2D">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指标1：得到康复救助的残疾儿童人数，指标值：&gt;=8人 ，实际完成值：8人，指标完成率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p>
    <w:p w14:paraId="76CCFC91">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：参加集训项目，指标值：&gt;=</w:t>
      </w:r>
      <w:r>
        <w:rPr>
          <w:rFonts w:hint="eastAsia" w:ascii="Times New Roman" w:hAnsi="Times New Roman"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lang w:val="en-US" w:eastAsia="zh-CN"/>
        </w:rPr>
        <w:t xml:space="preserve"> ，实际完成值：</w:t>
      </w:r>
      <w:r>
        <w:rPr>
          <w:rFonts w:hint="eastAsia" w:ascii="Times New Roman" w:hAnsi="Times New Roman"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p>
    <w:p w14:paraId="3DE4DC3D">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：参加训练残疾运动员人数，指标值：</w:t>
      </w:r>
      <w:r>
        <w:rPr>
          <w:rFonts w:hint="eastAsia" w:ascii="Times New Roman" w:hAnsi="Times New Roman" w:eastAsia="仿宋_GB2312" w:cs="Times New Roman"/>
          <w:sz w:val="32"/>
          <w:szCs w:val="32"/>
          <w:highlight w:val="none"/>
          <w:lang w:val="en-US" w:eastAsia="zh-CN"/>
        </w:rPr>
        <w:t>&gt;=22人</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24人</w:t>
      </w:r>
      <w:r>
        <w:rPr>
          <w:rFonts w:hint="default" w:ascii="Times New Roman" w:hAnsi="Times New Roman" w:eastAsia="仿宋_GB2312" w:cs="Times New Roman"/>
          <w:sz w:val="32"/>
          <w:szCs w:val="32"/>
          <w:highlight w:val="none"/>
          <w:lang w:val="en-US" w:eastAsia="zh-CN"/>
        </w:rPr>
        <w:t>，指标完成率109.09%，偏差原因：</w:t>
      </w:r>
      <w:r>
        <w:rPr>
          <w:rFonts w:hint="eastAsia" w:ascii="Times New Roman" w:hAnsi="Times New Roman" w:eastAsia="仿宋_GB2312" w:cs="Times New Roman"/>
          <w:sz w:val="32"/>
          <w:szCs w:val="32"/>
          <w:highlight w:val="none"/>
          <w:lang w:val="en-US" w:eastAsia="zh-CN"/>
        </w:rPr>
        <w:t>集训过程中，加大了残疾运动员选拔力度，备选人员增加</w:t>
      </w:r>
      <w:r>
        <w:rPr>
          <w:rFonts w:hint="default" w:ascii="Times New Roman" w:hAnsi="Times New Roman" w:eastAsia="仿宋_GB2312" w:cs="Times New Roman"/>
          <w:sz w:val="32"/>
          <w:szCs w:val="32"/>
          <w:highlight w:val="none"/>
          <w:lang w:val="en-US" w:eastAsia="zh-CN"/>
        </w:rPr>
        <w:t>；改进措施：</w:t>
      </w:r>
      <w:r>
        <w:rPr>
          <w:rFonts w:hint="eastAsia" w:ascii="Times New Roman" w:hAnsi="Times New Roman" w:eastAsia="仿宋_GB2312" w:cs="Times New Roman"/>
          <w:sz w:val="32"/>
          <w:szCs w:val="32"/>
          <w:highlight w:val="none"/>
          <w:lang w:val="en-US" w:eastAsia="zh-CN"/>
        </w:rPr>
        <w:t>提高绩效工作精准度</w:t>
      </w:r>
      <w:r>
        <w:rPr>
          <w:rFonts w:hint="default" w:ascii="Times New Roman" w:hAnsi="Times New Roman" w:eastAsia="仿宋_GB2312" w:cs="Times New Roman"/>
          <w:sz w:val="32"/>
          <w:szCs w:val="32"/>
          <w:highlight w:val="none"/>
          <w:lang w:val="en-US" w:eastAsia="zh-CN"/>
        </w:rPr>
        <w:t>。</w:t>
      </w:r>
    </w:p>
    <w:p w14:paraId="4B37EF53">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w:t>
      </w:r>
    </w:p>
    <w:p w14:paraId="0DCD9F06">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2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质量指标：</w:t>
      </w:r>
    </w:p>
    <w:p w14:paraId="55488E85">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指标1：资金使用合规率</w:t>
      </w:r>
      <w:r>
        <w:rPr>
          <w:rFonts w:hint="default" w:ascii="Times New Roman" w:hAnsi="Times New Roman" w:eastAsia="仿宋_GB2312" w:cs="Times New Roman"/>
          <w:sz w:val="32"/>
          <w:szCs w:val="32"/>
          <w:highlight w:val="none"/>
          <w:lang w:val="en-US" w:eastAsia="zh-CN"/>
        </w:rPr>
        <w:t>，指标值：=100%</w:t>
      </w:r>
      <w:r>
        <w:rPr>
          <w:rFonts w:hint="eastAsia"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lang w:val="en-US" w:eastAsia="zh-CN"/>
        </w:rPr>
        <w:t xml:space="preserve"> ，实际完成值：100%，指标完成率=100%</w:t>
      </w:r>
      <w:r>
        <w:rPr>
          <w:rFonts w:hint="eastAsia" w:ascii="Times New Roman" w:hAnsi="Times New Roman" w:eastAsia="仿宋_GB2312" w:cs="Times New Roman"/>
          <w:sz w:val="32"/>
          <w:szCs w:val="32"/>
          <w:highlight w:val="none"/>
          <w:lang w:val="en-US" w:eastAsia="zh-CN"/>
        </w:rPr>
        <w:t>。</w:t>
      </w:r>
    </w:p>
    <w:p w14:paraId="47488CE2">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w:t>
      </w:r>
    </w:p>
    <w:p w14:paraId="5983CE7D">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3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③</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时效指标：</w:t>
      </w:r>
    </w:p>
    <w:p w14:paraId="5D362630">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val="en-US" w:eastAsia="zh-CN"/>
        </w:rPr>
        <w:t>资金支付及时率，指标值：=100%</w:t>
      </w:r>
      <w:r>
        <w:rPr>
          <w:rFonts w:hint="eastAsia"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lang w:val="en-US" w:eastAsia="zh-CN"/>
        </w:rPr>
        <w:t xml:space="preserve"> ，实际完成值：100%，指标完成率=100%</w:t>
      </w:r>
      <w:r>
        <w:rPr>
          <w:rFonts w:hint="eastAsia" w:ascii="Times New Roman" w:hAnsi="Times New Roman" w:eastAsia="仿宋_GB2312" w:cs="Times New Roman"/>
          <w:sz w:val="32"/>
          <w:szCs w:val="32"/>
          <w:highlight w:val="none"/>
          <w:lang w:val="en-US" w:eastAsia="zh-CN"/>
        </w:rPr>
        <w:t>。</w:t>
      </w:r>
    </w:p>
    <w:p w14:paraId="2536A32C">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w:t>
      </w:r>
    </w:p>
    <w:p w14:paraId="3CCC0617">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4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④</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成本指标：</w:t>
      </w:r>
    </w:p>
    <w:p w14:paraId="004FBBD9">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指标1：残疾人体育经费成本</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&lt;=127万元</w:t>
      </w:r>
      <w:r>
        <w:rPr>
          <w:rFonts w:hint="default" w:ascii="Times New Roman" w:hAnsi="Times New Roman" w:eastAsia="仿宋_GB2312" w:cs="Times New Roman"/>
          <w:sz w:val="32"/>
          <w:szCs w:val="32"/>
          <w:highlight w:val="none"/>
          <w:lang w:val="en-US" w:eastAsia="zh-CN"/>
        </w:rPr>
        <w:t xml:space="preserve"> ，实际完成值：127万元，指标完成率=100%</w:t>
      </w:r>
      <w:r>
        <w:rPr>
          <w:rFonts w:hint="eastAsia" w:ascii="Times New Roman" w:hAnsi="Times New Roman" w:eastAsia="仿宋_GB2312" w:cs="Times New Roman"/>
          <w:sz w:val="32"/>
          <w:szCs w:val="32"/>
          <w:highlight w:val="none"/>
          <w:lang w:val="en-US" w:eastAsia="zh-CN"/>
        </w:rPr>
        <w:t>。</w:t>
      </w:r>
    </w:p>
    <w:p w14:paraId="553C7A87">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指标2：</w:t>
      </w:r>
      <w:r>
        <w:rPr>
          <w:rFonts w:hint="default" w:ascii="Times New Roman" w:hAnsi="Times New Roman" w:eastAsia="仿宋_GB2312" w:cs="Times New Roman"/>
          <w:sz w:val="32"/>
          <w:szCs w:val="32"/>
          <w:highlight w:val="none"/>
          <w:lang w:val="en-US" w:eastAsia="zh-CN"/>
        </w:rPr>
        <w:t>残疾儿童康复救助资金成本，指标值：</w:t>
      </w:r>
      <w:r>
        <w:rPr>
          <w:rFonts w:hint="eastAsia" w:ascii="Times New Roman" w:hAnsi="Times New Roman" w:eastAsia="仿宋_GB2312" w:cs="Times New Roman"/>
          <w:sz w:val="32"/>
          <w:szCs w:val="32"/>
          <w:highlight w:val="none"/>
          <w:lang w:val="en-US" w:eastAsia="zh-CN"/>
        </w:rPr>
        <w:t>&lt;=15.02万元</w:t>
      </w:r>
      <w:r>
        <w:rPr>
          <w:rFonts w:hint="default" w:ascii="Times New Roman" w:hAnsi="Times New Roman" w:eastAsia="仿宋_GB2312" w:cs="Times New Roman"/>
          <w:sz w:val="32"/>
          <w:szCs w:val="32"/>
          <w:highlight w:val="none"/>
          <w:lang w:val="en-US" w:eastAsia="zh-CN"/>
        </w:rPr>
        <w:t>，实际完成值：7.44万元，指标完成率49.53%，偏差原因：2024年度，上级下达我市资金按照残疾儿童康复救助平均资金每人每年1.7万元下达，根据《新疆维吾尔自治区残疾儿童康复救助实施办法（试行）》文件精神，肢体残疾儿童康复训练补贴标准每年13200元，智力、孤独症、言语、听力、智力等残疾儿童康复训练补贴标准12000元，结余资金为残疾儿童康复救助补贴提标前后差额部分，无法在本年度支出。改进措施：2025年按照新文件标准执行。</w:t>
      </w:r>
    </w:p>
    <w:p w14:paraId="21B09FAC">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7.48</w:t>
      </w:r>
      <w:r>
        <w:rPr>
          <w:rFonts w:hint="eastAsia" w:ascii="Times New Roman" w:hAnsi="Times New Roman" w:eastAsia="仿宋_GB2312" w:cs="Times New Roman"/>
          <w:sz w:val="32"/>
          <w:szCs w:val="32"/>
          <w:highlight w:val="none"/>
          <w:lang w:val="en-US" w:eastAsia="zh-CN"/>
        </w:rPr>
        <w:t>分。</w:t>
      </w:r>
    </w:p>
    <w:p w14:paraId="729E8143">
      <w:pPr>
        <w:pStyle w:val="13"/>
        <w:keepNext w:val="0"/>
        <w:keepLines w:val="0"/>
        <w:pageBreakBefore w:val="0"/>
        <w:numPr>
          <w:ilvl w:val="0"/>
          <w:numId w:val="4"/>
        </w:numPr>
        <w:kinsoku/>
        <w:wordWrap/>
        <w:overflowPunct/>
        <w:topLinePunct w:val="0"/>
        <w:autoSpaceDE/>
        <w:autoSpaceDN/>
        <w:bidi w:val="0"/>
        <w:adjustRightInd/>
        <w:snapToGrid/>
        <w:spacing w:line="500" w:lineRule="exact"/>
        <w:ind w:firstLine="643" w:firstLineChars="200"/>
        <w:textAlignment w:val="auto"/>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30762AF8">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4840A8DB">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14:paraId="7E71F0EC">
      <w:pPr>
        <w:keepNext w:val="0"/>
        <w:keepLines w:val="0"/>
        <w:pageBreakBefore w:val="0"/>
        <w:numPr>
          <w:ilvl w:val="0"/>
          <w:numId w:val="0"/>
        </w:numPr>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45EA3C8E">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指标</w:t>
      </w:r>
      <w:r>
        <w:rPr>
          <w:rFonts w:hint="eastAsia"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eastAsia="zh-CN"/>
        </w:rPr>
        <w:t>残疾人康复知识及预防知识知晓率</w:t>
      </w:r>
      <w:r>
        <w:rPr>
          <w:rFonts w:hint="default" w:ascii="Times New Roman" w:hAnsi="Times New Roman" w:eastAsia="仿宋_GB2312" w:cs="Times New Roman"/>
          <w:sz w:val="32"/>
          <w:szCs w:val="32"/>
          <w:highlight w:val="none"/>
          <w:lang w:eastAsia="zh-CN"/>
        </w:rPr>
        <w:t>，指标值：</w:t>
      </w:r>
      <w:r>
        <w:rPr>
          <w:rFonts w:hint="eastAsia" w:ascii="Times New Roman" w:hAnsi="Times New Roman" w:eastAsia="仿宋_GB2312" w:cs="Times New Roman"/>
          <w:sz w:val="32"/>
          <w:szCs w:val="32"/>
          <w:highlight w:val="none"/>
          <w:lang w:eastAsia="zh-CN"/>
        </w:rPr>
        <w:t>&gt;=85%</w:t>
      </w:r>
      <w:r>
        <w:rPr>
          <w:rFonts w:hint="default" w:ascii="Times New Roman" w:hAnsi="Times New Roman" w:eastAsia="仿宋_GB2312" w:cs="Times New Roman"/>
          <w:sz w:val="32"/>
          <w:szCs w:val="32"/>
          <w:highlight w:val="none"/>
          <w:lang w:eastAsia="zh-CN"/>
        </w:rPr>
        <w:t xml:space="preserve"> ，实际完成值：</w:t>
      </w:r>
      <w:r>
        <w:rPr>
          <w:rFonts w:hint="eastAsia" w:ascii="Times New Roman" w:hAnsi="Times New Roman" w:eastAsia="仿宋_GB2312" w:cs="Times New Roman"/>
          <w:sz w:val="32"/>
          <w:szCs w:val="32"/>
          <w:highlight w:val="none"/>
          <w:lang w:eastAsia="zh-CN"/>
        </w:rPr>
        <w:t>=95%</w:t>
      </w:r>
      <w:r>
        <w:rPr>
          <w:rFonts w:hint="default" w:ascii="Times New Roman" w:hAnsi="Times New Roman" w:eastAsia="仿宋_GB2312" w:cs="Times New Roman"/>
          <w:sz w:val="32"/>
          <w:szCs w:val="32"/>
          <w:highlight w:val="none"/>
          <w:lang w:eastAsia="zh-CN"/>
        </w:rPr>
        <w:t>，指标完成率</w:t>
      </w:r>
      <w:r>
        <w:rPr>
          <w:rFonts w:hint="eastAsia" w:ascii="Times New Roman" w:hAnsi="Times New Roman" w:eastAsia="仿宋_GB2312" w:cs="Times New Roman"/>
          <w:sz w:val="32"/>
          <w:szCs w:val="32"/>
          <w:highlight w:val="none"/>
          <w:lang w:eastAsia="zh-CN"/>
        </w:rPr>
        <w:t>111.76%</w:t>
      </w:r>
      <w:r>
        <w:rPr>
          <w:rFonts w:hint="default" w:ascii="Times New Roman" w:hAnsi="Times New Roman" w:eastAsia="仿宋_GB2312" w:cs="Times New Roman"/>
          <w:sz w:val="32"/>
          <w:szCs w:val="32"/>
          <w:highlight w:val="none"/>
          <w:lang w:eastAsia="zh-CN"/>
        </w:rPr>
        <w:t>，偏差原因：通过爱耳日、全国助残日、乡镇街道宣讲等多形式宣讲、发放宣传单、公交站台播放滚屏，广大群众知晓率高。改进措施：持续开展宣传。</w:t>
      </w:r>
    </w:p>
    <w:p w14:paraId="2329A1D5">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w:t>
      </w:r>
    </w:p>
    <w:p w14:paraId="6012A2D7">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7314BF81">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eastAsia" w:eastAsia="仿宋_GB2312" w:cs="Times New Roman"/>
          <w:sz w:val="32"/>
          <w:szCs w:val="32"/>
          <w:highlight w:val="none"/>
          <w:lang w:eastAsia="zh-CN"/>
        </w:rPr>
        <w:t>满意度</w:t>
      </w:r>
      <w:r>
        <w:rPr>
          <w:rFonts w:hint="default" w:ascii="Times New Roman" w:hAnsi="Times New Roman" w:eastAsia="仿宋_GB2312" w:cs="Times New Roman"/>
          <w:sz w:val="32"/>
          <w:szCs w:val="32"/>
          <w:highlight w:val="none"/>
        </w:rPr>
        <w:t>指标：</w:t>
      </w:r>
    </w:p>
    <w:p w14:paraId="63EC8759">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指标</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受益人员满意度，指标值：&gt;=95% ，实际完成值：=100%，指标完成率105.26%，偏差原因：经向残疾人发放问卷调查表，受调查群众满意度100%；改进措施：继续保持。</w:t>
      </w:r>
    </w:p>
    <w:p w14:paraId="23E016F3">
      <w:pPr>
        <w:keepNext w:val="0"/>
        <w:keepLines w:val="0"/>
        <w:pageBreakBefore w:val="0"/>
        <w:shd w:val="clear"/>
        <w:kinsoku/>
        <w:wordWrap/>
        <w:overflowPunct/>
        <w:topLinePunct w:val="0"/>
        <w:autoSpaceDE/>
        <w:autoSpaceDN/>
        <w:bidi w:val="0"/>
        <w:adjustRightInd/>
        <w:snapToGrid/>
        <w:spacing w:line="5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分</w:t>
      </w:r>
      <w:r>
        <w:rPr>
          <w:rFonts w:hint="eastAsia" w:eastAsia="仿宋_GB2312" w:cs="Times New Roman"/>
          <w:sz w:val="32"/>
          <w:szCs w:val="32"/>
          <w:highlight w:val="none"/>
          <w:lang w:val="en-US" w:eastAsia="zh-CN"/>
        </w:rPr>
        <w:t>。</w:t>
      </w:r>
    </w:p>
    <w:p w14:paraId="452376F6">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65D28605">
      <w:pPr>
        <w:pStyle w:val="20"/>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巴财社[2023]83号提前下达2024年自治区财政残疾人事业发展补助资金[彩票公益金]（142.016万元）</w:t>
      </w:r>
      <w:r>
        <w:rPr>
          <w:rFonts w:hint="default" w:ascii="Times New Roman" w:hAnsi="Times New Roman" w:eastAsia="仿宋_GB2312" w:cs="Times New Roman"/>
          <w:kern w:val="2"/>
          <w:sz w:val="32"/>
          <w:szCs w:val="32"/>
          <w:highlight w:val="none"/>
          <w:lang w:val="en-US" w:eastAsia="zh-CN" w:bidi="ar-SA"/>
        </w:rPr>
        <w:t>项目年初预算</w:t>
      </w:r>
      <w:r>
        <w:rPr>
          <w:rFonts w:hint="eastAsia" w:ascii="Times New Roman" w:hAnsi="Times New Roman" w:eastAsia="仿宋_GB2312" w:cs="Times New Roman"/>
          <w:kern w:val="2"/>
          <w:sz w:val="32"/>
          <w:szCs w:val="32"/>
          <w:highlight w:val="none"/>
          <w:lang w:val="en-US" w:eastAsia="zh-CN" w:bidi="ar-SA"/>
        </w:rPr>
        <w:t>142.02</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142.02</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134.44</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94.66</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97.29</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eastAsia="仿宋_GB2312" w:cs="Times New Roman"/>
          <w:kern w:val="2"/>
          <w:sz w:val="32"/>
          <w:szCs w:val="32"/>
          <w:highlight w:val="none"/>
          <w:lang w:val="en-US" w:eastAsia="zh-CN" w:bidi="ar-SA"/>
        </w:rPr>
        <w:t>2.63</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偏差</w:t>
      </w:r>
      <w:r>
        <w:rPr>
          <w:rFonts w:hint="default" w:ascii="Times New Roman" w:hAnsi="Times New Roman" w:eastAsia="仿宋_GB2312" w:cs="Times New Roman"/>
          <w:kern w:val="2"/>
          <w:sz w:val="32"/>
          <w:szCs w:val="32"/>
          <w:highlight w:val="none"/>
          <w:lang w:val="en-US" w:eastAsia="zh-CN" w:bidi="ar-SA"/>
        </w:rPr>
        <w:t>原因</w:t>
      </w:r>
      <w:r>
        <w:rPr>
          <w:rFonts w:hint="eastAsia" w:eastAsia="仿宋_GB2312" w:cs="Times New Roman"/>
          <w:kern w:val="2"/>
          <w:sz w:val="32"/>
          <w:szCs w:val="32"/>
          <w:highlight w:val="none"/>
          <w:lang w:val="en-US" w:eastAsia="zh-CN" w:bidi="ar-SA"/>
        </w:rPr>
        <w:t>：0-6岁残疾儿童下达标准1.8万/人，实际按文件要求1.2万/人、1.32万/人</w:t>
      </w:r>
      <w:r>
        <w:rPr>
          <w:rFonts w:hint="default"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差额为提标前后；</w:t>
      </w:r>
      <w:r>
        <w:rPr>
          <w:rFonts w:hint="default" w:ascii="Times New Roman" w:hAnsi="Times New Roman" w:eastAsia="仿宋_GB2312" w:cs="Times New Roman"/>
          <w:kern w:val="2"/>
          <w:sz w:val="32"/>
          <w:szCs w:val="32"/>
          <w:highlight w:val="none"/>
          <w:lang w:val="en-US" w:eastAsia="zh-Hans" w:bidi="ar-SA"/>
        </w:rPr>
        <w:t>改进</w:t>
      </w:r>
      <w:r>
        <w:rPr>
          <w:rFonts w:hint="default" w:ascii="Times New Roman" w:hAnsi="Times New Roman" w:eastAsia="仿宋_GB2312" w:cs="Times New Roman"/>
          <w:kern w:val="2"/>
          <w:sz w:val="32"/>
          <w:szCs w:val="32"/>
          <w:highlight w:val="none"/>
          <w:lang w:val="en-US" w:eastAsia="zh-CN" w:bidi="ar-SA"/>
        </w:rPr>
        <w:t>措施</w:t>
      </w:r>
      <w:r>
        <w:rPr>
          <w:rFonts w:hint="eastAsia" w:eastAsia="仿宋_GB2312" w:cs="Times New Roman"/>
          <w:kern w:val="2"/>
          <w:sz w:val="32"/>
          <w:szCs w:val="32"/>
          <w:highlight w:val="none"/>
          <w:lang w:val="en-US" w:eastAsia="zh-CN" w:bidi="ar-SA"/>
        </w:rPr>
        <w:t>：2025年按新标准执行</w:t>
      </w:r>
      <w:r>
        <w:rPr>
          <w:rFonts w:hint="default" w:ascii="Times New Roman" w:hAnsi="Times New Roman" w:eastAsia="仿宋_GB2312" w:cs="Times New Roman"/>
          <w:kern w:val="2"/>
          <w:sz w:val="32"/>
          <w:szCs w:val="32"/>
          <w:highlight w:val="none"/>
          <w:lang w:val="en-US" w:eastAsia="zh-CN" w:bidi="ar-SA"/>
        </w:rPr>
        <w:t>。</w:t>
      </w:r>
    </w:p>
    <w:p w14:paraId="7798017D">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1B273011">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1840CA8D">
      <w:pPr>
        <w:pStyle w:val="11"/>
        <w:spacing w:before="0" w:after="0" w:line="560" w:lineRule="exact"/>
        <w:ind w:firstLine="640" w:firstLineChars="200"/>
        <w:jc w:val="left"/>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为保障项目全周期高效推进，需构建系统化管理体系：一是强化前期规划，对项目实施方案开展多轮论证与审核，确保计划科学可行；二是严格过程管控，建立常态化监督机制，依据项目管理标准实施动态跟踪，实时监控项目进度与质量；三是健全资金监管体系，严格对照资金使用目录审核支出，确保专款专用、流向清晰。</w:t>
      </w:r>
    </w:p>
    <w:p w14:paraId="419752C1">
      <w:pPr>
        <w:pStyle w:val="11"/>
        <w:spacing w:before="0" w:after="0" w:line="560" w:lineRule="exact"/>
        <w:ind w:firstLine="640" w:firstLineChars="200"/>
        <w:jc w:val="left"/>
        <w:rPr>
          <w:rFonts w:hint="eastAsia" w:ascii="仿宋_GB2312" w:hAnsi="仿宋_GB2312" w:eastAsia="仿宋_GB2312" w:cs="仿宋_GB2312"/>
          <w:b w:val="0"/>
          <w:bCs w:val="0"/>
          <w:kern w:val="2"/>
          <w:highlight w:val="none"/>
        </w:rPr>
      </w:pPr>
      <w:r>
        <w:rPr>
          <w:rFonts w:hint="eastAsia" w:ascii="仿宋_GB2312" w:hAnsi="仿宋_GB2312" w:eastAsia="仿宋_GB2312" w:cs="仿宋_GB2312"/>
          <w:b w:val="0"/>
          <w:bCs w:val="0"/>
          <w:sz w:val="32"/>
          <w:szCs w:val="32"/>
          <w:highlight w:val="none"/>
        </w:rPr>
        <w:t>项目资金管理严格遵循"建设-验收-拨付"流程，构建全链条风险防控机制，有效遏制资金挤占挪用问题。财政、纪检、监察等部门全程参与项目监管，将监督关口前移，形成"事前预审-事中巡查-事后审计"三位一体的监督闭环。通过多部门协同、多环节联动的立体化监管模式，实现问题早预警、早处置，切实提升项目管理质效与资金使用效益。</w:t>
      </w:r>
    </w:p>
    <w:p w14:paraId="0583D354">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3C2F8B6A">
      <w:pPr>
        <w:pStyle w:val="11"/>
        <w:spacing w:before="0" w:after="0" w:line="560" w:lineRule="exact"/>
        <w:ind w:firstLine="640" w:firstLineChars="200"/>
        <w:jc w:val="left"/>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val="0"/>
          <w:bCs w:val="0"/>
          <w:kern w:val="2"/>
          <w:highlight w:val="none"/>
          <w:lang w:val="en-US" w:eastAsia="zh-CN"/>
        </w:rPr>
        <w:t>财务工作水平需进一步提升</w:t>
      </w:r>
      <w:r>
        <w:rPr>
          <w:rFonts w:hint="eastAsia" w:ascii="Times New Roman" w:hAnsi="Times New Roman" w:eastAsia="仿宋_GB2312" w:cs="Times New Roman"/>
          <w:b w:val="0"/>
          <w:bCs w:val="0"/>
          <w:kern w:val="2"/>
          <w:highlight w:val="none"/>
          <w:lang w:eastAsia="zh-CN"/>
        </w:rPr>
        <w:t>。会计</w:t>
      </w:r>
      <w:r>
        <w:rPr>
          <w:rFonts w:hint="eastAsia" w:ascii="Times New Roman" w:hAnsi="Times New Roman" w:eastAsia="仿宋_GB2312" w:cs="Times New Roman"/>
          <w:b w:val="0"/>
          <w:bCs w:val="0"/>
          <w:kern w:val="2"/>
          <w:highlight w:val="none"/>
          <w:lang w:val="en-US" w:eastAsia="zh-CN"/>
        </w:rPr>
        <w:t>2024年7月派驻“访惠聚”工作队，报账员由办公室党建干事转任，</w:t>
      </w:r>
      <w:r>
        <w:rPr>
          <w:rFonts w:hint="eastAsia" w:ascii="Times New Roman" w:hAnsi="Times New Roman" w:eastAsia="仿宋_GB2312" w:cs="Times New Roman"/>
          <w:b w:val="0"/>
          <w:bCs w:val="0"/>
          <w:kern w:val="2"/>
          <w:highlight w:val="none"/>
        </w:rPr>
        <w:t>业务生疏，财务</w:t>
      </w:r>
      <w:r>
        <w:rPr>
          <w:rFonts w:hint="eastAsia" w:ascii="Times New Roman" w:hAnsi="Times New Roman" w:eastAsia="仿宋_GB2312" w:cs="Times New Roman"/>
          <w:b w:val="0"/>
          <w:bCs w:val="0"/>
          <w:kern w:val="2"/>
          <w:highlight w:val="none"/>
          <w:lang w:eastAsia="zh-CN"/>
        </w:rPr>
        <w:t>水平</w:t>
      </w:r>
      <w:r>
        <w:rPr>
          <w:rFonts w:hint="eastAsia" w:ascii="Times New Roman" w:hAnsi="Times New Roman" w:eastAsia="仿宋_GB2312" w:cs="Times New Roman"/>
          <w:b w:val="0"/>
          <w:bCs w:val="0"/>
          <w:kern w:val="2"/>
          <w:highlight w:val="none"/>
        </w:rPr>
        <w:t>薄弱，</w:t>
      </w:r>
      <w:r>
        <w:rPr>
          <w:rFonts w:hint="eastAsia" w:ascii="Times New Roman" w:hAnsi="Times New Roman" w:eastAsia="仿宋_GB2312" w:cs="Times New Roman"/>
          <w:b w:val="0"/>
          <w:bCs w:val="0"/>
          <w:kern w:val="2"/>
          <w:highlight w:val="none"/>
          <w:lang w:eastAsia="zh-CN"/>
        </w:rPr>
        <w:t>财务知识欠缺，绩效工作项目支出水平有待提升</w:t>
      </w:r>
      <w:r>
        <w:rPr>
          <w:rFonts w:hint="default" w:ascii="Times New Roman" w:hAnsi="Times New Roman" w:eastAsia="仿宋_GB2312" w:cs="Times New Roman"/>
          <w:b w:val="0"/>
          <w:bCs w:val="0"/>
          <w:kern w:val="2"/>
          <w:highlight w:val="none"/>
          <w:lang w:val="en-US" w:eastAsia="zh-CN"/>
        </w:rPr>
        <w:t>。</w:t>
      </w:r>
    </w:p>
    <w:p w14:paraId="386BA0D2">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579F5C8F">
      <w:pPr>
        <w:pStyle w:val="11"/>
        <w:spacing w:before="0" w:after="0" w:line="560" w:lineRule="exact"/>
        <w:ind w:firstLine="640" w:firstLineChars="200"/>
        <w:jc w:val="left"/>
        <w:rPr>
          <w:rFonts w:hint="default" w:ascii="Times New Roman" w:hAnsi="Times New Roman" w:eastAsia="仿宋_GB2312" w:cs="Times New Roman"/>
          <w:b w:val="0"/>
          <w:bCs w:val="0"/>
          <w:kern w:val="2"/>
          <w:highlight w:val="none"/>
          <w:lang w:val="en-US" w:eastAsia="zh-CN"/>
        </w:rPr>
      </w:pPr>
      <w:r>
        <w:rPr>
          <w:rFonts w:hint="eastAsia" w:ascii="Times New Roman" w:hAnsi="Times New Roman" w:eastAsia="仿宋_GB2312" w:cs="Times New Roman"/>
          <w:b w:val="0"/>
          <w:bCs w:val="0"/>
          <w:kern w:val="2"/>
          <w:highlight w:val="none"/>
          <w:lang w:eastAsia="zh-CN"/>
        </w:rPr>
        <w:t>加强干部培训学习，提高绩效工作水平。一是通过支部集中学习、安排外出培训等多项式，</w:t>
      </w:r>
      <w:r>
        <w:rPr>
          <w:rFonts w:hint="default" w:ascii="Times New Roman" w:hAnsi="Times New Roman" w:eastAsia="仿宋_GB2312" w:cs="Times New Roman"/>
          <w:b w:val="0"/>
          <w:bCs w:val="0"/>
          <w:kern w:val="2"/>
          <w:highlight w:val="none"/>
        </w:rPr>
        <w:t>及时跟进学习财政、审计等部门最新出台的政策规定，</w:t>
      </w:r>
      <w:r>
        <w:rPr>
          <w:rFonts w:hint="eastAsia" w:ascii="Times New Roman" w:hAnsi="Times New Roman" w:eastAsia="仿宋_GB2312" w:cs="Times New Roman"/>
          <w:b w:val="0"/>
          <w:bCs w:val="0"/>
          <w:kern w:val="2"/>
          <w:highlight w:val="none"/>
        </w:rPr>
        <w:t>系统学习国家及地方最新的财务政策、法规，重点关注与残联业务相关的财务管理规定，深入学习残联职能定位、工作流程，全面掌握残联业务，</w:t>
      </w:r>
      <w:r>
        <w:rPr>
          <w:rFonts w:hint="default" w:ascii="Times New Roman" w:hAnsi="Times New Roman" w:eastAsia="仿宋_GB2312" w:cs="Times New Roman"/>
          <w:b w:val="0"/>
          <w:bCs w:val="0"/>
          <w:kern w:val="2"/>
          <w:highlight w:val="none"/>
        </w:rPr>
        <w:t>不断更新</w:t>
      </w:r>
      <w:r>
        <w:rPr>
          <w:rFonts w:hint="eastAsia" w:ascii="Times New Roman" w:hAnsi="Times New Roman" w:eastAsia="仿宋_GB2312" w:cs="Times New Roman"/>
          <w:b w:val="0"/>
          <w:bCs w:val="0"/>
          <w:kern w:val="2"/>
          <w:highlight w:val="none"/>
          <w:lang w:eastAsia="zh-CN"/>
        </w:rPr>
        <w:t>绩效工作</w:t>
      </w:r>
      <w:r>
        <w:rPr>
          <w:rFonts w:hint="default" w:ascii="Times New Roman" w:hAnsi="Times New Roman" w:eastAsia="仿宋_GB2312" w:cs="Times New Roman"/>
          <w:b w:val="0"/>
          <w:bCs w:val="0"/>
          <w:kern w:val="2"/>
          <w:highlight w:val="none"/>
        </w:rPr>
        <w:t>业务知识，</w:t>
      </w:r>
      <w:r>
        <w:rPr>
          <w:rFonts w:hint="eastAsia" w:ascii="Times New Roman" w:hAnsi="Times New Roman" w:eastAsia="仿宋_GB2312" w:cs="Times New Roman"/>
          <w:b w:val="0"/>
          <w:bCs w:val="0"/>
          <w:kern w:val="2"/>
          <w:highlight w:val="none"/>
        </w:rPr>
        <w:t>结合实际工作提升服务质量</w:t>
      </w:r>
      <w:r>
        <w:rPr>
          <w:rFonts w:hint="eastAsia" w:ascii="Times New Roman" w:hAnsi="Times New Roman" w:eastAsia="仿宋_GB2312" w:cs="Times New Roman"/>
          <w:b w:val="0"/>
          <w:bCs w:val="0"/>
          <w:kern w:val="2"/>
          <w:highlight w:val="none"/>
          <w:lang w:eastAsia="zh-CN"/>
        </w:rPr>
        <w:t>不断增强干部理论实操，</w:t>
      </w:r>
      <w:r>
        <w:rPr>
          <w:rFonts w:hint="default" w:ascii="Times New Roman" w:hAnsi="Times New Roman" w:eastAsia="仿宋_GB2312" w:cs="Times New Roman"/>
          <w:b w:val="0"/>
          <w:bCs w:val="0"/>
          <w:kern w:val="2"/>
          <w:highlight w:val="none"/>
        </w:rPr>
        <w:t>做到业务精、本领硬、责任心强，切实</w:t>
      </w:r>
      <w:r>
        <w:rPr>
          <w:rFonts w:hint="eastAsia" w:ascii="Times New Roman" w:hAnsi="Times New Roman" w:eastAsia="仿宋_GB2312" w:cs="Times New Roman"/>
          <w:b w:val="0"/>
          <w:bCs w:val="0"/>
          <w:kern w:val="2"/>
          <w:highlight w:val="none"/>
          <w:lang w:eastAsia="zh-CN"/>
        </w:rPr>
        <w:t>提高绩效工作水平；二是</w:t>
      </w:r>
      <w:r>
        <w:rPr>
          <w:rFonts w:hint="default" w:ascii="Times New Roman" w:hAnsi="Times New Roman" w:eastAsia="仿宋_GB2312" w:cs="Times New Roman"/>
          <w:b w:val="0"/>
          <w:bCs w:val="0"/>
          <w:kern w:val="2"/>
          <w:highlight w:val="none"/>
        </w:rPr>
        <w:t>健全和完善</w:t>
      </w:r>
      <w:r>
        <w:rPr>
          <w:rFonts w:hint="eastAsia" w:ascii="Times New Roman" w:hAnsi="Times New Roman" w:eastAsia="仿宋_GB2312" w:cs="Times New Roman"/>
          <w:b w:val="0"/>
          <w:bCs w:val="0"/>
          <w:kern w:val="2"/>
          <w:highlight w:val="none"/>
          <w:lang w:eastAsia="zh-CN"/>
        </w:rPr>
        <w:t>绩效工作</w:t>
      </w:r>
      <w:r>
        <w:rPr>
          <w:rFonts w:hint="default" w:ascii="Times New Roman" w:hAnsi="Times New Roman" w:eastAsia="仿宋_GB2312" w:cs="Times New Roman"/>
          <w:b w:val="0"/>
          <w:bCs w:val="0"/>
          <w:kern w:val="2"/>
          <w:highlight w:val="none"/>
        </w:rPr>
        <w:t>要求，找准薄弱环节，明确</w:t>
      </w:r>
      <w:r>
        <w:rPr>
          <w:rFonts w:hint="eastAsia" w:ascii="Times New Roman" w:hAnsi="Times New Roman" w:eastAsia="仿宋_GB2312" w:cs="Times New Roman"/>
          <w:b w:val="0"/>
          <w:bCs w:val="0"/>
          <w:kern w:val="2"/>
          <w:highlight w:val="none"/>
          <w:lang w:eastAsia="zh-CN"/>
        </w:rPr>
        <w:t>工作</w:t>
      </w:r>
      <w:r>
        <w:rPr>
          <w:rFonts w:hint="default" w:ascii="Times New Roman" w:hAnsi="Times New Roman" w:eastAsia="仿宋_GB2312" w:cs="Times New Roman"/>
          <w:b w:val="0"/>
          <w:bCs w:val="0"/>
          <w:kern w:val="2"/>
          <w:highlight w:val="none"/>
        </w:rPr>
        <w:t>重点，强化预算管理、政府采购、资金拨付与费用支出管理、资产管理、报销审批程序等经济活动的学习，</w:t>
      </w:r>
      <w:r>
        <w:rPr>
          <w:rFonts w:hint="default" w:ascii="Times New Roman" w:hAnsi="Times New Roman" w:eastAsia="仿宋_GB2312" w:cs="Times New Roman"/>
          <w:b w:val="0"/>
          <w:bCs w:val="0"/>
          <w:kern w:val="2"/>
          <w:highlight w:val="none"/>
          <w:lang w:val="en-US" w:eastAsia="zh-CN"/>
        </w:rPr>
        <w:t>进一步夯实业务基础，提高我单位绩效人员水平。</w:t>
      </w:r>
    </w:p>
    <w:p w14:paraId="2297E911">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43C18E7C">
      <w:pPr>
        <w:pStyle w:val="14"/>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14:paraId="57CE013E">
      <w:pPr>
        <w:pStyle w:val="14"/>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66F4B50A">
      <w:pPr>
        <w:pStyle w:val="14"/>
        <w:spacing w:after="0" w:line="560" w:lineRule="exact"/>
        <w:ind w:left="0" w:leftChars="0" w:firstLine="640"/>
        <w:rPr>
          <w:rFonts w:hint="default" w:ascii="Times New Roman" w:hAnsi="Times New Roman" w:eastAsia="仿宋_GB2312" w:cs="Times New Roman"/>
          <w:sz w:val="32"/>
          <w:szCs w:val="32"/>
          <w:highlight w:val="none"/>
        </w:rPr>
      </w:pPr>
    </w:p>
    <w:p w14:paraId="25814900">
      <w:pPr>
        <w:pStyle w:val="14"/>
        <w:spacing w:after="0" w:line="560" w:lineRule="exact"/>
        <w:ind w:left="0" w:leftChars="0" w:firstLine="640"/>
        <w:rPr>
          <w:rFonts w:hint="default" w:ascii="Times New Roman" w:hAnsi="Times New Roman" w:eastAsia="仿宋_GB2312" w:cs="Times New Roman"/>
          <w:sz w:val="32"/>
          <w:szCs w:val="32"/>
          <w:highlight w:val="none"/>
        </w:rPr>
      </w:pPr>
    </w:p>
    <w:p w14:paraId="63147951">
      <w:pPr>
        <w:pStyle w:val="14"/>
        <w:spacing w:after="0" w:line="560" w:lineRule="exact"/>
        <w:ind w:left="0" w:leftChars="0" w:firstLine="0" w:firstLineChars="0"/>
        <w:rPr>
          <w:rFonts w:hint="default" w:ascii="Times New Roman" w:hAnsi="Times New Roman" w:eastAsia="仿宋_GB2312" w:cs="Times New Roman"/>
          <w:sz w:val="32"/>
          <w:szCs w:val="32"/>
          <w:highlight w:val="none"/>
        </w:rPr>
      </w:pPr>
    </w:p>
    <w:p w14:paraId="18BA97A3">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2FB60B2">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3B50A9F1">
      <w:pPr>
        <w:pStyle w:val="20"/>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rPr>
        <w:t>巴财社[2023]83号提前下达2024年自治区财政残疾人事业发展补助资金[彩票公益金]（142.016万元）项目绩效评价指标体系及综合评分表</w:t>
      </w:r>
      <w:bookmarkEnd w:id="1"/>
      <w:bookmarkEnd w:id="2"/>
    </w:p>
    <w:tbl>
      <w:tblPr>
        <w:tblStyle w:val="1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2120"/>
        <w:gridCol w:w="4822"/>
        <w:gridCol w:w="1300"/>
        <w:gridCol w:w="1366"/>
      </w:tblGrid>
      <w:tr w14:paraId="61CA6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14:paraId="45D49B5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3488FA4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6D6B1F3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2120" w:type="dxa"/>
            <w:shd w:val="clear" w:color="auto" w:fill="FFFFFF"/>
            <w:vAlign w:val="center"/>
          </w:tcPr>
          <w:p w14:paraId="21C1580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4822" w:type="dxa"/>
            <w:shd w:val="clear" w:color="auto" w:fill="FFFFFF"/>
            <w:vAlign w:val="center"/>
          </w:tcPr>
          <w:p w14:paraId="2E325F8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0" w:type="dxa"/>
            <w:shd w:val="clear" w:color="auto" w:fill="FFFFFF"/>
            <w:vAlign w:val="center"/>
          </w:tcPr>
          <w:p w14:paraId="6E65EDB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6" w:type="dxa"/>
            <w:shd w:val="clear" w:color="auto" w:fill="FFFFFF"/>
            <w:vAlign w:val="center"/>
          </w:tcPr>
          <w:p w14:paraId="5CCCEEC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6FC57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14:paraId="7D113F57">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68AF65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0C27282">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E98B9F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AFCA7D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B282DD4">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49EAAB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4F717FE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733324C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6AC8155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2120" w:type="dxa"/>
            <w:shd w:val="clear" w:color="auto" w:fill="FFFFFF"/>
            <w:vAlign w:val="center"/>
          </w:tcPr>
          <w:p w14:paraId="22B9B97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4822" w:type="dxa"/>
            <w:shd w:val="clear" w:color="auto" w:fill="FFFFFF"/>
            <w:vAlign w:val="center"/>
          </w:tcPr>
          <w:p w14:paraId="0CD6C953">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0" w:type="dxa"/>
            <w:shd w:val="clear" w:color="auto" w:fill="FFFFFF"/>
            <w:vAlign w:val="center"/>
          </w:tcPr>
          <w:p w14:paraId="4E99C74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c>
          <w:tcPr>
            <w:tcW w:w="1366" w:type="dxa"/>
            <w:shd w:val="clear" w:color="auto" w:fill="FFFFFF"/>
            <w:vAlign w:val="center"/>
          </w:tcPr>
          <w:p w14:paraId="75DE7F1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83CC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5E36ED63">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3957A6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B52649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19DABE1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2120" w:type="dxa"/>
            <w:shd w:val="clear" w:color="auto" w:fill="FFFFFF"/>
            <w:vAlign w:val="center"/>
          </w:tcPr>
          <w:p w14:paraId="3662B6A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4822" w:type="dxa"/>
            <w:shd w:val="clear" w:color="auto" w:fill="FFFFFF"/>
            <w:vAlign w:val="center"/>
          </w:tcPr>
          <w:p w14:paraId="01949A58">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0" w:type="dxa"/>
            <w:shd w:val="clear" w:color="auto" w:fill="FFFFFF"/>
            <w:vAlign w:val="center"/>
          </w:tcPr>
          <w:p w14:paraId="237E67D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c>
          <w:tcPr>
            <w:tcW w:w="1366" w:type="dxa"/>
            <w:shd w:val="clear" w:color="auto" w:fill="FFFFFF"/>
            <w:vAlign w:val="center"/>
          </w:tcPr>
          <w:p w14:paraId="549014F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6A24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534FC217">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3A06B23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022D40D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44D7F50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2120" w:type="dxa"/>
            <w:shd w:val="clear" w:color="000000" w:fill="FFFFFF"/>
            <w:vAlign w:val="center"/>
          </w:tcPr>
          <w:p w14:paraId="3A7FBC9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4822" w:type="dxa"/>
            <w:shd w:val="clear" w:color="000000" w:fill="FFFFFF"/>
            <w:vAlign w:val="center"/>
          </w:tcPr>
          <w:p w14:paraId="2EBD62A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48E0736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0" w:type="dxa"/>
            <w:shd w:val="clear" w:color="000000" w:fill="FFFFFF"/>
            <w:vAlign w:val="center"/>
          </w:tcPr>
          <w:p w14:paraId="439EFF9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775F538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14:paraId="49887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14:paraId="3CFE431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2AF944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F29D55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467F862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2120" w:type="dxa"/>
            <w:shd w:val="clear" w:color="000000" w:fill="FFFFFF"/>
            <w:vAlign w:val="center"/>
          </w:tcPr>
          <w:p w14:paraId="214B2CF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4822" w:type="dxa"/>
            <w:shd w:val="clear" w:color="000000" w:fill="FFFFFF"/>
            <w:vAlign w:val="center"/>
          </w:tcPr>
          <w:p w14:paraId="44EDE3C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0" w:type="dxa"/>
            <w:shd w:val="clear" w:color="000000" w:fill="FFFFFF"/>
            <w:vAlign w:val="center"/>
          </w:tcPr>
          <w:p w14:paraId="39BDB1E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01D4408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5C61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14:paraId="56F1A3EE">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64EC92B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13749561">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35DC4C2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19C187B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2120" w:type="dxa"/>
            <w:shd w:val="clear" w:color="auto" w:fill="FFFFFF"/>
            <w:vAlign w:val="center"/>
          </w:tcPr>
          <w:p w14:paraId="77BC24F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4822" w:type="dxa"/>
            <w:shd w:val="clear" w:color="auto" w:fill="FFFFFF"/>
            <w:vAlign w:val="center"/>
          </w:tcPr>
          <w:p w14:paraId="70F22DA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0" w:type="dxa"/>
            <w:shd w:val="clear" w:color="auto" w:fill="FFFFFF"/>
            <w:vAlign w:val="center"/>
          </w:tcPr>
          <w:p w14:paraId="7BFC578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c>
          <w:tcPr>
            <w:tcW w:w="1366" w:type="dxa"/>
            <w:shd w:val="clear" w:color="auto" w:fill="FFFFFF"/>
            <w:vAlign w:val="center"/>
          </w:tcPr>
          <w:p w14:paraId="538D081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B10F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14:paraId="66E4F91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6999F2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055459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61C0D96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2120" w:type="dxa"/>
            <w:shd w:val="clear" w:color="auto" w:fill="FFFFFF"/>
            <w:vAlign w:val="center"/>
          </w:tcPr>
          <w:p w14:paraId="5468289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4822" w:type="dxa"/>
            <w:shd w:val="clear" w:color="auto" w:fill="FFFFFF"/>
            <w:vAlign w:val="center"/>
          </w:tcPr>
          <w:p w14:paraId="57A6964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0" w:type="dxa"/>
            <w:shd w:val="clear" w:color="auto" w:fill="FFFFFF"/>
            <w:vAlign w:val="center"/>
          </w:tcPr>
          <w:p w14:paraId="730E5F6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c>
          <w:tcPr>
            <w:tcW w:w="1366" w:type="dxa"/>
            <w:shd w:val="clear" w:color="auto" w:fill="FFFFFF"/>
            <w:vAlign w:val="center"/>
          </w:tcPr>
          <w:p w14:paraId="59CE508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DB29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14:paraId="3871C406">
            <w:pPr>
              <w:spacing w:line="0" w:lineRule="atLeast"/>
              <w:jc w:val="center"/>
              <w:rPr>
                <w:rFonts w:hint="default" w:ascii="Times New Roman" w:hAnsi="Times New Roman" w:eastAsia="仿宋_GB2312" w:cs="Times New Roman"/>
                <w:color w:val="000000"/>
                <w:kern w:val="0"/>
                <w:sz w:val="18"/>
                <w:szCs w:val="18"/>
                <w:highlight w:val="none"/>
              </w:rPr>
            </w:pPr>
          </w:p>
          <w:p w14:paraId="05DF3F6C">
            <w:pPr>
              <w:spacing w:line="0" w:lineRule="atLeast"/>
              <w:jc w:val="center"/>
              <w:rPr>
                <w:rFonts w:hint="default" w:ascii="Times New Roman" w:hAnsi="Times New Roman" w:eastAsia="仿宋_GB2312" w:cs="Times New Roman"/>
                <w:color w:val="000000"/>
                <w:kern w:val="0"/>
                <w:sz w:val="18"/>
                <w:szCs w:val="18"/>
                <w:highlight w:val="none"/>
              </w:rPr>
            </w:pPr>
          </w:p>
          <w:p w14:paraId="5984DD88">
            <w:pPr>
              <w:spacing w:line="0" w:lineRule="atLeast"/>
              <w:jc w:val="center"/>
              <w:rPr>
                <w:rFonts w:hint="default" w:ascii="Times New Roman" w:hAnsi="Times New Roman" w:eastAsia="仿宋_GB2312" w:cs="Times New Roman"/>
                <w:color w:val="000000"/>
                <w:kern w:val="0"/>
                <w:sz w:val="18"/>
                <w:szCs w:val="18"/>
                <w:highlight w:val="none"/>
              </w:rPr>
            </w:pPr>
          </w:p>
          <w:p w14:paraId="0DDD866C">
            <w:pPr>
              <w:spacing w:line="0" w:lineRule="atLeast"/>
              <w:jc w:val="center"/>
              <w:rPr>
                <w:rFonts w:hint="default" w:ascii="Times New Roman" w:hAnsi="Times New Roman" w:eastAsia="仿宋_GB2312" w:cs="Times New Roman"/>
                <w:color w:val="000000"/>
                <w:kern w:val="0"/>
                <w:sz w:val="18"/>
                <w:szCs w:val="18"/>
                <w:highlight w:val="none"/>
              </w:rPr>
            </w:pPr>
          </w:p>
          <w:p w14:paraId="6B48CB11">
            <w:pPr>
              <w:spacing w:line="0" w:lineRule="atLeast"/>
              <w:jc w:val="center"/>
              <w:rPr>
                <w:rFonts w:hint="default" w:ascii="Times New Roman" w:hAnsi="Times New Roman" w:eastAsia="仿宋_GB2312" w:cs="Times New Roman"/>
                <w:color w:val="000000"/>
                <w:kern w:val="0"/>
                <w:sz w:val="18"/>
                <w:szCs w:val="18"/>
                <w:highlight w:val="none"/>
              </w:rPr>
            </w:pPr>
          </w:p>
          <w:p w14:paraId="25F7D838">
            <w:pPr>
              <w:spacing w:line="0" w:lineRule="atLeast"/>
              <w:jc w:val="center"/>
              <w:rPr>
                <w:rFonts w:hint="default" w:ascii="Times New Roman" w:hAnsi="Times New Roman" w:eastAsia="仿宋_GB2312" w:cs="Times New Roman"/>
                <w:color w:val="000000"/>
                <w:kern w:val="0"/>
                <w:sz w:val="18"/>
                <w:szCs w:val="18"/>
                <w:highlight w:val="none"/>
              </w:rPr>
            </w:pPr>
          </w:p>
          <w:p w14:paraId="7158C7D3">
            <w:pPr>
              <w:spacing w:line="0" w:lineRule="atLeast"/>
              <w:jc w:val="center"/>
              <w:rPr>
                <w:rFonts w:hint="default" w:ascii="Times New Roman" w:hAnsi="Times New Roman" w:eastAsia="仿宋_GB2312" w:cs="Times New Roman"/>
                <w:color w:val="000000"/>
                <w:kern w:val="0"/>
                <w:sz w:val="18"/>
                <w:szCs w:val="18"/>
                <w:highlight w:val="none"/>
              </w:rPr>
            </w:pPr>
          </w:p>
          <w:p w14:paraId="0D642804">
            <w:pPr>
              <w:spacing w:line="0" w:lineRule="atLeast"/>
              <w:jc w:val="center"/>
              <w:rPr>
                <w:rFonts w:hint="default" w:ascii="Times New Roman" w:hAnsi="Times New Roman" w:eastAsia="仿宋_GB2312" w:cs="Times New Roman"/>
                <w:color w:val="000000"/>
                <w:kern w:val="0"/>
                <w:sz w:val="18"/>
                <w:szCs w:val="18"/>
                <w:highlight w:val="none"/>
              </w:rPr>
            </w:pPr>
          </w:p>
          <w:p w14:paraId="7A3B04AC">
            <w:pPr>
              <w:spacing w:line="0" w:lineRule="atLeast"/>
              <w:jc w:val="center"/>
              <w:rPr>
                <w:rFonts w:hint="default" w:ascii="Times New Roman" w:hAnsi="Times New Roman" w:eastAsia="仿宋_GB2312" w:cs="Times New Roman"/>
                <w:color w:val="000000"/>
                <w:kern w:val="0"/>
                <w:sz w:val="18"/>
                <w:szCs w:val="18"/>
                <w:highlight w:val="none"/>
              </w:rPr>
            </w:pPr>
          </w:p>
          <w:p w14:paraId="5B661712">
            <w:pPr>
              <w:spacing w:line="0" w:lineRule="atLeast"/>
              <w:jc w:val="center"/>
              <w:rPr>
                <w:rFonts w:hint="default" w:ascii="Times New Roman" w:hAnsi="Times New Roman" w:eastAsia="仿宋_GB2312" w:cs="Times New Roman"/>
                <w:color w:val="000000"/>
                <w:kern w:val="0"/>
                <w:sz w:val="18"/>
                <w:szCs w:val="18"/>
                <w:highlight w:val="none"/>
              </w:rPr>
            </w:pPr>
          </w:p>
          <w:p w14:paraId="4EA076EE">
            <w:pPr>
              <w:spacing w:line="0" w:lineRule="atLeast"/>
              <w:jc w:val="center"/>
              <w:rPr>
                <w:rFonts w:hint="default" w:ascii="Times New Roman" w:hAnsi="Times New Roman" w:eastAsia="仿宋_GB2312" w:cs="Times New Roman"/>
                <w:color w:val="000000"/>
                <w:kern w:val="0"/>
                <w:sz w:val="18"/>
                <w:szCs w:val="18"/>
                <w:highlight w:val="none"/>
              </w:rPr>
            </w:pPr>
          </w:p>
          <w:p w14:paraId="701A38C8">
            <w:pPr>
              <w:spacing w:line="0" w:lineRule="atLeast"/>
              <w:jc w:val="center"/>
              <w:rPr>
                <w:rFonts w:hint="default" w:ascii="Times New Roman" w:hAnsi="Times New Roman" w:eastAsia="仿宋_GB2312" w:cs="Times New Roman"/>
                <w:color w:val="000000"/>
                <w:kern w:val="0"/>
                <w:sz w:val="18"/>
                <w:szCs w:val="18"/>
                <w:highlight w:val="none"/>
              </w:rPr>
            </w:pPr>
          </w:p>
          <w:p w14:paraId="72D4770E">
            <w:pPr>
              <w:spacing w:line="0" w:lineRule="atLeast"/>
              <w:jc w:val="center"/>
              <w:rPr>
                <w:rFonts w:hint="default" w:ascii="Times New Roman" w:hAnsi="Times New Roman" w:eastAsia="仿宋_GB2312" w:cs="Times New Roman"/>
                <w:color w:val="000000"/>
                <w:kern w:val="0"/>
                <w:sz w:val="18"/>
                <w:szCs w:val="18"/>
                <w:highlight w:val="none"/>
              </w:rPr>
            </w:pPr>
          </w:p>
          <w:p w14:paraId="7FE395D9">
            <w:pPr>
              <w:spacing w:line="0" w:lineRule="atLeast"/>
              <w:jc w:val="center"/>
              <w:rPr>
                <w:rFonts w:hint="default" w:ascii="Times New Roman" w:hAnsi="Times New Roman" w:eastAsia="仿宋_GB2312" w:cs="Times New Roman"/>
                <w:color w:val="000000"/>
                <w:kern w:val="0"/>
                <w:sz w:val="18"/>
                <w:szCs w:val="18"/>
                <w:highlight w:val="none"/>
              </w:rPr>
            </w:pPr>
          </w:p>
          <w:p w14:paraId="1EA9C841">
            <w:pPr>
              <w:spacing w:line="0" w:lineRule="atLeast"/>
              <w:jc w:val="center"/>
              <w:rPr>
                <w:rFonts w:hint="default" w:ascii="Times New Roman" w:hAnsi="Times New Roman" w:eastAsia="仿宋_GB2312" w:cs="Times New Roman"/>
                <w:color w:val="000000"/>
                <w:kern w:val="0"/>
                <w:sz w:val="18"/>
                <w:szCs w:val="18"/>
                <w:highlight w:val="none"/>
              </w:rPr>
            </w:pPr>
          </w:p>
          <w:p w14:paraId="5828D611">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1080F9C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478B5D9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7338467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2120" w:type="dxa"/>
            <w:shd w:val="clear" w:color="000000" w:fill="FFFFFF"/>
            <w:vAlign w:val="center"/>
          </w:tcPr>
          <w:p w14:paraId="1CD389D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4822" w:type="dxa"/>
            <w:shd w:val="clear" w:color="000000" w:fill="FFFFFF"/>
            <w:vAlign w:val="center"/>
          </w:tcPr>
          <w:p w14:paraId="750EC6A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19CD496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6F6B0A7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0" w:type="dxa"/>
            <w:shd w:val="clear" w:color="000000" w:fill="FFFFFF"/>
            <w:vAlign w:val="center"/>
          </w:tcPr>
          <w:p w14:paraId="0232F24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1365AA6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8109E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14:paraId="2CF3EEA0">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2171CFC4">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1640CB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2120" w:type="dxa"/>
            <w:shd w:val="clear" w:color="auto" w:fill="FFFFFF"/>
            <w:vAlign w:val="center"/>
          </w:tcPr>
          <w:p w14:paraId="175E829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4822" w:type="dxa"/>
            <w:shd w:val="clear" w:color="auto" w:fill="FFFFFF"/>
            <w:vAlign w:val="center"/>
          </w:tcPr>
          <w:p w14:paraId="6B9C6DD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0" w:type="dxa"/>
            <w:shd w:val="clear" w:color="auto" w:fill="FFFFFF"/>
            <w:vAlign w:val="center"/>
          </w:tcPr>
          <w:p w14:paraId="07D156B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19D5FC0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3.79</w:t>
            </w:r>
          </w:p>
        </w:tc>
      </w:tr>
      <w:tr w14:paraId="09AAE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6FD5F069">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AA6010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22967FF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5340D94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2120" w:type="dxa"/>
            <w:shd w:val="clear" w:color="000000" w:fill="FFFFFF"/>
            <w:vAlign w:val="center"/>
          </w:tcPr>
          <w:p w14:paraId="2AD2393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4822" w:type="dxa"/>
            <w:shd w:val="clear" w:color="000000" w:fill="FFFFFF"/>
            <w:vAlign w:val="center"/>
          </w:tcPr>
          <w:p w14:paraId="6369581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0" w:type="dxa"/>
            <w:shd w:val="clear" w:color="000000" w:fill="FFFFFF"/>
            <w:vAlign w:val="center"/>
          </w:tcPr>
          <w:p w14:paraId="7C6FAB2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3D759A0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0F342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14:paraId="360BAEDB">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21C07C1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179EA9FD">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623736F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0CFC712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2120" w:type="dxa"/>
            <w:shd w:val="clear" w:color="000000" w:fill="FFFFFF"/>
            <w:vAlign w:val="center"/>
          </w:tcPr>
          <w:p w14:paraId="650E6C5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4822" w:type="dxa"/>
            <w:shd w:val="clear" w:color="000000" w:fill="FFFFFF"/>
            <w:vAlign w:val="center"/>
          </w:tcPr>
          <w:p w14:paraId="6EE7121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0" w:type="dxa"/>
            <w:shd w:val="clear" w:color="000000" w:fill="FFFFFF"/>
            <w:vAlign w:val="center"/>
          </w:tcPr>
          <w:p w14:paraId="2489917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7AFE650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211C3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14:paraId="14864F0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D27DE2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5504C74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289B59B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2120" w:type="dxa"/>
            <w:shd w:val="clear" w:color="000000" w:fill="FFFFFF"/>
            <w:vAlign w:val="center"/>
          </w:tcPr>
          <w:p w14:paraId="3D551F4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4822" w:type="dxa"/>
            <w:shd w:val="clear" w:color="000000" w:fill="FFFFFF"/>
            <w:vAlign w:val="center"/>
          </w:tcPr>
          <w:p w14:paraId="4236306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0" w:type="dxa"/>
            <w:shd w:val="clear" w:color="000000" w:fill="FFFFFF"/>
            <w:vAlign w:val="center"/>
          </w:tcPr>
          <w:p w14:paraId="3E59E86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69DC454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D4E75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14:paraId="6F10503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20E5F98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19482C7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2120" w:type="dxa"/>
            <w:shd w:val="clear" w:color="000000" w:fill="FFFFFF"/>
            <w:vAlign w:val="center"/>
          </w:tcPr>
          <w:p w14:paraId="62852E9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4822" w:type="dxa"/>
            <w:shd w:val="clear" w:color="000000" w:fill="FFFFFF"/>
            <w:vAlign w:val="center"/>
          </w:tcPr>
          <w:p w14:paraId="6914018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14:paraId="0647806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9E5A49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9D4E2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14:paraId="3F63E56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2623ADE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02DD4EF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2120" w:type="dxa"/>
            <w:shd w:val="clear" w:color="000000" w:fill="FFFFFF"/>
            <w:vAlign w:val="center"/>
          </w:tcPr>
          <w:p w14:paraId="19A5150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4822" w:type="dxa"/>
            <w:shd w:val="clear" w:color="000000" w:fill="FFFFFF"/>
            <w:vAlign w:val="center"/>
          </w:tcPr>
          <w:p w14:paraId="38B369B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1887207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1191854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4BE9F0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CE42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15DFADB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00641F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6708821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2120" w:type="dxa"/>
            <w:shd w:val="clear" w:color="000000" w:fill="FFFFFF"/>
            <w:vAlign w:val="center"/>
          </w:tcPr>
          <w:p w14:paraId="62E6311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4822" w:type="dxa"/>
            <w:shd w:val="clear" w:color="000000" w:fill="FFFFFF"/>
            <w:vAlign w:val="center"/>
          </w:tcPr>
          <w:p w14:paraId="254A7B4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0" w:type="dxa"/>
            <w:shd w:val="clear" w:color="000000" w:fill="FFFFFF"/>
            <w:vAlign w:val="center"/>
          </w:tcPr>
          <w:p w14:paraId="267C7AB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2C7AFD4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B048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38E6D22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42A27B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5F819D3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2120" w:type="dxa"/>
            <w:shd w:val="clear" w:color="000000" w:fill="FFFFFF"/>
            <w:vAlign w:val="center"/>
          </w:tcPr>
          <w:p w14:paraId="4C3BE35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4822" w:type="dxa"/>
            <w:shd w:val="clear" w:color="000000" w:fill="FFFFFF"/>
            <w:vAlign w:val="center"/>
          </w:tcPr>
          <w:p w14:paraId="2136923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0" w:type="dxa"/>
            <w:shd w:val="clear" w:color="000000" w:fill="FFFFFF"/>
            <w:vAlign w:val="center"/>
          </w:tcPr>
          <w:p w14:paraId="57143BE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2A998E5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7.48</w:t>
            </w:r>
          </w:p>
        </w:tc>
      </w:tr>
      <w:tr w14:paraId="14FB1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14:paraId="6669B0A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55A22D3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55728F5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2120" w:type="dxa"/>
            <w:shd w:val="clear" w:color="auto" w:fill="FFFFFF"/>
            <w:vAlign w:val="center"/>
          </w:tcPr>
          <w:p w14:paraId="2EEB8DE6">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4822" w:type="dxa"/>
            <w:shd w:val="clear" w:color="auto" w:fill="FFFFFF"/>
            <w:vAlign w:val="center"/>
          </w:tcPr>
          <w:p w14:paraId="46A3E2E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14:paraId="77C1E80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14:paraId="07F5D52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70FC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14:paraId="0F27D8F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ADD998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827C0B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2120" w:type="dxa"/>
            <w:shd w:val="clear" w:color="000000" w:fill="FFFFFF"/>
            <w:vAlign w:val="center"/>
          </w:tcPr>
          <w:p w14:paraId="6479F9A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4822" w:type="dxa"/>
            <w:shd w:val="clear" w:color="000000" w:fill="FFFFFF"/>
            <w:vAlign w:val="center"/>
          </w:tcPr>
          <w:p w14:paraId="147F6E6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14:paraId="6A81293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077473E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2BABCAAF">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575CB27F">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14:paraId="52671E5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p w14:paraId="263EDE8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Style w:val="15"/>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0"/>
        <w:gridCol w:w="615"/>
        <w:gridCol w:w="645"/>
        <w:gridCol w:w="1770"/>
        <w:gridCol w:w="765"/>
        <w:gridCol w:w="795"/>
        <w:gridCol w:w="555"/>
        <w:gridCol w:w="720"/>
        <w:gridCol w:w="1125"/>
        <w:gridCol w:w="810"/>
        <w:gridCol w:w="690"/>
        <w:gridCol w:w="795"/>
        <w:gridCol w:w="780"/>
        <w:gridCol w:w="3659"/>
      </w:tblGrid>
      <w:tr w14:paraId="7553A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AEC3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项目名称</w:t>
            </w:r>
          </w:p>
        </w:tc>
        <w:tc>
          <w:tcPr>
            <w:tcW w:w="1310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E50E36A">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巴财社[2023]83号提前下达2024年自治区财政残疾人事业发展补助资金[彩票公益金]（142.016万元））</w:t>
            </w:r>
          </w:p>
        </w:tc>
      </w:tr>
      <w:tr w14:paraId="4E126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F689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主管部门</w:t>
            </w:r>
          </w:p>
        </w:tc>
        <w:tc>
          <w:tcPr>
            <w:tcW w:w="45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11052E">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库尔勒市残疾人联合会</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17E59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实施单位</w:t>
            </w:r>
          </w:p>
        </w:tc>
        <w:tc>
          <w:tcPr>
            <w:tcW w:w="67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8AB07A">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库尔勒市残疾人联合会</w:t>
            </w:r>
          </w:p>
        </w:tc>
      </w:tr>
      <w:tr w14:paraId="29DA8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444C6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lang w:val="en-US" w:eastAsia="zh-CN" w:bidi="ar"/>
              </w:rPr>
              <w:t>（万元）</w:t>
            </w: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C0BB7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资金来源</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F4F4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年初预算数</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2E11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全年预算数</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E629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全年执行数</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B2EB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分值权重</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62970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执行率</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2A5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得分</w:t>
            </w:r>
          </w:p>
        </w:tc>
      </w:tr>
      <w:tr w14:paraId="51B31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DCC2B">
            <w:pPr>
              <w:jc w:val="center"/>
              <w:rPr>
                <w:rFonts w:hint="eastAsia" w:ascii="仿宋_GB2312" w:hAnsi="仿宋_GB2312" w:eastAsia="仿宋_GB2312" w:cs="仿宋_GB2312"/>
                <w:i w:val="0"/>
                <w:iCs w:val="0"/>
                <w:color w:val="000000"/>
                <w:sz w:val="18"/>
                <w:szCs w:val="18"/>
                <w:highlight w:val="none"/>
                <w:u w:val="none"/>
              </w:rPr>
            </w:pP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A09CD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年度资金总额</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8659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142.02</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2527B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142.02</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DF2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134.44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8AB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292C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94.66%</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ADA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8.66</w:t>
            </w:r>
          </w:p>
        </w:tc>
      </w:tr>
      <w:tr w14:paraId="1A06C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00255">
            <w:pPr>
              <w:jc w:val="center"/>
              <w:rPr>
                <w:rFonts w:hint="eastAsia" w:ascii="仿宋_GB2312" w:hAnsi="仿宋_GB2312" w:eastAsia="仿宋_GB2312" w:cs="仿宋_GB2312"/>
                <w:i w:val="0"/>
                <w:iCs w:val="0"/>
                <w:color w:val="000000"/>
                <w:sz w:val="18"/>
                <w:szCs w:val="18"/>
                <w:highlight w:val="none"/>
                <w:u w:val="none"/>
              </w:rPr>
            </w:pP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69E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其中：当年财政拨款</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95EB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142.02</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EE6C7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142.02</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1717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134.44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D5D9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8C32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25E8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14:paraId="2D22D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D7A2B">
            <w:pPr>
              <w:jc w:val="center"/>
              <w:rPr>
                <w:rFonts w:hint="eastAsia" w:ascii="仿宋_GB2312" w:hAnsi="仿宋_GB2312" w:eastAsia="仿宋_GB2312" w:cs="仿宋_GB2312"/>
                <w:i w:val="0"/>
                <w:iCs w:val="0"/>
                <w:color w:val="000000"/>
                <w:sz w:val="18"/>
                <w:szCs w:val="18"/>
                <w:highlight w:val="none"/>
                <w:u w:val="none"/>
              </w:rPr>
            </w:pPr>
          </w:p>
        </w:tc>
        <w:tc>
          <w:tcPr>
            <w:tcW w:w="2415" w:type="dxa"/>
            <w:gridSpan w:val="2"/>
            <w:tcBorders>
              <w:top w:val="single" w:color="000000" w:sz="4" w:space="0"/>
              <w:left w:val="single" w:color="000000" w:sz="4" w:space="0"/>
              <w:bottom w:val="nil"/>
              <w:right w:val="single" w:color="000000" w:sz="4" w:space="0"/>
            </w:tcBorders>
            <w:shd w:val="clear" w:color="auto" w:fill="auto"/>
            <w:vAlign w:val="center"/>
          </w:tcPr>
          <w:p w14:paraId="6C943EC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其他资金</w:t>
            </w:r>
          </w:p>
        </w:tc>
        <w:tc>
          <w:tcPr>
            <w:tcW w:w="765" w:type="dxa"/>
            <w:tcBorders>
              <w:top w:val="single" w:color="000000" w:sz="4" w:space="0"/>
              <w:left w:val="single" w:color="000000" w:sz="4" w:space="0"/>
              <w:bottom w:val="nil"/>
              <w:right w:val="single" w:color="000000" w:sz="4" w:space="0"/>
            </w:tcBorders>
            <w:shd w:val="clear" w:color="auto" w:fill="auto"/>
            <w:vAlign w:val="center"/>
          </w:tcPr>
          <w:p w14:paraId="561FA9B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350" w:type="dxa"/>
            <w:gridSpan w:val="2"/>
            <w:tcBorders>
              <w:top w:val="single" w:color="000000" w:sz="4" w:space="0"/>
              <w:left w:val="single" w:color="000000" w:sz="4" w:space="0"/>
              <w:bottom w:val="nil"/>
              <w:right w:val="single" w:color="000000" w:sz="4" w:space="0"/>
            </w:tcBorders>
            <w:shd w:val="clear" w:color="auto" w:fill="auto"/>
            <w:vAlign w:val="center"/>
          </w:tcPr>
          <w:p w14:paraId="5D5365E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845" w:type="dxa"/>
            <w:gridSpan w:val="2"/>
            <w:tcBorders>
              <w:top w:val="single" w:color="000000" w:sz="4" w:space="0"/>
              <w:left w:val="single" w:color="000000" w:sz="4" w:space="0"/>
              <w:bottom w:val="nil"/>
              <w:right w:val="single" w:color="000000" w:sz="4" w:space="0"/>
            </w:tcBorders>
            <w:shd w:val="clear" w:color="auto" w:fill="auto"/>
            <w:vAlign w:val="center"/>
          </w:tcPr>
          <w:p w14:paraId="2B5A91AF">
            <w:pPr>
              <w:jc w:val="center"/>
              <w:rPr>
                <w:rFonts w:hint="eastAsia" w:ascii="仿宋_GB2312" w:hAnsi="仿宋_GB2312" w:eastAsia="仿宋_GB2312" w:cs="仿宋_GB2312"/>
                <w:i w:val="0"/>
                <w:iCs w:val="0"/>
                <w:color w:val="000000"/>
                <w:sz w:val="18"/>
                <w:szCs w:val="18"/>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F185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7A3F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F295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14:paraId="2BBF9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C3D7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年度总体目标</w:t>
            </w:r>
          </w:p>
        </w:tc>
        <w:tc>
          <w:tcPr>
            <w:tcW w:w="69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99395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w:t>
            </w:r>
          </w:p>
        </w:tc>
        <w:tc>
          <w:tcPr>
            <w:tcW w:w="67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8E0B5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总体目标完成情况</w:t>
            </w:r>
          </w:p>
        </w:tc>
      </w:tr>
      <w:tr w14:paraId="41E22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25923">
            <w:pPr>
              <w:jc w:val="center"/>
              <w:rPr>
                <w:rFonts w:hint="eastAsia" w:ascii="仿宋_GB2312" w:hAnsi="仿宋_GB2312" w:eastAsia="仿宋_GB2312" w:cs="仿宋_GB2312"/>
                <w:i w:val="0"/>
                <w:iCs w:val="0"/>
                <w:color w:val="000000"/>
                <w:sz w:val="18"/>
                <w:szCs w:val="18"/>
                <w:highlight w:val="none"/>
                <w:u w:val="none"/>
              </w:rPr>
            </w:pPr>
          </w:p>
        </w:tc>
        <w:tc>
          <w:tcPr>
            <w:tcW w:w="69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361A2D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目标1：残疾儿童康复救助人数8人，22名残疾人运动员参加集训项目4个。目标2：残疾人康复政策及预防知识宣传知</w:t>
            </w:r>
            <w:r>
              <w:rPr>
                <w:rFonts w:hint="eastAsia" w:ascii="宋体" w:hAnsi="宋体" w:cs="宋体"/>
                <w:i w:val="0"/>
                <w:color w:val="000000"/>
                <w:kern w:val="0"/>
                <w:sz w:val="18"/>
                <w:szCs w:val="18"/>
                <w:highlight w:val="none"/>
                <w:u w:val="none"/>
                <w:lang w:val="en-US" w:eastAsia="zh-CN" w:bidi="ar"/>
              </w:rPr>
              <w:t>晓</w:t>
            </w:r>
            <w:r>
              <w:rPr>
                <w:rFonts w:hint="eastAsia" w:ascii="宋体" w:hAnsi="宋体" w:eastAsia="宋体" w:cs="宋体"/>
                <w:i w:val="0"/>
                <w:color w:val="000000"/>
                <w:kern w:val="0"/>
                <w:sz w:val="18"/>
                <w:szCs w:val="18"/>
                <w:highlight w:val="none"/>
                <w:u w:val="none"/>
                <w:lang w:val="en-US" w:eastAsia="zh-CN" w:bidi="ar"/>
              </w:rPr>
              <w:t>率85%以上。</w:t>
            </w:r>
          </w:p>
        </w:tc>
        <w:tc>
          <w:tcPr>
            <w:tcW w:w="67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0E27B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面落实残疾儿童康复救助政策，根据《库尔勒市残疾儿童康复救助实施方案》，完成残疾儿童康复救助人数8人，残疾儿童言语、社会认知、言语、融入社会水平得到提高；24名残疾人运动员参加集训项目4个，为备战2025年全国第十二届残疾人运动会暨第九届特殊奥林匹克运动会选拔残疾人游泳、乒乓球、旱地冰壶、田径等体育竞技项目体育人才，力争在2025年全国第十二届残疾人运动会暨第九届特殊奥林匹克运动会取得优异成绩。残疾人康复政策及预防知识宣传知晓率95%以上。</w:t>
            </w:r>
          </w:p>
        </w:tc>
      </w:tr>
      <w:tr w14:paraId="6B169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032AA">
            <w:pPr>
              <w:jc w:val="center"/>
              <w:rPr>
                <w:rFonts w:hint="eastAsia" w:ascii="仿宋_GB2312" w:hAnsi="仿宋_GB2312" w:eastAsia="仿宋_GB2312" w:cs="仿宋_GB2312"/>
                <w:i w:val="0"/>
                <w:iCs w:val="0"/>
                <w:color w:val="000000"/>
                <w:sz w:val="14"/>
                <w:szCs w:val="14"/>
                <w:highlight w:val="none"/>
                <w:u w:val="none"/>
                <w:lang w:val="en-US" w:eastAsia="zh-CN"/>
              </w:rPr>
            </w:pPr>
            <w:r>
              <w:rPr>
                <w:rFonts w:hint="eastAsia" w:ascii="仿宋_GB2312" w:hAnsi="仿宋_GB2312" w:eastAsia="仿宋_GB2312" w:cs="仿宋_GB2312"/>
                <w:i w:val="0"/>
                <w:iCs w:val="0"/>
                <w:color w:val="000000"/>
                <w:sz w:val="14"/>
                <w:szCs w:val="14"/>
                <w:highlight w:val="none"/>
                <w:u w:val="none"/>
                <w:lang w:val="en-US" w:eastAsia="zh-CN"/>
              </w:rPr>
              <w:t>绩效指标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D5A3D">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一级指标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5D324">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二级指标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AD00">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三级指标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0E15">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指标值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CF09">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指标值设置依据</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9F0D9">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上年完成值</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918FA">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指标分值权重</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F9D62">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指标赋分规则</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A7A6B">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佐证资料</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E51D6">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指标实际完成值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CE64">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完成率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6EB11">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指标得分</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72CB">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偏差原因分析及改进措施</w:t>
            </w:r>
          </w:p>
        </w:tc>
      </w:tr>
      <w:tr w14:paraId="516D6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AD6FB">
            <w:pPr>
              <w:jc w:val="center"/>
              <w:rPr>
                <w:rFonts w:hint="eastAsia" w:ascii="仿宋_GB2312" w:hAnsi="仿宋_GB2312" w:eastAsia="仿宋_GB2312" w:cs="仿宋_GB2312"/>
                <w:i w:val="0"/>
                <w:iCs w:val="0"/>
                <w:color w:val="000000"/>
                <w:sz w:val="14"/>
                <w:szCs w:val="14"/>
                <w:highlight w:val="none"/>
                <w:u w:val="none"/>
              </w:rPr>
            </w:pP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57921">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产出指标</w:t>
            </w:r>
          </w:p>
        </w:tc>
        <w:tc>
          <w:tcPr>
            <w:tcW w:w="645" w:type="dxa"/>
            <w:vMerge w:val="restart"/>
            <w:tcBorders>
              <w:top w:val="single" w:color="000000" w:sz="4" w:space="0"/>
              <w:left w:val="single" w:color="000000" w:sz="4" w:space="0"/>
              <w:right w:val="single" w:color="000000" w:sz="4" w:space="0"/>
            </w:tcBorders>
            <w:shd w:val="clear" w:color="auto" w:fill="auto"/>
            <w:noWrap/>
            <w:vAlign w:val="center"/>
          </w:tcPr>
          <w:p w14:paraId="5F434CA1">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数量指标</w:t>
            </w:r>
          </w:p>
        </w:tc>
        <w:tc>
          <w:tcPr>
            <w:tcW w:w="1770" w:type="dxa"/>
            <w:tcBorders>
              <w:top w:val="single" w:color="000000" w:sz="4" w:space="0"/>
              <w:left w:val="nil"/>
              <w:bottom w:val="single" w:color="000000" w:sz="4" w:space="0"/>
              <w:right w:val="single" w:color="000000" w:sz="4" w:space="0"/>
            </w:tcBorders>
            <w:shd w:val="clear" w:color="auto" w:fill="auto"/>
            <w:vAlign w:val="center"/>
          </w:tcPr>
          <w:p w14:paraId="55673B5D">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得到康复救助的残疾儿童人数</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0672">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&gt;=8人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98C7">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计划标准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CA8E0">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80329">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2C0A2">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E9A0">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工作资料</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B9FD7">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=8人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0E966">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1367">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8</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768AF">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1名任务数疆外康复残疾儿童使用2023年结余资金支付</w:t>
            </w:r>
          </w:p>
        </w:tc>
      </w:tr>
      <w:tr w14:paraId="139F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BD7A1">
            <w:pPr>
              <w:jc w:val="center"/>
              <w:rPr>
                <w:rFonts w:hint="eastAsia" w:ascii="仿宋_GB2312" w:hAnsi="仿宋_GB2312" w:eastAsia="仿宋_GB2312" w:cs="仿宋_GB2312"/>
                <w:i w:val="0"/>
                <w:iCs w:val="0"/>
                <w:color w:val="000000"/>
                <w:sz w:val="14"/>
                <w:szCs w:val="14"/>
                <w:highlight w:val="none"/>
                <w:u w:val="none"/>
              </w:rPr>
            </w:pPr>
          </w:p>
        </w:tc>
        <w:tc>
          <w:tcPr>
            <w:tcW w:w="615" w:type="dxa"/>
            <w:vMerge w:val="continue"/>
            <w:tcBorders>
              <w:left w:val="single" w:color="000000" w:sz="4" w:space="0"/>
              <w:right w:val="single" w:color="000000" w:sz="4" w:space="0"/>
            </w:tcBorders>
            <w:shd w:val="clear" w:color="auto" w:fill="auto"/>
            <w:noWrap/>
            <w:vAlign w:val="center"/>
          </w:tcPr>
          <w:p w14:paraId="6D83E01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4"/>
                <w:szCs w:val="14"/>
                <w:highlight w:val="none"/>
                <w:u w:val="none"/>
                <w:lang w:val="en-US" w:eastAsia="zh-CN" w:bidi="ar"/>
              </w:rPr>
            </w:pPr>
          </w:p>
        </w:tc>
        <w:tc>
          <w:tcPr>
            <w:tcW w:w="645" w:type="dxa"/>
            <w:vMerge w:val="continue"/>
            <w:tcBorders>
              <w:left w:val="single" w:color="000000" w:sz="4" w:space="0"/>
              <w:right w:val="single" w:color="000000" w:sz="4" w:space="0"/>
            </w:tcBorders>
            <w:shd w:val="clear" w:color="auto" w:fill="auto"/>
            <w:noWrap/>
            <w:vAlign w:val="center"/>
          </w:tcPr>
          <w:p w14:paraId="6DA4F3A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4"/>
                <w:szCs w:val="14"/>
                <w:highlight w:val="none"/>
                <w:u w:val="none"/>
                <w:lang w:val="en-US" w:eastAsia="zh-CN" w:bidi="ar"/>
              </w:rPr>
            </w:pPr>
          </w:p>
        </w:tc>
        <w:tc>
          <w:tcPr>
            <w:tcW w:w="1770" w:type="dxa"/>
            <w:tcBorders>
              <w:top w:val="single" w:color="000000" w:sz="4" w:space="0"/>
              <w:left w:val="nil"/>
              <w:bottom w:val="single" w:color="000000" w:sz="4" w:space="0"/>
              <w:right w:val="single" w:color="000000" w:sz="4" w:space="0"/>
            </w:tcBorders>
            <w:shd w:val="clear" w:color="auto" w:fill="auto"/>
            <w:vAlign w:val="center"/>
          </w:tcPr>
          <w:p w14:paraId="6E32C165">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参加集训项目</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F1133">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&gt;=4个</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E10F">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计划标准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4ADC">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82287">
            <w:pPr>
              <w:keepNext w:val="0"/>
              <w:keepLines w:val="0"/>
              <w:widowControl/>
              <w:suppressLineNumbers w:val="0"/>
              <w:jc w:val="center"/>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9B65">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9198">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工作资料</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5D6F">
            <w:pPr>
              <w:keepNext w:val="0"/>
              <w:keepLines w:val="0"/>
              <w:widowControl/>
              <w:suppressLineNumbers w:val="0"/>
              <w:jc w:val="center"/>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=4个</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96B7">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668B">
            <w:pPr>
              <w:keepNext w:val="0"/>
              <w:keepLines w:val="0"/>
              <w:widowControl/>
              <w:suppressLineNumbers w:val="0"/>
              <w:jc w:val="center"/>
              <w:textAlignment w:val="center"/>
              <w:rPr>
                <w:rFonts w:hint="eastAsia" w:ascii="宋体" w:hAnsi="宋体" w:eastAsia="宋体" w:cs="宋体"/>
                <w:i w:val="0"/>
                <w:color w:val="000000"/>
                <w:kern w:val="0"/>
                <w:sz w:val="14"/>
                <w:szCs w:val="14"/>
                <w:highlight w:val="none"/>
                <w:u w:val="none"/>
                <w:lang w:val="en-US" w:eastAsia="zh-CN" w:bidi="ar"/>
              </w:rPr>
            </w:pP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3C1A3">
            <w:pPr>
              <w:keepNext w:val="0"/>
              <w:keepLines w:val="0"/>
              <w:widowControl/>
              <w:suppressLineNumbers w:val="0"/>
              <w:jc w:val="center"/>
              <w:textAlignment w:val="center"/>
              <w:rPr>
                <w:rFonts w:hint="eastAsia" w:ascii="宋体" w:hAnsi="宋体" w:eastAsia="宋体" w:cs="宋体"/>
                <w:i w:val="0"/>
                <w:color w:val="000000"/>
                <w:kern w:val="0"/>
                <w:sz w:val="14"/>
                <w:szCs w:val="14"/>
                <w:highlight w:val="none"/>
                <w:u w:val="none"/>
                <w:lang w:val="en-US" w:eastAsia="zh-CN" w:bidi="ar"/>
              </w:rPr>
            </w:pPr>
          </w:p>
        </w:tc>
      </w:tr>
      <w:tr w14:paraId="4337A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A181D">
            <w:pPr>
              <w:jc w:val="center"/>
              <w:rPr>
                <w:rFonts w:hint="eastAsia" w:ascii="仿宋_GB2312" w:hAnsi="仿宋_GB2312" w:eastAsia="仿宋_GB2312" w:cs="仿宋_GB2312"/>
                <w:i w:val="0"/>
                <w:iCs w:val="0"/>
                <w:color w:val="000000"/>
                <w:sz w:val="14"/>
                <w:szCs w:val="14"/>
                <w:highlight w:val="none"/>
                <w:u w:val="none"/>
              </w:rPr>
            </w:pPr>
          </w:p>
        </w:tc>
        <w:tc>
          <w:tcPr>
            <w:tcW w:w="615" w:type="dxa"/>
            <w:vMerge w:val="continue"/>
            <w:tcBorders>
              <w:left w:val="single" w:color="000000" w:sz="4" w:space="0"/>
              <w:right w:val="single" w:color="000000" w:sz="4" w:space="0"/>
            </w:tcBorders>
            <w:shd w:val="clear" w:color="auto" w:fill="auto"/>
            <w:noWrap/>
            <w:vAlign w:val="center"/>
          </w:tcPr>
          <w:p w14:paraId="06104A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4"/>
                <w:szCs w:val="14"/>
                <w:highlight w:val="none"/>
                <w:u w:val="none"/>
                <w:lang w:val="en-US" w:eastAsia="zh-CN" w:bidi="ar"/>
              </w:rPr>
            </w:pPr>
          </w:p>
        </w:tc>
        <w:tc>
          <w:tcPr>
            <w:tcW w:w="645" w:type="dxa"/>
            <w:vMerge w:val="continue"/>
            <w:tcBorders>
              <w:left w:val="single" w:color="000000" w:sz="4" w:space="0"/>
              <w:bottom w:val="nil"/>
              <w:right w:val="single" w:color="000000" w:sz="4" w:space="0"/>
            </w:tcBorders>
            <w:shd w:val="clear" w:color="auto" w:fill="auto"/>
            <w:noWrap/>
            <w:vAlign w:val="center"/>
          </w:tcPr>
          <w:p w14:paraId="343C8A3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4"/>
                <w:szCs w:val="14"/>
                <w:highlight w:val="none"/>
                <w:u w:val="none"/>
                <w:lang w:val="en-US" w:eastAsia="zh-CN" w:bidi="ar"/>
              </w:rPr>
            </w:pPr>
          </w:p>
        </w:tc>
        <w:tc>
          <w:tcPr>
            <w:tcW w:w="1770" w:type="dxa"/>
            <w:tcBorders>
              <w:top w:val="single" w:color="000000" w:sz="4" w:space="0"/>
              <w:left w:val="nil"/>
              <w:bottom w:val="single" w:color="000000" w:sz="4" w:space="0"/>
              <w:right w:val="single" w:color="000000" w:sz="4" w:space="0"/>
            </w:tcBorders>
            <w:shd w:val="clear" w:color="auto" w:fill="auto"/>
            <w:vAlign w:val="center"/>
          </w:tcPr>
          <w:p w14:paraId="1F147C90">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参加训练残疾运动员人数</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31D4D">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&gt;=22人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0B4F">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计划标准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4759">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3D02">
            <w:pPr>
              <w:keepNext w:val="0"/>
              <w:keepLines w:val="0"/>
              <w:widowControl/>
              <w:suppressLineNumbers w:val="0"/>
              <w:jc w:val="center"/>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8D72C">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63D84">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工作资料</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EE164">
            <w:pPr>
              <w:keepNext w:val="0"/>
              <w:keepLines w:val="0"/>
              <w:widowControl/>
              <w:suppressLineNumbers w:val="0"/>
              <w:jc w:val="center"/>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=24人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03AEB">
            <w:pPr>
              <w:keepNext w:val="0"/>
              <w:keepLines w:val="0"/>
              <w:widowControl/>
              <w:suppressLineNumbers w:val="0"/>
              <w:jc w:val="left"/>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109.09%</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A7E8F">
            <w:pPr>
              <w:keepNext w:val="0"/>
              <w:keepLines w:val="0"/>
              <w:widowControl/>
              <w:suppressLineNumbers w:val="0"/>
              <w:jc w:val="center"/>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7.27</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CB112">
            <w:pPr>
              <w:keepNext w:val="0"/>
              <w:keepLines w:val="0"/>
              <w:widowControl/>
              <w:suppressLineNumbers w:val="0"/>
              <w:jc w:val="center"/>
              <w:textAlignment w:val="center"/>
              <w:rPr>
                <w:rFonts w:hint="eastAsia" w:ascii="宋体" w:hAnsi="宋体" w:eastAsia="宋体" w:cs="宋体"/>
                <w:i w:val="0"/>
                <w:color w:val="000000"/>
                <w:kern w:val="0"/>
                <w:sz w:val="14"/>
                <w:szCs w:val="14"/>
                <w:highlight w:val="none"/>
                <w:u w:val="none"/>
                <w:lang w:val="en-US" w:eastAsia="zh-CN" w:bidi="ar"/>
              </w:rPr>
            </w:pPr>
            <w:r>
              <w:rPr>
                <w:rFonts w:hint="eastAsia" w:ascii="宋体" w:hAnsi="宋体" w:eastAsia="宋体" w:cs="宋体"/>
                <w:i w:val="0"/>
                <w:color w:val="000000"/>
                <w:kern w:val="0"/>
                <w:sz w:val="14"/>
                <w:szCs w:val="14"/>
                <w:highlight w:val="none"/>
                <w:u w:val="none"/>
                <w:lang w:val="en-US" w:eastAsia="zh-CN" w:bidi="ar"/>
              </w:rPr>
              <w:t>偏差原因：残疾儿童康复周期长；改进措施：按进度10月支付资金。</w:t>
            </w:r>
          </w:p>
        </w:tc>
      </w:tr>
      <w:tr w14:paraId="48DEE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63922">
            <w:pPr>
              <w:jc w:val="center"/>
              <w:rPr>
                <w:rFonts w:hint="eastAsia" w:ascii="仿宋_GB2312" w:hAnsi="仿宋_GB2312" w:eastAsia="仿宋_GB2312" w:cs="仿宋_GB2312"/>
                <w:i w:val="0"/>
                <w:iCs w:val="0"/>
                <w:color w:val="000000"/>
                <w:sz w:val="14"/>
                <w:szCs w:val="14"/>
                <w:highlight w:val="none"/>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5531B">
            <w:pPr>
              <w:jc w:val="center"/>
              <w:rPr>
                <w:rFonts w:hint="eastAsia" w:ascii="仿宋_GB2312" w:hAnsi="仿宋_GB2312" w:eastAsia="仿宋_GB2312" w:cs="仿宋_GB2312"/>
                <w:i w:val="0"/>
                <w:iCs w:val="0"/>
                <w:color w:val="000000"/>
                <w:sz w:val="14"/>
                <w:szCs w:val="1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8D76">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质量指标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9ABA">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资金使用合规率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50DA8">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1BA80">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计划标准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75DE">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8A772">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7B2C">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0079">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工作资料</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1D070">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26B57">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9D2BD">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8</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9D975">
            <w:pPr>
              <w:jc w:val="center"/>
              <w:rPr>
                <w:rFonts w:hint="eastAsia" w:ascii="仿宋_GB2312" w:hAnsi="仿宋_GB2312" w:eastAsia="仿宋_GB2312" w:cs="仿宋_GB2312"/>
                <w:i w:val="0"/>
                <w:iCs w:val="0"/>
                <w:color w:val="000000"/>
                <w:sz w:val="14"/>
                <w:szCs w:val="14"/>
                <w:highlight w:val="none"/>
                <w:u w:val="none"/>
              </w:rPr>
            </w:pPr>
          </w:p>
        </w:tc>
      </w:tr>
      <w:tr w14:paraId="0EF1F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D01B6">
            <w:pPr>
              <w:jc w:val="center"/>
              <w:rPr>
                <w:rFonts w:hint="eastAsia" w:ascii="仿宋_GB2312" w:hAnsi="仿宋_GB2312" w:eastAsia="仿宋_GB2312" w:cs="仿宋_GB2312"/>
                <w:i w:val="0"/>
                <w:iCs w:val="0"/>
                <w:color w:val="000000"/>
                <w:sz w:val="14"/>
                <w:szCs w:val="14"/>
                <w:highlight w:val="none"/>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CD020">
            <w:pPr>
              <w:jc w:val="center"/>
              <w:rPr>
                <w:rFonts w:hint="eastAsia" w:ascii="仿宋_GB2312" w:hAnsi="仿宋_GB2312" w:eastAsia="仿宋_GB2312" w:cs="仿宋_GB2312"/>
                <w:i w:val="0"/>
                <w:iCs w:val="0"/>
                <w:color w:val="000000"/>
                <w:sz w:val="14"/>
                <w:szCs w:val="14"/>
                <w:highlight w:val="none"/>
                <w:u w:val="none"/>
              </w:rPr>
            </w:pPr>
          </w:p>
        </w:tc>
        <w:tc>
          <w:tcPr>
            <w:tcW w:w="645" w:type="dxa"/>
            <w:tcBorders>
              <w:top w:val="single" w:color="000000" w:sz="4" w:space="0"/>
              <w:left w:val="single" w:color="000000" w:sz="4" w:space="0"/>
              <w:bottom w:val="nil"/>
              <w:right w:val="single" w:color="000000" w:sz="4" w:space="0"/>
            </w:tcBorders>
            <w:shd w:val="clear" w:color="auto" w:fill="auto"/>
            <w:noWrap/>
            <w:vAlign w:val="center"/>
          </w:tcPr>
          <w:p w14:paraId="27464AF5">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时效指标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C708D">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资金支付及时率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7A0F">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038D">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计划标准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AFF71">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E6B43">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25FA7">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B0DBD">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工作资料</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76F0">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C4F6D">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C4DE">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8</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B32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结余资金为残疾儿童康复救助提标前后差额部分，无法支出</w:t>
            </w:r>
          </w:p>
        </w:tc>
      </w:tr>
      <w:tr w14:paraId="7587F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3"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FFE2">
            <w:pPr>
              <w:jc w:val="center"/>
              <w:rPr>
                <w:rFonts w:hint="eastAsia" w:ascii="仿宋_GB2312" w:hAnsi="仿宋_GB2312" w:eastAsia="仿宋_GB2312" w:cs="仿宋_GB2312"/>
                <w:i w:val="0"/>
                <w:iCs w:val="0"/>
                <w:color w:val="000000"/>
                <w:sz w:val="14"/>
                <w:szCs w:val="1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CF5A">
            <w:pPr>
              <w:jc w:val="center"/>
              <w:rPr>
                <w:rFonts w:hint="default" w:ascii="仿宋_GB2312" w:hAnsi="仿宋_GB2312" w:eastAsia="仿宋_GB2312" w:cs="仿宋_GB2312"/>
                <w:i w:val="0"/>
                <w:iCs w:val="0"/>
                <w:color w:val="000000"/>
                <w:sz w:val="14"/>
                <w:szCs w:val="14"/>
                <w:highlight w:val="none"/>
                <w:u w:val="none"/>
                <w:lang w:val="en-US" w:eastAsia="zh-CN"/>
              </w:rPr>
            </w:pPr>
            <w:r>
              <w:rPr>
                <w:rFonts w:hint="eastAsia" w:ascii="仿宋_GB2312" w:hAnsi="仿宋_GB2312" w:eastAsia="仿宋_GB2312" w:cs="仿宋_GB2312"/>
                <w:i w:val="0"/>
                <w:iCs w:val="0"/>
                <w:color w:val="000000"/>
                <w:sz w:val="14"/>
                <w:szCs w:val="14"/>
                <w:highlight w:val="none"/>
                <w:u w:val="none"/>
                <w:lang w:val="en-US" w:eastAsia="zh-CN"/>
              </w:rPr>
              <w:t>成本指标</w:t>
            </w:r>
          </w:p>
        </w:tc>
        <w:tc>
          <w:tcPr>
            <w:tcW w:w="645" w:type="dxa"/>
            <w:tcBorders>
              <w:top w:val="single" w:color="000000" w:sz="4" w:space="0"/>
              <w:left w:val="single" w:color="000000" w:sz="4" w:space="0"/>
              <w:bottom w:val="nil"/>
              <w:right w:val="single" w:color="000000" w:sz="4" w:space="0"/>
            </w:tcBorders>
            <w:shd w:val="clear" w:color="auto" w:fill="auto"/>
            <w:noWrap/>
            <w:vAlign w:val="center"/>
          </w:tcPr>
          <w:p w14:paraId="386DBA3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4"/>
                <w:szCs w:val="14"/>
                <w:highlight w:val="none"/>
                <w:u w:val="none"/>
                <w:lang w:val="en-US" w:eastAsia="zh-CN" w:bidi="ar"/>
              </w:rPr>
            </w:pPr>
            <w:r>
              <w:rPr>
                <w:rFonts w:hint="eastAsia" w:ascii="仿宋_GB2312" w:hAnsi="仿宋_GB2312" w:eastAsia="仿宋_GB2312" w:cs="仿宋_GB2312"/>
                <w:i w:val="0"/>
                <w:iCs w:val="0"/>
                <w:color w:val="000000"/>
                <w:kern w:val="0"/>
                <w:sz w:val="14"/>
                <w:szCs w:val="14"/>
                <w:highlight w:val="none"/>
                <w:u w:val="none"/>
                <w:lang w:val="en-US" w:eastAsia="zh-CN" w:bidi="ar"/>
              </w:rPr>
              <w:t>经济成本指标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F9E8E">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残疾人体育经费成本</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23183">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&lt;=127万元</w:t>
            </w:r>
          </w:p>
        </w:tc>
        <w:tc>
          <w:tcPr>
            <w:tcW w:w="795" w:type="dxa"/>
            <w:tcBorders>
              <w:top w:val="single" w:color="000000" w:sz="4" w:space="0"/>
              <w:left w:val="single" w:color="000000" w:sz="4" w:space="0"/>
              <w:bottom w:val="nil"/>
              <w:right w:val="single" w:color="000000" w:sz="4" w:space="0"/>
            </w:tcBorders>
            <w:shd w:val="clear" w:color="auto" w:fill="auto"/>
            <w:vAlign w:val="center"/>
          </w:tcPr>
          <w:p w14:paraId="034EC470">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计划标准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EDDB0">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99D7">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w:t>
            </w:r>
          </w:p>
        </w:tc>
        <w:tc>
          <w:tcPr>
            <w:tcW w:w="1125" w:type="dxa"/>
            <w:tcBorders>
              <w:top w:val="single" w:color="000000" w:sz="4" w:space="0"/>
              <w:left w:val="single" w:color="000000" w:sz="4" w:space="0"/>
              <w:bottom w:val="nil"/>
              <w:right w:val="single" w:color="000000" w:sz="4" w:space="0"/>
            </w:tcBorders>
            <w:shd w:val="clear" w:color="auto" w:fill="auto"/>
            <w:vAlign w:val="center"/>
          </w:tcPr>
          <w:p w14:paraId="5F8CE24B">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8C397">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原始凭证</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475DD">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=127万元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D311F">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7284">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9B89">
            <w:pPr>
              <w:jc w:val="center"/>
              <w:rPr>
                <w:rFonts w:hint="eastAsia" w:ascii="仿宋_GB2312" w:hAnsi="仿宋_GB2312" w:eastAsia="仿宋_GB2312" w:cs="仿宋_GB2312"/>
                <w:i w:val="0"/>
                <w:iCs w:val="0"/>
                <w:color w:val="000000"/>
                <w:sz w:val="14"/>
                <w:szCs w:val="14"/>
                <w:highlight w:val="none"/>
                <w:u w:val="none"/>
              </w:rPr>
            </w:pPr>
          </w:p>
        </w:tc>
      </w:tr>
      <w:tr w14:paraId="2EBD6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1"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832B1">
            <w:pPr>
              <w:jc w:val="center"/>
              <w:rPr>
                <w:rFonts w:hint="eastAsia" w:ascii="仿宋_GB2312" w:hAnsi="仿宋_GB2312" w:eastAsia="仿宋_GB2312" w:cs="仿宋_GB2312"/>
                <w:i w:val="0"/>
                <w:iCs w:val="0"/>
                <w:color w:val="000000"/>
                <w:sz w:val="14"/>
                <w:szCs w:val="1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0F05">
            <w:pPr>
              <w:jc w:val="center"/>
              <w:rPr>
                <w:rFonts w:hint="eastAsia" w:ascii="仿宋_GB2312" w:hAnsi="仿宋_GB2312" w:eastAsia="仿宋_GB2312" w:cs="仿宋_GB2312"/>
                <w:i w:val="0"/>
                <w:iCs w:val="0"/>
                <w:color w:val="000000"/>
                <w:sz w:val="14"/>
                <w:szCs w:val="14"/>
                <w:highlight w:val="none"/>
                <w:u w:val="none"/>
                <w:lang w:val="en-US" w:eastAsia="zh-CN"/>
              </w:rPr>
            </w:pPr>
          </w:p>
        </w:tc>
        <w:tc>
          <w:tcPr>
            <w:tcW w:w="645" w:type="dxa"/>
            <w:tcBorders>
              <w:top w:val="single" w:color="000000" w:sz="4" w:space="0"/>
              <w:left w:val="single" w:color="000000" w:sz="4" w:space="0"/>
              <w:bottom w:val="nil"/>
              <w:right w:val="single" w:color="000000" w:sz="4" w:space="0"/>
            </w:tcBorders>
            <w:shd w:val="clear" w:color="auto" w:fill="auto"/>
            <w:noWrap/>
            <w:vAlign w:val="center"/>
          </w:tcPr>
          <w:p w14:paraId="3C941B9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4"/>
                <w:szCs w:val="14"/>
                <w:highlight w:val="none"/>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94C9">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残疾儿童康复救助资金成本</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A276">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&lt;=15.02万元</w:t>
            </w:r>
          </w:p>
        </w:tc>
        <w:tc>
          <w:tcPr>
            <w:tcW w:w="795" w:type="dxa"/>
            <w:tcBorders>
              <w:top w:val="single" w:color="000000" w:sz="4" w:space="0"/>
              <w:left w:val="single" w:color="000000" w:sz="4" w:space="0"/>
              <w:bottom w:val="nil"/>
              <w:right w:val="single" w:color="000000" w:sz="4" w:space="0"/>
            </w:tcBorders>
            <w:shd w:val="clear" w:color="auto" w:fill="auto"/>
            <w:vAlign w:val="center"/>
          </w:tcPr>
          <w:p w14:paraId="01E18C07">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计划标准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86063">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9A1FA">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w:t>
            </w:r>
          </w:p>
        </w:tc>
        <w:tc>
          <w:tcPr>
            <w:tcW w:w="1125" w:type="dxa"/>
            <w:tcBorders>
              <w:top w:val="single" w:color="000000" w:sz="4" w:space="0"/>
              <w:left w:val="single" w:color="000000" w:sz="4" w:space="0"/>
              <w:bottom w:val="nil"/>
              <w:right w:val="single" w:color="000000" w:sz="4" w:space="0"/>
            </w:tcBorders>
            <w:shd w:val="clear" w:color="auto" w:fill="auto"/>
            <w:vAlign w:val="center"/>
          </w:tcPr>
          <w:p w14:paraId="3C4C851C">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1E51E">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原始凭证</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89B9">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=7.44万元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FA8C">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49.53%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A4F92">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0</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8877B">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偏差原因：2024年度，上级下达我市资金按照残疾儿童康复救助平均资金每人每年1.7万元下达，根据《新疆维吾尔自治区残疾儿童康复救助实施办法（试行）》文件精神，肢体残疾儿童康复训练补贴标准每年13200元，智力、孤独症、言语、听力、智力等残疾儿童康复训练补贴标准12000元，结余资金为残疾儿童康复救助补贴提标前后差额部分，无法在本年度支出。改进措施：2025年按照新文件标准执行。</w:t>
            </w:r>
          </w:p>
        </w:tc>
      </w:tr>
      <w:tr w14:paraId="31110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11759">
            <w:pPr>
              <w:jc w:val="center"/>
              <w:rPr>
                <w:rFonts w:hint="eastAsia" w:ascii="仿宋_GB2312" w:hAnsi="仿宋_GB2312" w:eastAsia="仿宋_GB2312" w:cs="仿宋_GB2312"/>
                <w:i w:val="0"/>
                <w:iCs w:val="0"/>
                <w:color w:val="000000"/>
                <w:sz w:val="14"/>
                <w:szCs w:val="14"/>
                <w:highlight w:val="none"/>
                <w:u w:val="none"/>
              </w:rPr>
            </w:pP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8932C7">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效益指标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127D">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经济效益指标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9711">
            <w:pPr>
              <w:jc w:val="center"/>
              <w:rPr>
                <w:rFonts w:hint="eastAsia" w:ascii="仿宋_GB2312" w:hAnsi="仿宋_GB2312" w:eastAsia="仿宋_GB2312" w:cs="仿宋_GB2312"/>
                <w:i w:val="0"/>
                <w:iCs w:val="0"/>
                <w:color w:val="000000"/>
                <w:sz w:val="14"/>
                <w:szCs w:val="14"/>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24E5">
            <w:pPr>
              <w:jc w:val="center"/>
              <w:rPr>
                <w:rFonts w:hint="eastAsia" w:ascii="仿宋_GB2312" w:hAnsi="仿宋_GB2312" w:eastAsia="仿宋_GB2312" w:cs="仿宋_GB2312"/>
                <w:i w:val="0"/>
                <w:iCs w:val="0"/>
                <w:color w:val="000000"/>
                <w:sz w:val="14"/>
                <w:szCs w:val="14"/>
                <w:highlight w:val="none"/>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0F8A">
            <w:pPr>
              <w:jc w:val="center"/>
              <w:rPr>
                <w:rFonts w:hint="eastAsia" w:ascii="仿宋_GB2312" w:hAnsi="仿宋_GB2312" w:eastAsia="仿宋_GB2312" w:cs="仿宋_GB2312"/>
                <w:i w:val="0"/>
                <w:iCs w:val="0"/>
                <w:color w:val="000000"/>
                <w:sz w:val="14"/>
                <w:szCs w:val="14"/>
                <w:highlight w:val="none"/>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1909A">
            <w:pPr>
              <w:jc w:val="center"/>
              <w:rPr>
                <w:rFonts w:hint="eastAsia" w:ascii="仿宋_GB2312" w:hAnsi="仿宋_GB2312" w:eastAsia="仿宋_GB2312" w:cs="仿宋_GB2312"/>
                <w:i w:val="0"/>
                <w:iCs w:val="0"/>
                <w:color w:val="000000"/>
                <w:sz w:val="14"/>
                <w:szCs w:val="14"/>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07636">
            <w:pPr>
              <w:jc w:val="center"/>
              <w:rPr>
                <w:rFonts w:hint="eastAsia" w:ascii="仿宋_GB2312" w:hAnsi="仿宋_GB2312" w:eastAsia="仿宋_GB2312" w:cs="仿宋_GB2312"/>
                <w:i w:val="0"/>
                <w:iCs w:val="0"/>
                <w:color w:val="000000"/>
                <w:sz w:val="14"/>
                <w:szCs w:val="1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658C">
            <w:pPr>
              <w:jc w:val="center"/>
              <w:rPr>
                <w:rFonts w:hint="eastAsia" w:ascii="仿宋_GB2312" w:hAnsi="仿宋_GB2312" w:eastAsia="仿宋_GB2312" w:cs="仿宋_GB2312"/>
                <w:i w:val="0"/>
                <w:iCs w:val="0"/>
                <w:color w:val="000000"/>
                <w:sz w:val="14"/>
                <w:szCs w:val="14"/>
                <w:highlight w:val="none"/>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F534E">
            <w:pPr>
              <w:jc w:val="center"/>
              <w:rPr>
                <w:rFonts w:hint="eastAsia" w:ascii="仿宋_GB2312" w:hAnsi="仿宋_GB2312" w:eastAsia="仿宋_GB2312" w:cs="仿宋_GB2312"/>
                <w:i w:val="0"/>
                <w:iCs w:val="0"/>
                <w:color w:val="000000"/>
                <w:sz w:val="14"/>
                <w:szCs w:val="14"/>
                <w:highlight w:val="none"/>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2C5A8">
            <w:pPr>
              <w:jc w:val="center"/>
              <w:rPr>
                <w:rFonts w:hint="eastAsia" w:ascii="仿宋_GB2312" w:hAnsi="仿宋_GB2312" w:eastAsia="仿宋_GB2312" w:cs="仿宋_GB2312"/>
                <w:i w:val="0"/>
                <w:iCs w:val="0"/>
                <w:color w:val="000000"/>
                <w:sz w:val="14"/>
                <w:szCs w:val="14"/>
                <w:highlight w:val="none"/>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3E37D">
            <w:pPr>
              <w:jc w:val="center"/>
              <w:rPr>
                <w:rFonts w:hint="eastAsia" w:ascii="仿宋_GB2312" w:hAnsi="仿宋_GB2312" w:eastAsia="仿宋_GB2312" w:cs="仿宋_GB2312"/>
                <w:i w:val="0"/>
                <w:iCs w:val="0"/>
                <w:color w:val="000000"/>
                <w:sz w:val="14"/>
                <w:szCs w:val="14"/>
                <w:highlight w:val="none"/>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3819">
            <w:pPr>
              <w:jc w:val="center"/>
              <w:rPr>
                <w:rFonts w:hint="eastAsia" w:ascii="仿宋_GB2312" w:hAnsi="仿宋_GB2312" w:eastAsia="仿宋_GB2312" w:cs="仿宋_GB2312"/>
                <w:i w:val="0"/>
                <w:iCs w:val="0"/>
                <w:color w:val="000000"/>
                <w:sz w:val="14"/>
                <w:szCs w:val="14"/>
                <w:highlight w:val="none"/>
                <w:u w:val="none"/>
              </w:rPr>
            </w:pP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CE6F2">
            <w:pPr>
              <w:jc w:val="center"/>
              <w:rPr>
                <w:rFonts w:hint="eastAsia" w:ascii="仿宋_GB2312" w:hAnsi="仿宋_GB2312" w:eastAsia="仿宋_GB2312" w:cs="仿宋_GB2312"/>
                <w:i w:val="0"/>
                <w:iCs w:val="0"/>
                <w:color w:val="000000"/>
                <w:sz w:val="14"/>
                <w:szCs w:val="14"/>
                <w:highlight w:val="none"/>
                <w:u w:val="none"/>
              </w:rPr>
            </w:pPr>
          </w:p>
        </w:tc>
      </w:tr>
      <w:tr w14:paraId="5047E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983A2">
            <w:pPr>
              <w:jc w:val="center"/>
              <w:rPr>
                <w:rFonts w:hint="eastAsia" w:ascii="仿宋_GB2312" w:hAnsi="仿宋_GB2312" w:eastAsia="仿宋_GB2312" w:cs="仿宋_GB2312"/>
                <w:i w:val="0"/>
                <w:iCs w:val="0"/>
                <w:color w:val="000000"/>
                <w:sz w:val="14"/>
                <w:szCs w:val="14"/>
                <w:highlight w:val="none"/>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F0256">
            <w:pPr>
              <w:jc w:val="center"/>
              <w:rPr>
                <w:rFonts w:hint="eastAsia" w:ascii="仿宋_GB2312" w:hAnsi="仿宋_GB2312" w:eastAsia="仿宋_GB2312" w:cs="仿宋_GB2312"/>
                <w:i w:val="0"/>
                <w:iCs w:val="0"/>
                <w:color w:val="000000"/>
                <w:sz w:val="14"/>
                <w:szCs w:val="1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77D2">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社会效益指标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010D">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残疾人康复知识及预防知识知晓率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D2F6">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&gt;=85%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651CC">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计划标准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83012">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98CB1">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99D4">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E8B0F">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工作资料</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339B5">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7A79E">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111.76%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7776">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17.65</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A7590">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偏差原因：通过爱耳日、全国助残日、乡镇街道宣讲等多形式宣讲、发放宣传单、公交站台播放滚屏，广大群众知晓率高。改进措施：持续开展宣传。</w:t>
            </w:r>
          </w:p>
        </w:tc>
      </w:tr>
      <w:tr w14:paraId="2FB55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74568">
            <w:pPr>
              <w:jc w:val="center"/>
              <w:rPr>
                <w:rFonts w:hint="eastAsia" w:ascii="仿宋_GB2312" w:hAnsi="仿宋_GB2312" w:eastAsia="仿宋_GB2312" w:cs="仿宋_GB2312"/>
                <w:i w:val="0"/>
                <w:iCs w:val="0"/>
                <w:color w:val="000000"/>
                <w:sz w:val="14"/>
                <w:szCs w:val="14"/>
                <w:highlight w:val="none"/>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FB13D">
            <w:pPr>
              <w:jc w:val="center"/>
              <w:rPr>
                <w:rFonts w:hint="eastAsia" w:ascii="仿宋_GB2312" w:hAnsi="仿宋_GB2312" w:eastAsia="仿宋_GB2312" w:cs="仿宋_GB2312"/>
                <w:i w:val="0"/>
                <w:iCs w:val="0"/>
                <w:color w:val="000000"/>
                <w:sz w:val="14"/>
                <w:szCs w:val="1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EE332">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生态效益指标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D3B74">
            <w:pPr>
              <w:jc w:val="center"/>
              <w:rPr>
                <w:rFonts w:hint="eastAsia" w:ascii="仿宋_GB2312" w:hAnsi="仿宋_GB2312" w:eastAsia="仿宋_GB2312" w:cs="仿宋_GB2312"/>
                <w:i w:val="0"/>
                <w:iCs w:val="0"/>
                <w:color w:val="000000"/>
                <w:sz w:val="14"/>
                <w:szCs w:val="14"/>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7181B">
            <w:pPr>
              <w:jc w:val="center"/>
              <w:rPr>
                <w:rFonts w:hint="eastAsia" w:ascii="仿宋_GB2312" w:hAnsi="仿宋_GB2312" w:eastAsia="仿宋_GB2312" w:cs="仿宋_GB2312"/>
                <w:i w:val="0"/>
                <w:iCs w:val="0"/>
                <w:color w:val="000000"/>
                <w:sz w:val="14"/>
                <w:szCs w:val="14"/>
                <w:highlight w:val="none"/>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CB6FE">
            <w:pPr>
              <w:jc w:val="center"/>
              <w:rPr>
                <w:rFonts w:hint="eastAsia" w:ascii="仿宋_GB2312" w:hAnsi="仿宋_GB2312" w:eastAsia="仿宋_GB2312" w:cs="仿宋_GB2312"/>
                <w:i w:val="0"/>
                <w:iCs w:val="0"/>
                <w:color w:val="000000"/>
                <w:sz w:val="14"/>
                <w:szCs w:val="14"/>
                <w:highlight w:val="none"/>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AAA7E">
            <w:pPr>
              <w:jc w:val="center"/>
              <w:rPr>
                <w:rFonts w:hint="eastAsia" w:ascii="仿宋_GB2312" w:hAnsi="仿宋_GB2312" w:eastAsia="仿宋_GB2312" w:cs="仿宋_GB2312"/>
                <w:i w:val="0"/>
                <w:iCs w:val="0"/>
                <w:color w:val="000000"/>
                <w:sz w:val="14"/>
                <w:szCs w:val="14"/>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DB9C">
            <w:pPr>
              <w:jc w:val="center"/>
              <w:rPr>
                <w:rFonts w:hint="eastAsia" w:ascii="仿宋_GB2312" w:hAnsi="仿宋_GB2312" w:eastAsia="仿宋_GB2312" w:cs="仿宋_GB2312"/>
                <w:i w:val="0"/>
                <w:iCs w:val="0"/>
                <w:color w:val="000000"/>
                <w:sz w:val="14"/>
                <w:szCs w:val="1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878F2">
            <w:pPr>
              <w:jc w:val="center"/>
              <w:rPr>
                <w:rFonts w:hint="eastAsia" w:ascii="仿宋_GB2312" w:hAnsi="仿宋_GB2312" w:eastAsia="仿宋_GB2312" w:cs="仿宋_GB2312"/>
                <w:i w:val="0"/>
                <w:iCs w:val="0"/>
                <w:color w:val="000000"/>
                <w:sz w:val="14"/>
                <w:szCs w:val="14"/>
                <w:highlight w:val="none"/>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B8A6">
            <w:pPr>
              <w:jc w:val="center"/>
              <w:rPr>
                <w:rFonts w:hint="eastAsia" w:ascii="仿宋_GB2312" w:hAnsi="仿宋_GB2312" w:eastAsia="仿宋_GB2312" w:cs="仿宋_GB2312"/>
                <w:i w:val="0"/>
                <w:iCs w:val="0"/>
                <w:color w:val="000000"/>
                <w:sz w:val="14"/>
                <w:szCs w:val="14"/>
                <w:highlight w:val="none"/>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6E00F">
            <w:pPr>
              <w:jc w:val="center"/>
              <w:rPr>
                <w:rFonts w:hint="eastAsia" w:ascii="仿宋_GB2312" w:hAnsi="仿宋_GB2312" w:eastAsia="仿宋_GB2312" w:cs="仿宋_GB2312"/>
                <w:i w:val="0"/>
                <w:iCs w:val="0"/>
                <w:color w:val="000000"/>
                <w:sz w:val="14"/>
                <w:szCs w:val="14"/>
                <w:highlight w:val="none"/>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7682">
            <w:pPr>
              <w:jc w:val="center"/>
              <w:rPr>
                <w:rFonts w:hint="eastAsia" w:ascii="仿宋_GB2312" w:hAnsi="仿宋_GB2312" w:eastAsia="仿宋_GB2312" w:cs="仿宋_GB2312"/>
                <w:i w:val="0"/>
                <w:iCs w:val="0"/>
                <w:color w:val="000000"/>
                <w:sz w:val="14"/>
                <w:szCs w:val="14"/>
                <w:highlight w:val="none"/>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DACF">
            <w:pPr>
              <w:jc w:val="center"/>
              <w:rPr>
                <w:rFonts w:hint="eastAsia" w:ascii="仿宋_GB2312" w:hAnsi="仿宋_GB2312" w:eastAsia="仿宋_GB2312" w:cs="仿宋_GB2312"/>
                <w:i w:val="0"/>
                <w:iCs w:val="0"/>
                <w:color w:val="000000"/>
                <w:sz w:val="14"/>
                <w:szCs w:val="14"/>
                <w:highlight w:val="none"/>
                <w:u w:val="none"/>
              </w:rPr>
            </w:pP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9D9C5">
            <w:pPr>
              <w:jc w:val="center"/>
              <w:rPr>
                <w:rFonts w:hint="eastAsia" w:ascii="仿宋_GB2312" w:hAnsi="仿宋_GB2312" w:eastAsia="仿宋_GB2312" w:cs="仿宋_GB2312"/>
                <w:i w:val="0"/>
                <w:iCs w:val="0"/>
                <w:color w:val="000000"/>
                <w:sz w:val="14"/>
                <w:szCs w:val="14"/>
                <w:highlight w:val="none"/>
                <w:u w:val="none"/>
              </w:rPr>
            </w:pPr>
          </w:p>
        </w:tc>
      </w:tr>
      <w:tr w14:paraId="5782B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21641">
            <w:pPr>
              <w:jc w:val="center"/>
              <w:rPr>
                <w:rFonts w:hint="eastAsia" w:ascii="仿宋_GB2312" w:hAnsi="仿宋_GB2312" w:eastAsia="仿宋_GB2312" w:cs="仿宋_GB2312"/>
                <w:i w:val="0"/>
                <w:iCs w:val="0"/>
                <w:color w:val="000000"/>
                <w:sz w:val="14"/>
                <w:szCs w:val="1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1C917">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满意度指标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ECAE">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6C45E">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受益人员满意度</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B2BD4">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&gt;=95%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CDFAC">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计划标准</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6970">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774B">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86888">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满意度赋分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F9D4">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工作资料</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2366">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B9BDA">
            <w:pPr>
              <w:keepNext w:val="0"/>
              <w:keepLines w:val="0"/>
              <w:widowControl/>
              <w:suppressLineNumbers w:val="0"/>
              <w:jc w:val="left"/>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105.26%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8339C">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10</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7B1E0">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偏差原因：经向残疾人发放问卷调查表，受调查群众满意度100%；改进措施：继续保持。</w:t>
            </w:r>
          </w:p>
        </w:tc>
      </w:tr>
      <w:tr w14:paraId="4F2E5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480" w:type="dxa"/>
            <w:gridSpan w:val="4"/>
            <w:tcBorders>
              <w:top w:val="single" w:color="000000" w:sz="4" w:space="0"/>
              <w:left w:val="single" w:color="000000" w:sz="4" w:space="0"/>
              <w:bottom w:val="single" w:color="000000" w:sz="4" w:space="0"/>
              <w:right w:val="nil"/>
            </w:tcBorders>
            <w:shd w:val="clear" w:color="auto" w:fill="auto"/>
            <w:vAlign w:val="center"/>
          </w:tcPr>
          <w:p w14:paraId="5194B3FF">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仿宋_GB2312" w:hAnsi="仿宋_GB2312" w:eastAsia="仿宋_GB2312" w:cs="仿宋_GB2312"/>
                <w:i w:val="0"/>
                <w:iCs w:val="0"/>
                <w:color w:val="000000"/>
                <w:kern w:val="0"/>
                <w:sz w:val="14"/>
                <w:szCs w:val="14"/>
                <w:highlight w:val="none"/>
                <w:u w:val="none"/>
                <w:lang w:val="en-US" w:eastAsia="zh-CN" w:bidi="ar"/>
              </w:rPr>
              <w:t>总分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435AD">
            <w:pPr>
              <w:jc w:val="center"/>
              <w:rPr>
                <w:rFonts w:hint="eastAsia" w:ascii="仿宋_GB2312" w:hAnsi="仿宋_GB2312" w:eastAsia="仿宋_GB2312" w:cs="仿宋_GB2312"/>
                <w:i w:val="0"/>
                <w:iCs w:val="0"/>
                <w:color w:val="000000"/>
                <w:sz w:val="14"/>
                <w:szCs w:val="14"/>
                <w:highlight w:val="none"/>
                <w:u w:val="none"/>
              </w:rPr>
            </w:pPr>
          </w:p>
        </w:tc>
        <w:tc>
          <w:tcPr>
            <w:tcW w:w="795" w:type="dxa"/>
            <w:tcBorders>
              <w:top w:val="single" w:color="000000" w:sz="4" w:space="0"/>
              <w:left w:val="nil"/>
              <w:bottom w:val="single" w:color="000000" w:sz="4" w:space="0"/>
              <w:right w:val="single" w:color="000000" w:sz="4" w:space="0"/>
            </w:tcBorders>
            <w:shd w:val="clear" w:color="auto" w:fill="auto"/>
            <w:vAlign w:val="center"/>
          </w:tcPr>
          <w:p w14:paraId="00948114">
            <w:pPr>
              <w:rPr>
                <w:rFonts w:hint="eastAsia" w:ascii="仿宋_GB2312" w:hAnsi="仿宋_GB2312" w:eastAsia="仿宋_GB2312" w:cs="仿宋_GB2312"/>
                <w:b/>
                <w:bCs/>
                <w:i w:val="0"/>
                <w:iCs w:val="0"/>
                <w:color w:val="000000"/>
                <w:sz w:val="14"/>
                <w:szCs w:val="14"/>
                <w:highlight w:val="none"/>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0CAB9">
            <w:pPr>
              <w:jc w:val="center"/>
              <w:rPr>
                <w:rFonts w:hint="eastAsia" w:ascii="仿宋_GB2312" w:hAnsi="仿宋_GB2312" w:eastAsia="仿宋_GB2312" w:cs="仿宋_GB2312"/>
                <w:i w:val="0"/>
                <w:iCs w:val="0"/>
                <w:color w:val="000000"/>
                <w:sz w:val="14"/>
                <w:szCs w:val="14"/>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42E5C">
            <w:pPr>
              <w:jc w:val="center"/>
              <w:rPr>
                <w:rFonts w:hint="eastAsia" w:ascii="仿宋_GB2312" w:hAnsi="仿宋_GB2312" w:eastAsia="仿宋_GB2312" w:cs="仿宋_GB2312"/>
                <w:i w:val="0"/>
                <w:iCs w:val="0"/>
                <w:color w:val="000000"/>
                <w:sz w:val="14"/>
                <w:szCs w:val="1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E1919">
            <w:pPr>
              <w:jc w:val="center"/>
              <w:rPr>
                <w:rFonts w:hint="eastAsia" w:ascii="仿宋_GB2312" w:hAnsi="仿宋_GB2312" w:eastAsia="仿宋_GB2312" w:cs="仿宋_GB2312"/>
                <w:i w:val="0"/>
                <w:iCs w:val="0"/>
                <w:color w:val="000000"/>
                <w:sz w:val="14"/>
                <w:szCs w:val="14"/>
                <w:highlight w:val="none"/>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236D">
            <w:pPr>
              <w:rPr>
                <w:rFonts w:hint="eastAsia" w:ascii="仿宋_GB2312" w:hAnsi="仿宋_GB2312" w:eastAsia="仿宋_GB2312" w:cs="仿宋_GB2312"/>
                <w:i w:val="0"/>
                <w:iCs w:val="0"/>
                <w:color w:val="000000"/>
                <w:sz w:val="14"/>
                <w:szCs w:val="14"/>
                <w:highlight w:val="none"/>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49B20">
            <w:pPr>
              <w:rPr>
                <w:rFonts w:hint="eastAsia" w:ascii="仿宋_GB2312" w:hAnsi="仿宋_GB2312" w:eastAsia="仿宋_GB2312" w:cs="仿宋_GB2312"/>
                <w:i w:val="0"/>
                <w:iCs w:val="0"/>
                <w:color w:val="000000"/>
                <w:sz w:val="14"/>
                <w:szCs w:val="14"/>
                <w:highlight w:val="none"/>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58F5">
            <w:pPr>
              <w:rPr>
                <w:rFonts w:hint="eastAsia" w:ascii="仿宋_GB2312" w:hAnsi="仿宋_GB2312" w:eastAsia="仿宋_GB2312" w:cs="仿宋_GB2312"/>
                <w:i w:val="0"/>
                <w:iCs w:val="0"/>
                <w:color w:val="000000"/>
                <w:sz w:val="14"/>
                <w:szCs w:val="14"/>
                <w:highlight w:val="none"/>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E879">
            <w:pPr>
              <w:keepNext w:val="0"/>
              <w:keepLines w:val="0"/>
              <w:widowControl/>
              <w:suppressLineNumbers w:val="0"/>
              <w:jc w:val="center"/>
              <w:textAlignment w:val="center"/>
              <w:rPr>
                <w:rFonts w:hint="eastAsia" w:ascii="仿宋_GB2312" w:hAnsi="仿宋_GB2312" w:eastAsia="仿宋_GB2312" w:cs="仿宋_GB2312"/>
                <w:i w:val="0"/>
                <w:iCs w:val="0"/>
                <w:color w:val="000000"/>
                <w:sz w:val="14"/>
                <w:szCs w:val="14"/>
                <w:highlight w:val="none"/>
                <w:u w:val="none"/>
              </w:rPr>
            </w:pPr>
            <w:r>
              <w:rPr>
                <w:rFonts w:hint="eastAsia" w:ascii="宋体" w:hAnsi="宋体" w:eastAsia="宋体" w:cs="宋体"/>
                <w:i w:val="0"/>
                <w:color w:val="000000"/>
                <w:kern w:val="0"/>
                <w:sz w:val="14"/>
                <w:szCs w:val="14"/>
                <w:highlight w:val="none"/>
                <w:u w:val="none"/>
                <w:lang w:val="en-US" w:eastAsia="zh-CN" w:bidi="ar"/>
              </w:rPr>
              <w:t>85.58分</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5B35">
            <w:pPr>
              <w:rPr>
                <w:rFonts w:hint="eastAsia" w:ascii="仿宋_GB2312" w:hAnsi="仿宋_GB2312" w:eastAsia="仿宋_GB2312" w:cs="仿宋_GB2312"/>
                <w:i w:val="0"/>
                <w:iCs w:val="0"/>
                <w:color w:val="000000"/>
                <w:sz w:val="14"/>
                <w:szCs w:val="14"/>
                <w:highlight w:val="none"/>
                <w:u w:val="none"/>
              </w:rPr>
            </w:pPr>
          </w:p>
        </w:tc>
      </w:tr>
    </w:tbl>
    <w:p w14:paraId="49089D57">
      <w:pPr>
        <w:rPr>
          <w:rFonts w:hint="default" w:ascii="Times New Roman" w:hAnsi="Times New Roman" w:cs="Times New Roman"/>
          <w:sz w:val="14"/>
          <w:szCs w:val="14"/>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0B9F6BB">
        <w:pPr>
          <w:pStyle w:val="8"/>
          <w:jc w:val="center"/>
        </w:pPr>
        <w:r>
          <w:fldChar w:fldCharType="begin"/>
        </w:r>
        <w:r>
          <w:instrText xml:space="preserve">PAGE   \* MERGEFORMAT</w:instrText>
        </w:r>
        <w:r>
          <w:fldChar w:fldCharType="separate"/>
        </w:r>
        <w:r>
          <w:rPr>
            <w:lang w:val="zh-CN"/>
          </w:rPr>
          <w:t>13</w:t>
        </w:r>
        <w:r>
          <w:fldChar w:fldCharType="end"/>
        </w:r>
      </w:p>
    </w:sdtContent>
  </w:sdt>
  <w:p w14:paraId="4C0C63C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BF1B7"/>
    <w:multiLevelType w:val="singleLevel"/>
    <w:tmpl w:val="C4CBF1B7"/>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jBmMzBmMjdlOWQzMjI4ODBmY2UxZjUzYzk3MjgifQ=="/>
  </w:docVars>
  <w:rsids>
    <w:rsidRoot w:val="FF6C4049"/>
    <w:rsid w:val="006F7242"/>
    <w:rsid w:val="007B168A"/>
    <w:rsid w:val="008B2CFE"/>
    <w:rsid w:val="00F26FF6"/>
    <w:rsid w:val="016025FC"/>
    <w:rsid w:val="01610122"/>
    <w:rsid w:val="01EC3E90"/>
    <w:rsid w:val="02510197"/>
    <w:rsid w:val="03EC461B"/>
    <w:rsid w:val="0461077D"/>
    <w:rsid w:val="050B602D"/>
    <w:rsid w:val="063259DB"/>
    <w:rsid w:val="06D314F3"/>
    <w:rsid w:val="07397B77"/>
    <w:rsid w:val="07BB67DE"/>
    <w:rsid w:val="09590793"/>
    <w:rsid w:val="0AAD5563"/>
    <w:rsid w:val="0AD007F3"/>
    <w:rsid w:val="0B925AA8"/>
    <w:rsid w:val="0BD17AE0"/>
    <w:rsid w:val="0E1C639C"/>
    <w:rsid w:val="0E3C619F"/>
    <w:rsid w:val="0ED16236"/>
    <w:rsid w:val="100F38EC"/>
    <w:rsid w:val="10252E65"/>
    <w:rsid w:val="10E943BC"/>
    <w:rsid w:val="11170296"/>
    <w:rsid w:val="12C66037"/>
    <w:rsid w:val="12CD1ABC"/>
    <w:rsid w:val="13471461"/>
    <w:rsid w:val="13B90F01"/>
    <w:rsid w:val="155E4C4D"/>
    <w:rsid w:val="181066D2"/>
    <w:rsid w:val="1BAC6712"/>
    <w:rsid w:val="1C671E73"/>
    <w:rsid w:val="1D322C47"/>
    <w:rsid w:val="1DAD49C3"/>
    <w:rsid w:val="1E6432D4"/>
    <w:rsid w:val="1FEE5DFB"/>
    <w:rsid w:val="233D5E13"/>
    <w:rsid w:val="23425926"/>
    <w:rsid w:val="23616034"/>
    <w:rsid w:val="23696C97"/>
    <w:rsid w:val="24480FA2"/>
    <w:rsid w:val="24661428"/>
    <w:rsid w:val="25227A45"/>
    <w:rsid w:val="25AE24B3"/>
    <w:rsid w:val="26AC3A6A"/>
    <w:rsid w:val="26CD0B2F"/>
    <w:rsid w:val="27F8683B"/>
    <w:rsid w:val="29391058"/>
    <w:rsid w:val="29CB62CA"/>
    <w:rsid w:val="2B9D7E25"/>
    <w:rsid w:val="2C7C7A3B"/>
    <w:rsid w:val="2E292180"/>
    <w:rsid w:val="2F2422CC"/>
    <w:rsid w:val="2F364819"/>
    <w:rsid w:val="2FD63906"/>
    <w:rsid w:val="338359E5"/>
    <w:rsid w:val="33EA7CF5"/>
    <w:rsid w:val="340D5E76"/>
    <w:rsid w:val="35260E8C"/>
    <w:rsid w:val="37215DAE"/>
    <w:rsid w:val="38196107"/>
    <w:rsid w:val="38471845"/>
    <w:rsid w:val="387C2BDD"/>
    <w:rsid w:val="38CA40DD"/>
    <w:rsid w:val="392F6C79"/>
    <w:rsid w:val="39524AFD"/>
    <w:rsid w:val="395F2B56"/>
    <w:rsid w:val="39AB340D"/>
    <w:rsid w:val="39F94DC1"/>
    <w:rsid w:val="3AEC304B"/>
    <w:rsid w:val="3AF31810"/>
    <w:rsid w:val="3BBA0580"/>
    <w:rsid w:val="3BECE841"/>
    <w:rsid w:val="3CDE204C"/>
    <w:rsid w:val="3D363C36"/>
    <w:rsid w:val="3D5B544A"/>
    <w:rsid w:val="3E0B44B0"/>
    <w:rsid w:val="3E9C3F6D"/>
    <w:rsid w:val="3F065EB7"/>
    <w:rsid w:val="3F2F4DE1"/>
    <w:rsid w:val="3F777FAA"/>
    <w:rsid w:val="3FF7797D"/>
    <w:rsid w:val="402626BE"/>
    <w:rsid w:val="40BA7C44"/>
    <w:rsid w:val="40EB0273"/>
    <w:rsid w:val="41781788"/>
    <w:rsid w:val="45096C08"/>
    <w:rsid w:val="461F7168"/>
    <w:rsid w:val="46690BD8"/>
    <w:rsid w:val="469B6857"/>
    <w:rsid w:val="46BA141E"/>
    <w:rsid w:val="47060B1D"/>
    <w:rsid w:val="473967A4"/>
    <w:rsid w:val="49F70BF1"/>
    <w:rsid w:val="4A1A470F"/>
    <w:rsid w:val="4A372B97"/>
    <w:rsid w:val="4A9756CA"/>
    <w:rsid w:val="4AD24620"/>
    <w:rsid w:val="4B4340EE"/>
    <w:rsid w:val="4BCE772F"/>
    <w:rsid w:val="4E394FFD"/>
    <w:rsid w:val="503D507A"/>
    <w:rsid w:val="51FA74D0"/>
    <w:rsid w:val="52AA4A52"/>
    <w:rsid w:val="540833C7"/>
    <w:rsid w:val="56312893"/>
    <w:rsid w:val="57393DEF"/>
    <w:rsid w:val="59943D66"/>
    <w:rsid w:val="59E051FD"/>
    <w:rsid w:val="59E6355E"/>
    <w:rsid w:val="59E8555D"/>
    <w:rsid w:val="5B821531"/>
    <w:rsid w:val="5BFF6039"/>
    <w:rsid w:val="5C59333F"/>
    <w:rsid w:val="5CB34EF9"/>
    <w:rsid w:val="5D1458EA"/>
    <w:rsid w:val="5D6410B1"/>
    <w:rsid w:val="5D76A616"/>
    <w:rsid w:val="5D7F20B9"/>
    <w:rsid w:val="5DAC7D0E"/>
    <w:rsid w:val="5EDA66BF"/>
    <w:rsid w:val="5F98B5AF"/>
    <w:rsid w:val="5FFE8511"/>
    <w:rsid w:val="5FFEACE2"/>
    <w:rsid w:val="60651387"/>
    <w:rsid w:val="60806E07"/>
    <w:rsid w:val="609D5BF6"/>
    <w:rsid w:val="61073070"/>
    <w:rsid w:val="61B9080E"/>
    <w:rsid w:val="61DF3FED"/>
    <w:rsid w:val="642B176B"/>
    <w:rsid w:val="643EE26D"/>
    <w:rsid w:val="656019A0"/>
    <w:rsid w:val="65F242EE"/>
    <w:rsid w:val="664663E8"/>
    <w:rsid w:val="666D7E19"/>
    <w:rsid w:val="66A870A3"/>
    <w:rsid w:val="66E1288D"/>
    <w:rsid w:val="68142C42"/>
    <w:rsid w:val="68376930"/>
    <w:rsid w:val="686F3A88"/>
    <w:rsid w:val="68F91E38"/>
    <w:rsid w:val="69C5388E"/>
    <w:rsid w:val="6B3158B9"/>
    <w:rsid w:val="6B753993"/>
    <w:rsid w:val="6BA02A3F"/>
    <w:rsid w:val="6C1E5A53"/>
    <w:rsid w:val="6C7D4299"/>
    <w:rsid w:val="6F143527"/>
    <w:rsid w:val="6F3E26F8"/>
    <w:rsid w:val="6F5C41AC"/>
    <w:rsid w:val="6F980E7C"/>
    <w:rsid w:val="6FAF6C78"/>
    <w:rsid w:val="716167CC"/>
    <w:rsid w:val="718A7AD1"/>
    <w:rsid w:val="7249173A"/>
    <w:rsid w:val="72A44BC2"/>
    <w:rsid w:val="72EF02B9"/>
    <w:rsid w:val="7317C656"/>
    <w:rsid w:val="734ED73F"/>
    <w:rsid w:val="735763E1"/>
    <w:rsid w:val="735E1215"/>
    <w:rsid w:val="73C82B32"/>
    <w:rsid w:val="73F94DAE"/>
    <w:rsid w:val="74220495"/>
    <w:rsid w:val="747D1B6F"/>
    <w:rsid w:val="749E5641"/>
    <w:rsid w:val="76271066"/>
    <w:rsid w:val="76AE020A"/>
    <w:rsid w:val="77762972"/>
    <w:rsid w:val="77FD8BE9"/>
    <w:rsid w:val="78000AED"/>
    <w:rsid w:val="79A9BD3F"/>
    <w:rsid w:val="7B5B2945"/>
    <w:rsid w:val="7B776F12"/>
    <w:rsid w:val="7BFFFDD0"/>
    <w:rsid w:val="7C336E5F"/>
    <w:rsid w:val="7C8D4919"/>
    <w:rsid w:val="7CAB2971"/>
    <w:rsid w:val="7D5B0DAE"/>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14559</Words>
  <Characters>15324</Characters>
  <Lines>58</Lines>
  <Paragraphs>16</Paragraphs>
  <TotalTime>37</TotalTime>
  <ScaleCrop>false</ScaleCrop>
  <LinksUpToDate>false</LinksUpToDate>
  <CharactersWithSpaces>15351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2025-04-27T08:51:00Z</cp:lastPrinted>
  <dcterms:modified xsi:type="dcterms:W3CDTF">2025-08-15T06:31:18Z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CE0C2844F1E64F41B8CB814EB8D69C4E_13</vt:lpwstr>
  </property>
  <property fmtid="{D5CDD505-2E9C-101B-9397-08002B2CF9AE}" pid="4" name="KSOTemplateDocerSaveRecord">
    <vt:lpwstr>eyJoZGlkIjoiZTQwZDk2NWRkMmM5NGNjZTE2OTlmMzNhODYxYTQ3OGIiLCJ1c2VySWQiOiI0ODkyMzkwNjQifQ==</vt:lpwstr>
  </property>
</Properties>
</file>