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hint="default" w:ascii="Times New Roman" w:hAnsi="Times New Roman" w:eastAsia="宋体" w:cs="Times New Roman"/>
          <w:sz w:val="32"/>
          <w:szCs w:val="32"/>
        </w:rPr>
      </w:pPr>
    </w:p>
    <w:p>
      <w:pPr>
        <w:widowControl/>
        <w:spacing w:before="0" w:beforeLines="0" w:beforeAutospacing="0" w:after="0" w:afterLines="0" w:afterAutospacing="0" w:line="240" w:lineRule="auto"/>
        <w:jc w:val="left"/>
        <w:rPr>
          <w:rFonts w:hint="default" w:ascii="Times New Roman" w:hAnsi="Times New Roman" w:eastAsia="宋体" w:cs="Times New Roman"/>
          <w:sz w:val="44"/>
          <w:szCs w:val="44"/>
        </w:rPr>
      </w:pPr>
    </w:p>
    <w:p>
      <w:pPr>
        <w:widowControl/>
        <w:spacing w:before="0" w:beforeLines="0" w:beforeAutospacing="0" w:after="0" w:afterLines="0" w:afterAutospacing="0" w:line="240" w:lineRule="auto"/>
        <w:jc w:val="left"/>
        <w:rPr>
          <w:rFonts w:hint="default" w:ascii="Times New Roman" w:hAnsi="Times New Roman" w:eastAsia="宋体" w:cs="Times New Roman"/>
          <w:sz w:val="44"/>
          <w:szCs w:val="44"/>
        </w:rPr>
      </w:pPr>
    </w:p>
    <w:p>
      <w:pPr>
        <w:widowControl/>
        <w:spacing w:before="0" w:beforeLines="0" w:beforeAutospacing="0" w:after="0" w:afterLines="0" w:afterAutospacing="0" w:line="240" w:lineRule="auto"/>
        <w:jc w:val="left"/>
        <w:rPr>
          <w:rFonts w:hint="default" w:ascii="Times New Roman" w:hAnsi="Times New Roman" w:eastAsia="宋体" w:cs="Times New Roman"/>
          <w:sz w:val="44"/>
          <w:szCs w:val="44"/>
        </w:rPr>
      </w:pPr>
    </w:p>
    <w:p>
      <w:pPr>
        <w:widowControl/>
        <w:spacing w:before="0" w:beforeLines="0" w:beforeAutospacing="0" w:after="0" w:afterLines="0" w:afterAutospacing="0" w:line="240" w:lineRule="auto"/>
        <w:jc w:val="center"/>
        <w:outlineLvl w:val="0"/>
        <w:rPr>
          <w:rFonts w:hint="default" w:ascii="Times New Roman" w:hAnsi="Times New Roman" w:eastAsia="黑体" w:cs="Times New Roman"/>
          <w:sz w:val="44"/>
          <w:szCs w:val="44"/>
        </w:rPr>
      </w:pPr>
      <w:r>
        <w:rPr>
          <w:rFonts w:hint="default" w:ascii="Times New Roman" w:hAnsi="Times New Roman" w:eastAsia="黑体" w:cs="Times New Roman"/>
          <w:b w:val="0"/>
          <w:sz w:val="44"/>
          <w:szCs w:val="44"/>
        </w:rPr>
        <w:t>库尔勒市残疾人联合会</w:t>
      </w:r>
    </w:p>
    <w:p>
      <w:pPr>
        <w:widowControl/>
        <w:spacing w:before="0" w:beforeLines="0" w:beforeAutospacing="0" w:after="0" w:afterLines="0" w:afterAutospacing="0" w:line="240" w:lineRule="auto"/>
        <w:jc w:val="center"/>
        <w:outlineLvl w:val="0"/>
        <w:rPr>
          <w:rFonts w:hint="default" w:ascii="Times New Roman" w:hAnsi="Times New Roman" w:eastAsia="黑体" w:cs="Times New Roman"/>
          <w:sz w:val="44"/>
          <w:szCs w:val="44"/>
        </w:rPr>
      </w:pPr>
      <w:r>
        <w:rPr>
          <w:rFonts w:hint="default" w:ascii="Times New Roman" w:hAnsi="Times New Roman" w:eastAsia="黑体" w:cs="Times New Roman"/>
          <w:b w:val="0"/>
          <w:sz w:val="44"/>
          <w:szCs w:val="44"/>
        </w:rPr>
        <w:t>2024年度部门决算公开说明</w:t>
      </w:r>
    </w:p>
    <w:p>
      <w:pPr>
        <w:widowControl/>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kern w:val="0"/>
          <w:sz w:val="32"/>
          <w:szCs w:val="32"/>
          <w:highlight w:val="none"/>
        </w:rPr>
      </w:pPr>
      <w:r>
        <w:rPr>
          <w:rFonts w:hint="default" w:ascii="Times New Roman" w:hAnsi="Times New Roman" w:eastAsia="仿宋_GB2312" w:cs="Times New Roman"/>
          <w:b/>
          <w:bCs w:val="0"/>
          <w:kern w:val="0"/>
          <w:sz w:val="36"/>
          <w:szCs w:val="36"/>
          <w:highlight w:val="none"/>
        </w:rPr>
        <w:t>目  录</w:t>
      </w:r>
    </w:p>
    <w:p>
      <w:pPr>
        <w:pStyle w:val="10"/>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TOC \o "1-3" \n  \h \u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_Toc31918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第一部分 部门（单位）概况</w:t>
      </w:r>
      <w:r>
        <w:rPr>
          <w:rFonts w:hint="default" w:ascii="Times New Roman" w:hAnsi="Times New Roman" w:eastAsia="仿宋_GB2312" w:cs="Times New Roman"/>
          <w:b/>
          <w:bCs/>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_Toc2898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一、主要职能</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_Toc1387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二、机构设置</w:t>
      </w:r>
      <w:r>
        <w:rPr>
          <w:rFonts w:hint="default" w:ascii="Times New Roman" w:hAnsi="Times New Roman" w:eastAsia="仿宋_GB2312" w:cs="Times New Roman"/>
          <w:bCs/>
          <w:kern w:val="0"/>
          <w:sz w:val="32"/>
          <w:szCs w:val="32"/>
          <w:highlight w:val="none"/>
          <w:lang w:eastAsia="zh-CN"/>
        </w:rPr>
        <w:t>及人员</w:t>
      </w:r>
      <w:r>
        <w:rPr>
          <w:rFonts w:hint="default" w:ascii="Times New Roman" w:hAnsi="Times New Roman" w:eastAsia="仿宋_GB2312" w:cs="Times New Roman"/>
          <w:bCs/>
          <w:kern w:val="0"/>
          <w:sz w:val="32"/>
          <w:szCs w:val="32"/>
          <w:highlight w:val="none"/>
        </w:rPr>
        <w:t>情况</w:t>
      </w:r>
      <w:r>
        <w:rPr>
          <w:rFonts w:hint="default" w:ascii="Times New Roman" w:hAnsi="Times New Roman" w:eastAsia="仿宋_GB2312" w:cs="Times New Roman"/>
          <w:sz w:val="32"/>
          <w:szCs w:val="32"/>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_Toc7559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w:t>
      </w:r>
      <w:r>
        <w:rPr>
          <w:rFonts w:hint="default" w:ascii="Times New Roman" w:hAnsi="Times New Roman" w:eastAsia="仿宋_GB2312" w:cs="Times New Roman"/>
          <w:b/>
          <w:bCs/>
          <w:sz w:val="32"/>
          <w:szCs w:val="32"/>
          <w:highlight w:val="none"/>
          <w:lang w:val="en-US" w:eastAsia="zh-CN"/>
        </w:rPr>
        <w:t>二</w:t>
      </w:r>
      <w:r>
        <w:rPr>
          <w:rFonts w:hint="default" w:ascii="Times New Roman" w:hAnsi="Times New Roman" w:eastAsia="仿宋_GB2312" w:cs="Times New Roman"/>
          <w:b/>
          <w:bCs/>
          <w:sz w:val="32"/>
          <w:szCs w:val="32"/>
          <w:highlight w:val="none"/>
        </w:rPr>
        <w:t>部分 部门决算情况说明</w:t>
      </w:r>
      <w:r>
        <w:rPr>
          <w:rFonts w:hint="default" w:ascii="Times New Roman" w:hAnsi="Times New Roman" w:eastAsia="仿宋_GB2312" w:cs="Times New Roman"/>
          <w:b/>
          <w:bCs/>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_Toc6321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一、收入支出决算总体情况说明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_Toc6311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二、</w:t>
      </w:r>
      <w:r>
        <w:rPr>
          <w:rFonts w:hint="default" w:ascii="Times New Roman" w:hAnsi="Times New Roman" w:eastAsia="仿宋_GB2312" w:cs="Times New Roman"/>
          <w:bCs/>
          <w:kern w:val="0"/>
          <w:sz w:val="32"/>
          <w:szCs w:val="32"/>
          <w:highlight w:val="none"/>
        </w:rPr>
        <w:t>收入</w:t>
      </w:r>
      <w:r>
        <w:rPr>
          <w:rFonts w:hint="default" w:ascii="Times New Roman" w:hAnsi="Times New Roman" w:eastAsia="仿宋_GB2312" w:cs="Times New Roman"/>
          <w:bCs/>
          <w:kern w:val="0"/>
          <w:sz w:val="32"/>
          <w:szCs w:val="32"/>
          <w:highlight w:val="none"/>
          <w:lang w:eastAsia="zh-CN"/>
        </w:rPr>
        <w:t>决算</w:t>
      </w:r>
      <w:r>
        <w:rPr>
          <w:rFonts w:hint="default" w:ascii="Times New Roman" w:hAnsi="Times New Roman" w:eastAsia="仿宋_GB2312" w:cs="Times New Roman"/>
          <w:bCs/>
          <w:kern w:val="0"/>
          <w:sz w:val="32"/>
          <w:szCs w:val="32"/>
          <w:highlight w:val="none"/>
        </w:rPr>
        <w:t>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_Toc20629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三、支出决算情况说明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_Toc7371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四、财政拨款收入支出决算总体情况说明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_Toc18905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五、一般公共预算财政拨款支出决算情况说明</w:t>
      </w:r>
      <w:r>
        <w:rPr>
          <w:rFonts w:hint="default" w:ascii="Times New Roman" w:hAnsi="Times New Roman" w:eastAsia="仿宋_GB2312" w:cs="Times New Roman"/>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_Toc1165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（一）一般公共预算财政拨款支出决算总体情况</w:t>
      </w:r>
      <w:r>
        <w:rPr>
          <w:rFonts w:hint="default" w:ascii="Times New Roman" w:hAnsi="Times New Roman" w:eastAsia="仿宋_GB2312" w:cs="Times New Roman"/>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_Toc27147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（二）一般公共预算</w:t>
      </w:r>
      <w:r>
        <w:rPr>
          <w:rFonts w:hint="default" w:ascii="Times New Roman" w:hAnsi="Times New Roman" w:eastAsia="仿宋_GB2312" w:cs="Times New Roman"/>
          <w:sz w:val="32"/>
          <w:szCs w:val="32"/>
          <w:highlight w:val="none"/>
          <w:lang w:val="en-US" w:eastAsia="zh-CN"/>
        </w:rPr>
        <w:t>财政拨款支出决算</w:t>
      </w:r>
      <w:r>
        <w:rPr>
          <w:rFonts w:hint="default" w:ascii="Times New Roman" w:hAnsi="Times New Roman" w:eastAsia="仿宋_GB2312" w:cs="Times New Roman"/>
          <w:sz w:val="32"/>
          <w:szCs w:val="32"/>
          <w:highlight w:val="none"/>
          <w:lang w:eastAsia="zh-CN"/>
        </w:rPr>
        <w:t>结构情况</w:t>
      </w:r>
      <w:r>
        <w:rPr>
          <w:rFonts w:hint="default" w:ascii="Times New Roman" w:hAnsi="Times New Roman" w:eastAsia="仿宋_GB2312" w:cs="Times New Roman"/>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_Toc10037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（三）一般公共预算财政拨款支出决算具体情况</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_Toc23415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六、一般公共预算财政拨款基本支出决算情况说明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_Toc7523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七、</w:t>
      </w:r>
      <w:r>
        <w:rPr>
          <w:rFonts w:hint="default" w:ascii="Times New Roman" w:hAnsi="Times New Roman" w:eastAsia="仿宋_GB2312" w:cs="Times New Roman"/>
          <w:bCs/>
          <w:kern w:val="0"/>
          <w:sz w:val="32"/>
          <w:szCs w:val="32"/>
          <w:highlight w:val="none"/>
          <w:lang w:eastAsia="zh-CN"/>
        </w:rPr>
        <w:t>政府性基金预算财政拨款收入支出决算情况说明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_Toc5563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八</w:t>
      </w:r>
      <w:r>
        <w:rPr>
          <w:rFonts w:hint="default" w:ascii="Times New Roman" w:hAnsi="Times New Roman" w:eastAsia="仿宋_GB2312" w:cs="Times New Roman"/>
          <w:bCs/>
          <w:kern w:val="0"/>
          <w:sz w:val="32"/>
          <w:szCs w:val="32"/>
          <w:highlight w:val="none"/>
          <w:lang w:eastAsia="zh-CN"/>
        </w:rPr>
        <w:t>、国有资本经营预算财政拨款收入支出决算情况说明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_Toc9161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九</w:t>
      </w:r>
      <w:r>
        <w:rPr>
          <w:rFonts w:hint="default" w:ascii="Times New Roman" w:hAnsi="Times New Roman" w:eastAsia="仿宋_GB2312" w:cs="Times New Roman"/>
          <w:bCs/>
          <w:kern w:val="0"/>
          <w:sz w:val="32"/>
          <w:szCs w:val="32"/>
          <w:highlight w:val="none"/>
          <w:lang w:eastAsia="zh-CN"/>
        </w:rPr>
        <w:t>、财政拨款</w:t>
      </w:r>
      <w:r>
        <w:rPr>
          <w:rFonts w:hint="default" w:ascii="Times New Roman" w:hAnsi="Times New Roman" w:eastAsia="仿宋_GB2312" w:cs="Times New Roman"/>
          <w:bCs/>
          <w:kern w:val="0"/>
          <w:sz w:val="32"/>
          <w:szCs w:val="32"/>
          <w:highlight w:val="none"/>
        </w:rPr>
        <w:t>“三公”经费支出</w:t>
      </w:r>
      <w:r>
        <w:rPr>
          <w:rFonts w:hint="default" w:ascii="Times New Roman" w:hAnsi="Times New Roman" w:eastAsia="仿宋_GB2312" w:cs="Times New Roman"/>
          <w:bCs/>
          <w:kern w:val="0"/>
          <w:sz w:val="32"/>
          <w:szCs w:val="32"/>
          <w:highlight w:val="none"/>
          <w:lang w:eastAsia="zh-CN"/>
        </w:rPr>
        <w:t>决算</w:t>
      </w:r>
      <w:r>
        <w:rPr>
          <w:rFonts w:hint="default" w:ascii="Times New Roman" w:hAnsi="Times New Roman" w:eastAsia="仿宋_GB2312" w:cs="Times New Roman"/>
          <w:bCs/>
          <w:kern w:val="0"/>
          <w:sz w:val="32"/>
          <w:szCs w:val="32"/>
          <w:highlight w:val="none"/>
        </w:rPr>
        <w:t>情况</w:t>
      </w:r>
      <w:r>
        <w:rPr>
          <w:rFonts w:hint="default" w:ascii="Times New Roman" w:hAnsi="Times New Roman" w:eastAsia="仿宋_GB2312" w:cs="Times New Roman"/>
          <w:bCs/>
          <w:kern w:val="0"/>
          <w:sz w:val="32"/>
          <w:szCs w:val="32"/>
          <w:highlight w:val="none"/>
          <w:lang w:eastAsia="zh-CN"/>
        </w:rPr>
        <w:t>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_Toc16395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十</w:t>
      </w:r>
      <w:r>
        <w:rPr>
          <w:rFonts w:hint="default" w:ascii="Times New Roman" w:hAnsi="Times New Roman" w:eastAsia="仿宋_GB2312" w:cs="Times New Roman"/>
          <w:bCs/>
          <w:kern w:val="0"/>
          <w:sz w:val="32"/>
          <w:szCs w:val="32"/>
          <w:highlight w:val="none"/>
        </w:rPr>
        <w:t>、其他重要事项的情况</w:t>
      </w:r>
      <w:r>
        <w:rPr>
          <w:rFonts w:hint="default" w:ascii="Times New Roman" w:hAnsi="Times New Roman" w:eastAsia="仿宋_GB2312" w:cs="Times New Roman"/>
          <w:bCs/>
          <w:kern w:val="0"/>
          <w:sz w:val="32"/>
          <w:szCs w:val="32"/>
          <w:highlight w:val="none"/>
          <w:lang w:eastAsia="zh-CN"/>
        </w:rPr>
        <w:t>说明</w:t>
      </w:r>
      <w:r>
        <w:rPr>
          <w:rFonts w:hint="default" w:ascii="Times New Roman" w:hAnsi="Times New Roman" w:eastAsia="仿宋_GB2312" w:cs="Times New Roman"/>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_Toc21748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（一）</w:t>
      </w:r>
      <w:r>
        <w:rPr>
          <w:rFonts w:hint="default" w:ascii="Times New Roman" w:hAnsi="Times New Roman" w:eastAsia="仿宋_GB2312" w:cs="Times New Roman"/>
          <w:sz w:val="32"/>
          <w:szCs w:val="32"/>
          <w:highlight w:val="none"/>
        </w:rPr>
        <w:t>机关运行经费</w:t>
      </w:r>
      <w:r>
        <w:rPr>
          <w:rFonts w:hint="default" w:ascii="Times New Roman" w:hAnsi="Times New Roman" w:eastAsia="仿宋_GB2312" w:cs="Times New Roman"/>
          <w:sz w:val="32"/>
          <w:szCs w:val="32"/>
          <w:highlight w:val="none"/>
          <w:lang w:val="en-US" w:eastAsia="zh-CN"/>
        </w:rPr>
        <w:t>及公用经费</w:t>
      </w:r>
      <w:r>
        <w:rPr>
          <w:rFonts w:hint="default" w:ascii="Times New Roman" w:hAnsi="Times New Roman" w:eastAsia="仿宋_GB2312" w:cs="Times New Roman"/>
          <w:sz w:val="32"/>
          <w:szCs w:val="32"/>
          <w:highlight w:val="none"/>
        </w:rPr>
        <w:t>支出情况</w:t>
      </w:r>
      <w:r>
        <w:rPr>
          <w:rFonts w:hint="default" w:ascii="Times New Roman" w:hAnsi="Times New Roman" w:eastAsia="仿宋_GB2312" w:cs="Times New Roman"/>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_Toc25177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（二）政府采购情况</w:t>
      </w:r>
      <w:r>
        <w:rPr>
          <w:rFonts w:hint="default" w:ascii="Times New Roman" w:hAnsi="Times New Roman" w:eastAsia="仿宋_GB2312" w:cs="Times New Roman"/>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_Toc31294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（三）国有资产占用情况说明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_Toc17664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十</w:t>
      </w:r>
      <w:r>
        <w:rPr>
          <w:rFonts w:hint="default" w:ascii="Times New Roman" w:hAnsi="Times New Roman" w:eastAsia="仿宋_GB2312" w:cs="Times New Roman"/>
          <w:bCs/>
          <w:kern w:val="0"/>
          <w:sz w:val="32"/>
          <w:szCs w:val="32"/>
          <w:highlight w:val="none"/>
          <w:lang w:val="en-US" w:eastAsia="zh-CN"/>
        </w:rPr>
        <w:t>一</w:t>
      </w:r>
      <w:r>
        <w:rPr>
          <w:rFonts w:hint="default" w:ascii="Times New Roman" w:hAnsi="Times New Roman" w:eastAsia="仿宋_GB2312" w:cs="Times New Roman"/>
          <w:bCs/>
          <w:kern w:val="0"/>
          <w:sz w:val="32"/>
          <w:szCs w:val="32"/>
          <w:highlight w:val="none"/>
          <w:lang w:eastAsia="zh-CN"/>
        </w:rPr>
        <w:t>、预算绩效的情况说明</w:t>
      </w:r>
      <w:r>
        <w:rPr>
          <w:rFonts w:hint="default" w:ascii="Times New Roman" w:hAnsi="Times New Roman" w:eastAsia="仿宋_GB2312" w:cs="Times New Roman"/>
          <w:sz w:val="32"/>
          <w:szCs w:val="32"/>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_Toc30038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w:t>
      </w:r>
      <w:r>
        <w:rPr>
          <w:rFonts w:hint="default" w:ascii="Times New Roman" w:hAnsi="Times New Roman" w:eastAsia="仿宋_GB2312" w:cs="Times New Roman"/>
          <w:b/>
          <w:bCs/>
          <w:sz w:val="32"/>
          <w:szCs w:val="32"/>
          <w:highlight w:val="none"/>
          <w:lang w:val="en-US" w:eastAsia="zh-CN"/>
        </w:rPr>
        <w:t>三</w:t>
      </w:r>
      <w:r>
        <w:rPr>
          <w:rFonts w:hint="default" w:ascii="Times New Roman" w:hAnsi="Times New Roman" w:eastAsia="仿宋_GB2312" w:cs="Times New Roman"/>
          <w:b/>
          <w:bCs/>
          <w:sz w:val="32"/>
          <w:szCs w:val="32"/>
          <w:highlight w:val="none"/>
        </w:rPr>
        <w:t>部分 专业名词解释</w:t>
      </w:r>
      <w:r>
        <w:rPr>
          <w:rFonts w:hint="default" w:ascii="Times New Roman" w:hAnsi="Times New Roman" w:eastAsia="仿宋_GB2312" w:cs="Times New Roman"/>
          <w:b/>
          <w:bCs/>
          <w:sz w:val="32"/>
          <w:szCs w:val="32"/>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_Toc6831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第四部分 部门决算报表（见附表）</w:t>
      </w:r>
      <w:r>
        <w:rPr>
          <w:rFonts w:hint="default" w:ascii="Times New Roman" w:hAnsi="Times New Roman" w:eastAsia="仿宋_GB2312" w:cs="Times New Roman"/>
          <w:b/>
          <w:bCs/>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_Toc3845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一、《收入支出决算总表》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_Toc11927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二、《收入决算表》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_Toc7443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三、《支出决算表》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_Toc24884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四、《财政拨款收入支出决算总表》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_Toc16518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五、《一般公共预算财政拨款支出决算表》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_Toc20514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六、《一般公共预算财政拨款基本支出决算表》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_Toc18055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七、《政府性基金预算财政拨款收入支出决算表》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_Toc10719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八、《</w:t>
      </w:r>
      <w:r>
        <w:rPr>
          <w:rFonts w:hint="default" w:ascii="Times New Roman" w:hAnsi="Times New Roman" w:eastAsia="仿宋_GB2312" w:cs="Times New Roman"/>
          <w:bCs/>
          <w:kern w:val="0"/>
          <w:sz w:val="32"/>
          <w:szCs w:val="32"/>
          <w:highlight w:val="none"/>
          <w:lang w:eastAsia="zh-CN"/>
        </w:rPr>
        <w:t>国有资本经营</w:t>
      </w:r>
      <w:r>
        <w:rPr>
          <w:rFonts w:hint="default" w:ascii="Times New Roman" w:hAnsi="Times New Roman" w:eastAsia="仿宋_GB2312" w:cs="Times New Roman"/>
          <w:bCs/>
          <w:kern w:val="0"/>
          <w:sz w:val="32"/>
          <w:szCs w:val="32"/>
          <w:highlight w:val="none"/>
        </w:rPr>
        <w:t>预算财政拨款收入支出决算表》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_Toc18861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九</w:t>
      </w:r>
      <w:r>
        <w:rPr>
          <w:rFonts w:hint="default" w:ascii="Times New Roman" w:hAnsi="Times New Roman" w:eastAsia="仿宋_GB2312" w:cs="Times New Roman"/>
          <w:bCs/>
          <w:kern w:val="0"/>
          <w:sz w:val="32"/>
          <w:szCs w:val="32"/>
          <w:highlight w:val="none"/>
        </w:rPr>
        <w:t>、《财政拨款“三公”经费支出决算表》</w:t>
      </w:r>
      <w:r>
        <w:rPr>
          <w:rFonts w:hint="default" w:ascii="Times New Roman" w:hAnsi="Times New Roman" w:eastAsia="仿宋_GB2312" w:cs="Times New Roman"/>
          <w:sz w:val="32"/>
          <w:szCs w:val="32"/>
          <w:highlight w:val="none"/>
        </w:rPr>
        <w:fldChar w:fldCharType="end"/>
      </w:r>
    </w:p>
    <w:p>
      <w:pPr>
        <w:widowControl/>
        <w:spacing w:before="0" w:beforeLines="0" w:beforeAutospacing="0" w:after="0" w:afterLines="0" w:afterAutospacing="0" w:line="240" w:lineRule="auto"/>
        <w:jc w:val="center"/>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end"/>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br w:type="page"/>
      </w:r>
    </w:p>
    <w:p>
      <w:pPr>
        <w:widowControl/>
        <w:spacing w:before="0" w:beforeLines="0" w:beforeAutospacing="0" w:after="0" w:afterLines="0" w:afterAutospacing="0" w:line="240" w:lineRule="auto"/>
        <w:jc w:val="center"/>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一、主要职能</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lang w:eastAsia="zh-CN"/>
        </w:rPr>
        <w:t>库尔勒市残疾人联合会是将残疾人自身代表组织、社会福利团体和事业管理机构融为一体的残疾人事业团体，履行“代表、服务、管理”残疾人职能，开展残疾人工作，包括残疾人的康复、教育、劳动就业、社会保障、扶贫、组织建设、信访维权、文化体育宣传等。（1）听取残疾人意见，反映残疾人需求， 维护残疾人的合法权益，为残疾人服务；（2）团结、教育残疾人遵纪守法，改造应尽的义务，发扬乐观进取精神，为社会主义建设贡献力量；（3）弘扬人道主义，宣传残疾人事业，沟通政府、社会与残疾人之间的联系，推动社会理解、 尊重、关心、帮助残疾人；（4）开展残疾人康复、教育、劳动就业、扶贫解困、 文化、体育、科研、用品用具供应、福利、社会服务、无障碍设施和残疾预防等工作，创造良好的环境和条件，扶助残疾人平等参与社会生活；（5）研究、拟定和实施残疾人事业的法规、政策、规划和计划，对相关业务进行指导与管理；（6）对乡镇（街道）残疾人联合会领导班子的调整配备提出建议或意见，做好残联干部的业务培训工作；（7）承担市残疾人工作委员会的日常工作；（8） 指导乡镇（街道）残疾人联合会的工作，管理各类残疾人社团组织；（9）开展残疾人事业的对外交流与合作；（10）承办市委、市政府和上级残联交办的其他工作。</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二、机构设置及人员情况</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lang w:eastAsia="zh-CN"/>
        </w:rPr>
        <w:t>库尔勒市残疾人联合会2024年度，实有人数18人，其中：在职人员10人，减少3人；离休人员0人，较上年无变化；退休人员8人，增加2人。</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cs="Times New Roman"/>
        </w:rPr>
      </w:pPr>
      <w:r>
        <w:rPr>
          <w:rFonts w:hint="default" w:ascii="Times New Roman" w:hAnsi="Times New Roman" w:eastAsia="仿宋_GB2312" w:cs="Times New Roman"/>
          <w:kern w:val="2"/>
          <w:sz w:val="32"/>
          <w:szCs w:val="32"/>
          <w:highlight w:val="none"/>
          <w:lang w:eastAsia="zh-CN"/>
        </w:rPr>
        <w:t xml:space="preserve">库尔勒市残疾人联合会无下属预算单位，下设 3 个科室，分别是：康复科、 教就科、办公室。 </w:t>
      </w:r>
      <w:r>
        <w:rPr>
          <w:rFonts w:hint="default" w:ascii="Times New Roman" w:hAnsi="Times New Roman" w:cs="Times New Roman"/>
          <w:b w:val="0"/>
          <w:sz w:val="0"/>
          <w:szCs w:val="0"/>
        </w:rPr>
        <w:br w:type="page"/>
      </w:r>
    </w:p>
    <w:p>
      <w:pPr>
        <w:widowControl/>
        <w:spacing w:before="0" w:beforeLines="0" w:beforeAutospacing="0" w:after="0" w:afterLines="0" w:afterAutospacing="0" w:line="240" w:lineRule="auto"/>
        <w:jc w:val="center"/>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一、收入支出决算总体情况说明</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lang w:eastAsia="zh-CN"/>
        </w:rPr>
        <w:t>2024年度收入总计1,063.68万元，其中：本年收入合计1,063.68万元，使用非财政拨款结余（含专用结余）0.00万元，年初结转和结余0.00万元。</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lang w:eastAsia="zh-CN"/>
        </w:rPr>
        <w:t>2024年度支出总计1,063.68万元，其中：本年支出合计1,063.68万元，结余分配0.00万元，年末结转和结余0.00万元。</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lang w:eastAsia="zh-CN"/>
        </w:rPr>
        <w:t>收入支出总体与上年相比，减少81.17万元，下降7.09%，主要原因是：2024年中央财政残疾人事业发展补助资金、2024年州本级残疾人事业发展补助资金等项目资金减少</w:t>
      </w:r>
      <w:r>
        <w:rPr>
          <w:rFonts w:hint="default" w:ascii="Times New Roman" w:hAnsi="Times New Roman" w:eastAsia="仿宋_GB2312" w:cs="Times New Roman"/>
          <w:kern w:val="2"/>
          <w:sz w:val="32"/>
          <w:szCs w:val="32"/>
          <w:highlight w:val="none"/>
          <w:lang w:val="en-US" w:eastAsia="zh-CN"/>
        </w:rPr>
        <w:t>,导致</w:t>
      </w:r>
      <w:r>
        <w:rPr>
          <w:rFonts w:hint="default" w:ascii="Times New Roman" w:hAnsi="Times New Roman" w:eastAsia="仿宋_GB2312" w:cs="Times New Roman"/>
          <w:kern w:val="2"/>
          <w:sz w:val="32"/>
          <w:szCs w:val="32"/>
          <w:highlight w:val="none"/>
          <w:lang w:eastAsia="zh-CN"/>
        </w:rPr>
        <w:t>收入支出总体与上年相比</w:t>
      </w:r>
      <w:r>
        <w:rPr>
          <w:rFonts w:hint="default" w:ascii="Times New Roman" w:hAnsi="Times New Roman" w:eastAsia="仿宋_GB2312" w:cs="Times New Roman"/>
          <w:kern w:val="2"/>
          <w:sz w:val="32"/>
          <w:szCs w:val="32"/>
          <w:highlight w:val="none"/>
          <w:lang w:val="en-US" w:eastAsia="zh-CN"/>
        </w:rPr>
        <w:t>减少</w:t>
      </w:r>
      <w:r>
        <w:rPr>
          <w:rFonts w:hint="default" w:ascii="Times New Roman" w:hAnsi="Times New Roman" w:eastAsia="仿宋_GB2312" w:cs="Times New Roman"/>
          <w:kern w:val="2"/>
          <w:sz w:val="32"/>
          <w:szCs w:val="32"/>
          <w:highlight w:val="none"/>
          <w:lang w:eastAsia="zh-CN"/>
        </w:rPr>
        <w:t>。</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二、收入决算情况说明</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lang w:eastAsia="zh-CN"/>
        </w:rPr>
        <w:t>本年收入1,063.68万元，其中：财政拨款收入1,063.68万元,占100.00%；上级补助收入0.00万元,占0.00%；事业收入0.00万元，占0.00%；经营收入0.00万元,占0.00%；附属单位上缴收入0.00万元，占0.00%；其他收入0.00万元，占0.00%。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三、支出决算情况说明</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lang w:eastAsia="zh-CN"/>
        </w:rPr>
        <w:t>本年支出1,063.68万元，其中：基本支出366.52万元，占34.46%；项目支出697.16万元，占65.54%；上缴上级支出0.00万元，占0.00%；经营支出0.00万元，占0.00%；对附属单位补助支出0.00万元，占0.00%。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四、财政拨款收入支出决算总体情况说明</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lang w:eastAsia="zh-CN"/>
        </w:rPr>
        <w:t>2024年度财政拨款收入总计1,063.68万元，其中：年初财政拨款结转和结余0.00万元，本年财政拨款收入1,063.68万元。财政拨款支出总计1,063.68万元，其中：年末财政拨款结转和结余0.00万元，本年财政拨款支出1,063.68万元。</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lang w:eastAsia="zh-CN"/>
        </w:rPr>
        <w:t>财政拨款收入支出总体与上年相比，减少81.17万元，下降7.09%，主要原因是：2024年中央财政残疾人事业发展补助资金、2024年州本级残疾人事业发展补助资金等项目资金减少</w:t>
      </w:r>
      <w:r>
        <w:rPr>
          <w:rFonts w:hint="default" w:ascii="Times New Roman" w:hAnsi="Times New Roman" w:eastAsia="仿宋_GB2312" w:cs="Times New Roman"/>
          <w:kern w:val="2"/>
          <w:sz w:val="32"/>
          <w:szCs w:val="32"/>
          <w:highlight w:val="none"/>
          <w:lang w:val="en-US" w:eastAsia="zh-CN"/>
        </w:rPr>
        <w:t>,导致</w:t>
      </w:r>
      <w:r>
        <w:rPr>
          <w:rFonts w:hint="default" w:ascii="Times New Roman" w:hAnsi="Times New Roman" w:eastAsia="仿宋_GB2312" w:cs="Times New Roman"/>
          <w:kern w:val="2"/>
          <w:sz w:val="32"/>
          <w:szCs w:val="32"/>
          <w:highlight w:val="none"/>
          <w:lang w:eastAsia="zh-CN"/>
        </w:rPr>
        <w:t>财政拨款收入支出总体与上年相比</w:t>
      </w:r>
      <w:r>
        <w:rPr>
          <w:rFonts w:hint="default" w:ascii="Times New Roman" w:hAnsi="Times New Roman" w:eastAsia="仿宋_GB2312" w:cs="Times New Roman"/>
          <w:kern w:val="2"/>
          <w:sz w:val="32"/>
          <w:szCs w:val="32"/>
          <w:highlight w:val="none"/>
          <w:lang w:val="en-US" w:eastAsia="zh-CN"/>
        </w:rPr>
        <w:t>减少</w:t>
      </w:r>
      <w:r>
        <w:rPr>
          <w:rFonts w:hint="default" w:ascii="Times New Roman" w:hAnsi="Times New Roman" w:eastAsia="仿宋_GB2312" w:cs="Times New Roman"/>
          <w:kern w:val="2"/>
          <w:sz w:val="32"/>
          <w:szCs w:val="32"/>
          <w:highlight w:val="none"/>
          <w:lang w:eastAsia="zh-CN"/>
        </w:rPr>
        <w:t>。与年初预算相比，年初预算数1,048.48万元，决算数1,063.68万元，预决算差异率1.45%，主要原因是：人员工资增长，社保、公积金基数调增，人员经费增加。</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（一）一般公共预算财政拨款支出决算总体情况</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lang w:eastAsia="zh-CN"/>
        </w:rPr>
        <w:t>2024年度一般公共预算财政拨款支出645.00万元，占本年支出合计的60.64%。与上年相比，减少110.66万元，下降14.64%，主要原因是：2024年中央财政残疾人事业发展补助资金、2024年州本级残疾人事业发展补助资金等项目资金减少，</w:t>
      </w:r>
      <w:r>
        <w:rPr>
          <w:rFonts w:hint="default" w:ascii="Times New Roman" w:hAnsi="Times New Roman" w:eastAsia="仿宋_GB2312" w:cs="Times New Roman"/>
          <w:kern w:val="2"/>
          <w:sz w:val="32"/>
          <w:szCs w:val="32"/>
          <w:highlight w:val="none"/>
          <w:lang w:val="en-US" w:eastAsia="zh-CN"/>
        </w:rPr>
        <w:t>导致</w:t>
      </w:r>
      <w:r>
        <w:rPr>
          <w:rFonts w:hint="default" w:ascii="Times New Roman" w:hAnsi="Times New Roman" w:eastAsia="仿宋_GB2312" w:cs="Times New Roman"/>
          <w:kern w:val="2"/>
          <w:sz w:val="32"/>
          <w:szCs w:val="32"/>
          <w:highlight w:val="none"/>
          <w:lang w:eastAsia="zh-CN"/>
        </w:rPr>
        <w:t>一般公共预算财政拨款支出与上年相比减少。与年初预算相比，年初预算数767.41万元，决算数645.00万元，预决算差异率-15.95%，主要原因是：2024年中央财政残疾人事业发展补助资金、2024年州本级残疾人事业发展补助资金等项目资金减少，</w:t>
      </w:r>
      <w:r>
        <w:rPr>
          <w:rFonts w:hint="default" w:ascii="Times New Roman" w:hAnsi="Times New Roman" w:eastAsia="仿宋_GB2312" w:cs="Times New Roman"/>
          <w:kern w:val="2"/>
          <w:sz w:val="32"/>
          <w:szCs w:val="32"/>
          <w:highlight w:val="none"/>
          <w:lang w:val="en-US" w:eastAsia="zh-CN"/>
        </w:rPr>
        <w:t>导致预决算差异</w:t>
      </w:r>
      <w:r>
        <w:rPr>
          <w:rFonts w:hint="default" w:ascii="Times New Roman" w:hAnsi="Times New Roman" w:eastAsia="仿宋_GB2312" w:cs="Times New Roman"/>
          <w:kern w:val="2"/>
          <w:sz w:val="32"/>
          <w:szCs w:val="32"/>
          <w:highlight w:val="none"/>
          <w:lang w:eastAsia="zh-CN"/>
        </w:rPr>
        <w:t>。</w:t>
      </w:r>
    </w:p>
    <w:p>
      <w:pPr>
        <w:widowControl/>
        <w:spacing w:before="0" w:beforeLines="0" w:beforeAutospacing="0" w:after="0" w:afterLines="0" w:afterAutospacing="0" w:line="240" w:lineRule="auto"/>
        <w:ind w:firstLine="643" w:firstLineChars="200"/>
        <w:jc w:val="left"/>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（二）一般公共预算财政拨款支出决算结构情况</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lang w:eastAsia="zh-CN"/>
        </w:rPr>
        <w:t>教育支出（类）0.33万元，占0.05%。</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lang w:eastAsia="zh-CN"/>
        </w:rPr>
        <w:t>社会保障和就业支出（类）623.35万元，占96.64%。</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lang w:eastAsia="zh-CN"/>
        </w:rPr>
        <w:t>卫生健康支出（类）8.25万元，占1.28%。</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lang w:eastAsia="zh-CN"/>
        </w:rPr>
        <w:t>住房保障支出（类）13.07万元，占2.03%。</w:t>
      </w:r>
    </w:p>
    <w:p>
      <w:pPr>
        <w:widowControl/>
        <w:spacing w:before="0" w:beforeLines="0" w:beforeAutospacing="0" w:after="0" w:afterLines="0" w:afterAutospacing="0" w:line="240" w:lineRule="auto"/>
        <w:ind w:firstLine="643" w:firstLineChars="200"/>
        <w:jc w:val="left"/>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（三）一般公共预算财政拨款支出决算具体情况</w:t>
      </w:r>
    </w:p>
    <w:p>
      <w:pPr>
        <w:widowControl/>
        <w:numPr>
          <w:ilvl w:val="0"/>
          <w:numId w:val="1"/>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教育支出（类）进修及培训（款）培训支出（项）：支出决算数为0.33万元，比上年决算减少0.52万元，下降61.18%，主要原因是：</w:t>
      </w:r>
      <w:r>
        <w:rPr>
          <w:rFonts w:hint="default" w:ascii="Times New Roman" w:hAnsi="Times New Roman" w:eastAsia="仿宋_GB2312" w:cs="Times New Roman"/>
          <w:b w:val="0"/>
          <w:sz w:val="32"/>
          <w:szCs w:val="32"/>
          <w:lang w:val="en-US" w:eastAsia="zh-CN"/>
        </w:rPr>
        <w:t>本年外出培训减少，导致</w:t>
      </w:r>
      <w:r>
        <w:rPr>
          <w:rFonts w:hint="default" w:ascii="Times New Roman" w:hAnsi="Times New Roman" w:eastAsia="仿宋_GB2312" w:cs="Times New Roman"/>
          <w:b w:val="0"/>
          <w:sz w:val="32"/>
          <w:szCs w:val="32"/>
        </w:rPr>
        <w:t>培训支出</w:t>
      </w:r>
      <w:r>
        <w:rPr>
          <w:rFonts w:hint="default" w:ascii="Times New Roman" w:hAnsi="Times New Roman" w:eastAsia="仿宋_GB2312" w:cs="Times New Roman"/>
          <w:b w:val="0"/>
          <w:sz w:val="32"/>
          <w:szCs w:val="32"/>
          <w:lang w:val="en-US" w:eastAsia="zh-CN"/>
        </w:rPr>
        <w:t>减少。</w:t>
      </w:r>
    </w:p>
    <w:p>
      <w:pPr>
        <w:widowControl/>
        <w:numPr>
          <w:ilvl w:val="0"/>
          <w:numId w:val="1"/>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社会保障和就业支出（类）行政事业单位养老支出（款）行政单位离退休（项）：支出决算数为5.51万元，比上年决算增加2.67万元，增长94.01%，主要原因是：</w:t>
      </w:r>
      <w:r>
        <w:rPr>
          <w:rFonts w:hint="default" w:ascii="Times New Roman" w:hAnsi="Times New Roman" w:eastAsia="仿宋_GB2312" w:cs="Times New Roman"/>
          <w:b w:val="0"/>
          <w:sz w:val="32"/>
          <w:szCs w:val="32"/>
          <w:lang w:val="en-US" w:eastAsia="zh-CN"/>
        </w:rPr>
        <w:t>本年度退休人员绩效增加以及在职转退休2人，导致本年行政单位离退休增加。</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lang w:val="en-US" w:eastAsia="zh-CN"/>
        </w:rPr>
        <w:t>3.</w:t>
      </w:r>
      <w:r>
        <w:rPr>
          <w:rFonts w:hint="default" w:ascii="Times New Roman" w:hAnsi="Times New Roman" w:eastAsia="仿宋_GB2312" w:cs="Times New Roman"/>
          <w:b w:val="0"/>
          <w:sz w:val="32"/>
          <w:szCs w:val="32"/>
        </w:rPr>
        <w:t>社会保障和就业支出（类）行政事业单位养老支出（款）机关事业单位基本养老保险缴费支出（项）：支出决算数为16.25万元，比上年决算减少2.83万元，下降14.83%，主要原因是：在职转退休2人，调走1人</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人员减少，</w:t>
      </w:r>
      <w:r>
        <w:rPr>
          <w:rFonts w:hint="default" w:ascii="Times New Roman" w:hAnsi="Times New Roman" w:eastAsia="仿宋_GB2312" w:cs="Times New Roman"/>
          <w:b w:val="0"/>
          <w:sz w:val="32"/>
          <w:szCs w:val="32"/>
          <w:lang w:val="en-US" w:eastAsia="zh-CN"/>
        </w:rPr>
        <w:t>导致</w:t>
      </w:r>
      <w:r>
        <w:rPr>
          <w:rFonts w:hint="default" w:ascii="Times New Roman" w:hAnsi="Times New Roman" w:eastAsia="仿宋_GB2312" w:cs="Times New Roman"/>
          <w:b w:val="0"/>
          <w:sz w:val="32"/>
          <w:szCs w:val="32"/>
        </w:rPr>
        <w:t>机关事业单位基本养老保险缴费支出</w:t>
      </w:r>
      <w:r>
        <w:rPr>
          <w:rFonts w:hint="default" w:ascii="Times New Roman" w:hAnsi="Times New Roman" w:eastAsia="仿宋_GB2312" w:cs="Times New Roman"/>
          <w:b w:val="0"/>
          <w:sz w:val="32"/>
          <w:szCs w:val="32"/>
          <w:lang w:val="en-US" w:eastAsia="zh-CN"/>
        </w:rPr>
        <w:t>数</w:t>
      </w:r>
      <w:r>
        <w:rPr>
          <w:rFonts w:hint="default" w:ascii="Times New Roman" w:hAnsi="Times New Roman" w:eastAsia="仿宋_GB2312" w:cs="Times New Roman"/>
          <w:b w:val="0"/>
          <w:sz w:val="32"/>
          <w:szCs w:val="32"/>
        </w:rPr>
        <w:t>比上年决算减少</w:t>
      </w:r>
      <w:r>
        <w:rPr>
          <w:rFonts w:hint="default" w:ascii="Times New Roman" w:hAnsi="Times New Roman" w:eastAsia="仿宋_GB2312" w:cs="Times New Roman"/>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lang w:val="en-US" w:eastAsia="zh-CN"/>
        </w:rPr>
        <w:t>4.</w:t>
      </w:r>
      <w:r>
        <w:rPr>
          <w:rFonts w:hint="default" w:ascii="Times New Roman" w:hAnsi="Times New Roman" w:eastAsia="仿宋_GB2312" w:cs="Times New Roman"/>
          <w:b w:val="0"/>
          <w:sz w:val="32"/>
          <w:szCs w:val="32"/>
        </w:rPr>
        <w:t>社会保障和就业支出（类）行政事业单位养老支出（款）机关事业单位职业年金缴费支出（项）：支出决算数为6.97万元，比上年决算增加0.18万元，增长2.65%，主要原因是：</w:t>
      </w:r>
      <w:r>
        <w:rPr>
          <w:rFonts w:hint="default" w:ascii="Times New Roman" w:hAnsi="Times New Roman" w:eastAsia="仿宋_GB2312" w:cs="Times New Roman"/>
          <w:b w:val="0"/>
          <w:sz w:val="32"/>
          <w:szCs w:val="32"/>
          <w:lang w:val="en-US" w:eastAsia="zh-CN"/>
        </w:rPr>
        <w:t>本年在职转退休2人，人员缴费基数高，导致</w:t>
      </w:r>
      <w:r>
        <w:rPr>
          <w:rFonts w:hint="default" w:ascii="Times New Roman" w:hAnsi="Times New Roman" w:eastAsia="仿宋_GB2312" w:cs="Times New Roman"/>
          <w:b w:val="0"/>
          <w:sz w:val="32"/>
          <w:szCs w:val="32"/>
        </w:rPr>
        <w:t>机关事业单位职业年金缴费支出</w:t>
      </w:r>
      <w:r>
        <w:rPr>
          <w:rFonts w:hint="default" w:ascii="Times New Roman" w:hAnsi="Times New Roman" w:eastAsia="仿宋_GB2312" w:cs="Times New Roman"/>
          <w:b w:val="0"/>
          <w:sz w:val="32"/>
          <w:szCs w:val="32"/>
          <w:lang w:val="en-US" w:eastAsia="zh-CN"/>
        </w:rPr>
        <w:t>数</w:t>
      </w:r>
      <w:r>
        <w:rPr>
          <w:rFonts w:hint="default" w:ascii="Times New Roman" w:hAnsi="Times New Roman" w:eastAsia="仿宋_GB2312" w:cs="Times New Roman"/>
          <w:b w:val="0"/>
          <w:sz w:val="32"/>
          <w:szCs w:val="32"/>
        </w:rPr>
        <w:t>比上年决算增加</w:t>
      </w:r>
      <w:r>
        <w:rPr>
          <w:rFonts w:hint="default" w:ascii="Times New Roman" w:hAnsi="Times New Roman" w:eastAsia="仿宋_GB2312" w:cs="Times New Roman"/>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lang w:val="en-US" w:eastAsia="zh-CN"/>
        </w:rPr>
        <w:t>5.</w:t>
      </w:r>
      <w:r>
        <w:rPr>
          <w:rFonts w:hint="default" w:ascii="Times New Roman" w:hAnsi="Times New Roman" w:eastAsia="仿宋_GB2312" w:cs="Times New Roman"/>
          <w:b w:val="0"/>
          <w:sz w:val="32"/>
          <w:szCs w:val="32"/>
        </w:rPr>
        <w:t>社会保障和就业支出（类）就业补助（款）公益性岗位补贴（项）：支出决算数为0.00万元，比上年决算减少204.70万元，下降100.00%，主要原因是：</w:t>
      </w:r>
      <w:r>
        <w:rPr>
          <w:rFonts w:hint="default" w:ascii="Times New Roman" w:hAnsi="Times New Roman" w:eastAsia="仿宋_GB2312" w:cs="Times New Roman"/>
          <w:b w:val="0"/>
          <w:sz w:val="32"/>
          <w:szCs w:val="32"/>
          <w:lang w:val="en-US" w:eastAsia="zh-CN"/>
        </w:rPr>
        <w:t>功能科目调整，本年</w:t>
      </w:r>
      <w:r>
        <w:rPr>
          <w:rFonts w:hint="default" w:ascii="Times New Roman" w:hAnsi="Times New Roman" w:eastAsia="仿宋_GB2312" w:cs="Times New Roman"/>
          <w:b w:val="0"/>
          <w:sz w:val="32"/>
          <w:szCs w:val="32"/>
        </w:rPr>
        <w:t>公益性岗位补贴</w:t>
      </w:r>
      <w:r>
        <w:rPr>
          <w:rFonts w:hint="default" w:ascii="Times New Roman" w:hAnsi="Times New Roman" w:eastAsia="仿宋_GB2312" w:cs="Times New Roman"/>
          <w:b w:val="0"/>
          <w:sz w:val="32"/>
          <w:szCs w:val="32"/>
          <w:lang w:val="en-US" w:eastAsia="zh-CN"/>
        </w:rPr>
        <w:t>于</w:t>
      </w:r>
      <w:r>
        <w:rPr>
          <w:rFonts w:hint="default" w:ascii="Times New Roman" w:hAnsi="Times New Roman" w:eastAsia="仿宋_GB2312" w:cs="Times New Roman"/>
          <w:b w:val="0"/>
          <w:sz w:val="32"/>
          <w:szCs w:val="32"/>
        </w:rPr>
        <w:t>行政运行</w:t>
      </w:r>
      <w:r>
        <w:rPr>
          <w:rFonts w:hint="default" w:ascii="Times New Roman" w:hAnsi="Times New Roman" w:eastAsia="仿宋_GB2312" w:cs="Times New Roman"/>
          <w:b w:val="0"/>
          <w:sz w:val="32"/>
          <w:szCs w:val="32"/>
          <w:lang w:val="en-US" w:eastAsia="zh-CN"/>
        </w:rPr>
        <w:t>列支，导致</w:t>
      </w:r>
      <w:r>
        <w:rPr>
          <w:rFonts w:hint="default" w:ascii="Times New Roman" w:hAnsi="Times New Roman" w:eastAsia="仿宋_GB2312" w:cs="Times New Roman"/>
          <w:b w:val="0"/>
          <w:sz w:val="32"/>
          <w:szCs w:val="32"/>
        </w:rPr>
        <w:t>公益性岗位补贴支出决算数比上年决算减少</w:t>
      </w:r>
      <w:r>
        <w:rPr>
          <w:rFonts w:hint="default" w:ascii="Times New Roman" w:hAnsi="Times New Roman" w:eastAsia="仿宋_GB2312" w:cs="Times New Roman"/>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lang w:val="en-US" w:eastAsia="zh-CN"/>
        </w:rPr>
        <w:t>6.</w:t>
      </w:r>
      <w:r>
        <w:rPr>
          <w:rFonts w:hint="default" w:ascii="Times New Roman" w:hAnsi="Times New Roman" w:eastAsia="仿宋_GB2312" w:cs="Times New Roman"/>
          <w:b w:val="0"/>
          <w:sz w:val="32"/>
          <w:szCs w:val="32"/>
        </w:rPr>
        <w:t>社会保障和就业支出（类）残疾人事业（款）行政运行（项）：支出决算数为316.14万元，比上年决算增加145.32万元，增长85.07%，主要原因是：</w:t>
      </w:r>
      <w:r>
        <w:rPr>
          <w:rFonts w:hint="default" w:ascii="Times New Roman" w:hAnsi="Times New Roman" w:eastAsia="仿宋_GB2312" w:cs="Times New Roman"/>
          <w:b w:val="0"/>
          <w:sz w:val="32"/>
          <w:szCs w:val="32"/>
          <w:lang w:val="en-US" w:eastAsia="zh-CN"/>
        </w:rPr>
        <w:t>功能科目调整，本年</w:t>
      </w:r>
      <w:r>
        <w:rPr>
          <w:rFonts w:hint="default" w:ascii="Times New Roman" w:hAnsi="Times New Roman" w:eastAsia="仿宋_GB2312" w:cs="Times New Roman"/>
          <w:b w:val="0"/>
          <w:sz w:val="32"/>
          <w:szCs w:val="32"/>
        </w:rPr>
        <w:t>公益性岗位补贴</w:t>
      </w:r>
      <w:r>
        <w:rPr>
          <w:rFonts w:hint="default" w:ascii="Times New Roman" w:hAnsi="Times New Roman" w:eastAsia="仿宋_GB2312" w:cs="Times New Roman"/>
          <w:b w:val="0"/>
          <w:sz w:val="32"/>
          <w:szCs w:val="32"/>
          <w:lang w:val="en-US" w:eastAsia="zh-CN"/>
        </w:rPr>
        <w:t>于</w:t>
      </w:r>
      <w:r>
        <w:rPr>
          <w:rFonts w:hint="default" w:ascii="Times New Roman" w:hAnsi="Times New Roman" w:eastAsia="仿宋_GB2312" w:cs="Times New Roman"/>
          <w:b w:val="0"/>
          <w:sz w:val="32"/>
          <w:szCs w:val="32"/>
        </w:rPr>
        <w:t>行政运行</w:t>
      </w:r>
      <w:r>
        <w:rPr>
          <w:rFonts w:hint="default" w:ascii="Times New Roman" w:hAnsi="Times New Roman" w:eastAsia="仿宋_GB2312" w:cs="Times New Roman"/>
          <w:b w:val="0"/>
          <w:sz w:val="32"/>
          <w:szCs w:val="32"/>
          <w:lang w:val="en-US" w:eastAsia="zh-CN"/>
        </w:rPr>
        <w:t>列支，导致</w:t>
      </w:r>
      <w:r>
        <w:rPr>
          <w:rFonts w:hint="default" w:ascii="Times New Roman" w:hAnsi="Times New Roman" w:eastAsia="仿宋_GB2312" w:cs="Times New Roman"/>
          <w:b w:val="0"/>
          <w:sz w:val="32"/>
          <w:szCs w:val="32"/>
        </w:rPr>
        <w:t>行政运行支出决算数比上年决算</w:t>
      </w:r>
      <w:r>
        <w:rPr>
          <w:rFonts w:hint="default" w:ascii="Times New Roman" w:hAnsi="Times New Roman" w:eastAsia="仿宋_GB2312" w:cs="Times New Roman"/>
          <w:b w:val="0"/>
          <w:sz w:val="32"/>
          <w:szCs w:val="32"/>
          <w:lang w:val="en-US" w:eastAsia="zh-CN"/>
        </w:rPr>
        <w:t>增加</w:t>
      </w:r>
      <w:r>
        <w:rPr>
          <w:rFonts w:hint="default" w:ascii="Times New Roman" w:hAnsi="Times New Roman" w:eastAsia="仿宋_GB2312" w:cs="Times New Roman"/>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lang w:val="en-US" w:eastAsia="zh-CN"/>
        </w:rPr>
        <w:t>7.</w:t>
      </w:r>
      <w:r>
        <w:rPr>
          <w:rFonts w:hint="default" w:ascii="Times New Roman" w:hAnsi="Times New Roman" w:eastAsia="仿宋_GB2312" w:cs="Times New Roman"/>
          <w:b w:val="0"/>
          <w:sz w:val="32"/>
          <w:szCs w:val="32"/>
        </w:rPr>
        <w:t>社会保障和就业支出（类）残疾人事业（款）残疾人康复（项）：支出决算数为44.98万元，比上年决算增加11.14万元，增长32.92%，主要原因是：</w:t>
      </w:r>
      <w:r>
        <w:rPr>
          <w:rFonts w:hint="default" w:ascii="Times New Roman" w:hAnsi="Times New Roman" w:eastAsia="仿宋_GB2312" w:cs="Times New Roman"/>
          <w:b w:val="0"/>
          <w:sz w:val="32"/>
          <w:szCs w:val="32"/>
          <w:lang w:val="en-US" w:eastAsia="zh-CN"/>
        </w:rPr>
        <w:t>本年增加了中央财政残疾人事业发展补助资金，导致</w:t>
      </w:r>
      <w:r>
        <w:rPr>
          <w:rFonts w:hint="default" w:ascii="Times New Roman" w:hAnsi="Times New Roman" w:eastAsia="仿宋_GB2312" w:cs="Times New Roman"/>
          <w:b w:val="0"/>
          <w:sz w:val="32"/>
          <w:szCs w:val="32"/>
        </w:rPr>
        <w:t>残疾人康复支出决算数比上年决算增加</w:t>
      </w:r>
      <w:r>
        <w:rPr>
          <w:rFonts w:hint="default" w:ascii="Times New Roman" w:hAnsi="Times New Roman" w:eastAsia="仿宋_GB2312" w:cs="Times New Roman"/>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lang w:val="en-US" w:eastAsia="zh-CN"/>
        </w:rPr>
        <w:t>8.</w:t>
      </w:r>
      <w:r>
        <w:rPr>
          <w:rFonts w:hint="default" w:ascii="Times New Roman" w:hAnsi="Times New Roman" w:eastAsia="仿宋_GB2312" w:cs="Times New Roman"/>
          <w:b w:val="0"/>
          <w:sz w:val="32"/>
          <w:szCs w:val="32"/>
        </w:rPr>
        <w:t>社会保障和就业支出（类）残疾人事业（款）其他残疾人事业支出（项）：支出决算数为233.50万元，比上年决算减少57.11万元，下降19.65%，主要原因是：2024年中央财政残疾人事业发展补助资金、2024年州本级残疾人事业发展补助资金等项目资金减少</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lang w:val="en-US" w:eastAsia="zh-CN"/>
        </w:rPr>
        <w:t>导致</w:t>
      </w:r>
      <w:r>
        <w:rPr>
          <w:rFonts w:hint="default" w:ascii="Times New Roman" w:hAnsi="Times New Roman" w:eastAsia="仿宋_GB2312" w:cs="Times New Roman"/>
          <w:b w:val="0"/>
          <w:sz w:val="32"/>
          <w:szCs w:val="32"/>
        </w:rPr>
        <w:t>其他残疾人事业支出</w:t>
      </w:r>
      <w:r>
        <w:rPr>
          <w:rFonts w:hint="default" w:ascii="Times New Roman" w:hAnsi="Times New Roman" w:eastAsia="仿宋_GB2312" w:cs="Times New Roman"/>
          <w:b w:val="0"/>
          <w:sz w:val="32"/>
          <w:szCs w:val="32"/>
          <w:lang w:val="en-US" w:eastAsia="zh-CN"/>
        </w:rPr>
        <w:t>数</w:t>
      </w:r>
      <w:r>
        <w:rPr>
          <w:rFonts w:hint="default" w:ascii="Times New Roman" w:hAnsi="Times New Roman" w:eastAsia="仿宋_GB2312" w:cs="Times New Roman"/>
          <w:b w:val="0"/>
          <w:sz w:val="32"/>
          <w:szCs w:val="32"/>
        </w:rPr>
        <w:t>比上年决算减少</w:t>
      </w:r>
      <w:r>
        <w:rPr>
          <w:rFonts w:hint="default" w:ascii="Times New Roman" w:hAnsi="Times New Roman" w:eastAsia="仿宋_GB2312" w:cs="Times New Roman"/>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lang w:val="en-US" w:eastAsia="zh-CN"/>
        </w:rPr>
        <w:t>9.</w:t>
      </w:r>
      <w:r>
        <w:rPr>
          <w:rFonts w:hint="default" w:ascii="Times New Roman" w:hAnsi="Times New Roman" w:eastAsia="仿宋_GB2312" w:cs="Times New Roman"/>
          <w:b w:val="0"/>
          <w:sz w:val="32"/>
          <w:szCs w:val="32"/>
        </w:rPr>
        <w:t>卫生健康支出（类）行政事业单位医疗（款）行政单位医疗（项）：支出决算数为7.53万元，比上年决算减少1.78万元，下降19.12%，主要原因是：在职转退休2人，调走1人</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人员减少，</w:t>
      </w:r>
      <w:r>
        <w:rPr>
          <w:rFonts w:hint="default" w:ascii="Times New Roman" w:hAnsi="Times New Roman" w:eastAsia="仿宋_GB2312" w:cs="Times New Roman"/>
          <w:b w:val="0"/>
          <w:sz w:val="32"/>
          <w:szCs w:val="32"/>
          <w:lang w:val="en-US" w:eastAsia="zh-CN"/>
        </w:rPr>
        <w:t>导致</w:t>
      </w:r>
      <w:r>
        <w:rPr>
          <w:rFonts w:hint="default" w:ascii="Times New Roman" w:hAnsi="Times New Roman" w:eastAsia="仿宋_GB2312" w:cs="Times New Roman"/>
          <w:b w:val="0"/>
          <w:sz w:val="32"/>
          <w:szCs w:val="32"/>
        </w:rPr>
        <w:t>行政单位医疗支出决算数比上年决算减少</w:t>
      </w:r>
      <w:r>
        <w:rPr>
          <w:rFonts w:hint="default" w:ascii="Times New Roman" w:hAnsi="Times New Roman" w:eastAsia="仿宋_GB2312" w:cs="Times New Roman"/>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lang w:val="en-US" w:eastAsia="zh-CN"/>
        </w:rPr>
        <w:t>10.</w:t>
      </w:r>
      <w:r>
        <w:rPr>
          <w:rFonts w:hint="default" w:ascii="Times New Roman" w:hAnsi="Times New Roman" w:eastAsia="仿宋_GB2312" w:cs="Times New Roman"/>
          <w:b w:val="0"/>
          <w:sz w:val="32"/>
          <w:szCs w:val="32"/>
        </w:rPr>
        <w:t>卫生健康支出（类）行政事业单位医疗（款）公务员医疗补助（项）：支出决算数为0.72万元，比上年决算减少0.74万元，下降50.68%，主要原因是：在职转退休2人，调走1人</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人员减少，</w:t>
      </w:r>
      <w:r>
        <w:rPr>
          <w:rFonts w:hint="default" w:ascii="Times New Roman" w:hAnsi="Times New Roman" w:eastAsia="仿宋_GB2312" w:cs="Times New Roman"/>
          <w:b w:val="0"/>
          <w:sz w:val="32"/>
          <w:szCs w:val="32"/>
          <w:lang w:val="en-US" w:eastAsia="zh-CN"/>
        </w:rPr>
        <w:t>导致</w:t>
      </w:r>
      <w:r>
        <w:rPr>
          <w:rFonts w:hint="default" w:ascii="Times New Roman" w:hAnsi="Times New Roman" w:eastAsia="仿宋_GB2312" w:cs="Times New Roman"/>
          <w:b w:val="0"/>
          <w:sz w:val="32"/>
          <w:szCs w:val="32"/>
        </w:rPr>
        <w:t>公务员医疗补助支出决算数比上年决算减少</w:t>
      </w:r>
      <w:r>
        <w:rPr>
          <w:rFonts w:hint="default" w:ascii="Times New Roman" w:hAnsi="Times New Roman" w:eastAsia="仿宋_GB2312" w:cs="Times New Roman"/>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lang w:val="en-US" w:eastAsia="zh-CN"/>
        </w:rPr>
        <w:t>11.</w:t>
      </w:r>
      <w:r>
        <w:rPr>
          <w:rFonts w:hint="default" w:ascii="Times New Roman" w:hAnsi="Times New Roman" w:eastAsia="仿宋_GB2312" w:cs="Times New Roman"/>
          <w:b w:val="0"/>
          <w:sz w:val="32"/>
          <w:szCs w:val="32"/>
        </w:rPr>
        <w:t>住房保障支出（类）住房改革支出（款）住房公积金（项）：支出决算数为13.07万元，比上年决算减少2.29万元，下降14.91%，主要原因是：在职转退休2人，调走1人</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人员减少，</w:t>
      </w:r>
      <w:r>
        <w:rPr>
          <w:rFonts w:hint="default" w:ascii="Times New Roman" w:hAnsi="Times New Roman" w:eastAsia="仿宋_GB2312" w:cs="Times New Roman"/>
          <w:b w:val="0"/>
          <w:sz w:val="32"/>
          <w:szCs w:val="32"/>
          <w:lang w:val="en-US" w:eastAsia="zh-CN"/>
        </w:rPr>
        <w:t>导致</w:t>
      </w:r>
      <w:r>
        <w:rPr>
          <w:rFonts w:hint="default" w:ascii="Times New Roman" w:hAnsi="Times New Roman" w:eastAsia="仿宋_GB2312" w:cs="Times New Roman"/>
          <w:b w:val="0"/>
          <w:sz w:val="32"/>
          <w:szCs w:val="32"/>
        </w:rPr>
        <w:t>住房公积金支出决算数比上年决算减少</w:t>
      </w:r>
      <w:r>
        <w:rPr>
          <w:rFonts w:hint="default" w:ascii="Times New Roman" w:hAnsi="Times New Roman" w:eastAsia="仿宋_GB2312" w:cs="Times New Roman"/>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一般公共预算财政拨款基本支出366.52万元，其中：人员经费358.62万元，包括：基本工资、津贴补贴、奖金、机关事业单位基本养老保险缴费、职业年金缴费、职工基本医疗保险缴费、公务员医疗补助缴费、其他社会保障缴费、住房公积金、其他工资福利支出和退休费。</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公用经费7.90万元，包括：办公费、电费、邮电费、差旅费、培训费、工会经费、福利费、公务用车运行维护费和其他交通费用。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2024年度政府性基金预算财政拨款收入总计418.68万元，其中：年初结转和结余0.00万元，本年收入418.68万元。政府性基金预算财政拨款支出总计418.68万元，其中：年末结转和结余0.00万元，本年支出418.68万元。</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政府性基金预算财政拨款收入支出总体与上年相比，增加29.49万元，增长7.58%，主要原因是：本年自治区残疾人事业发展补助资金拨款增加，导致政府性基金预算财政拨款收入支出总体与上年相比增加。与年初预算相比，年初预算数281.08万元，决算数418.68万元，预决算差异率48.95%，主要原因是：</w:t>
      </w:r>
      <w:r>
        <w:rPr>
          <w:rFonts w:hint="default" w:ascii="Times New Roman" w:hAnsi="Times New Roman" w:eastAsia="仿宋_GB2312" w:cs="Times New Roman"/>
          <w:b w:val="0"/>
          <w:sz w:val="32"/>
          <w:szCs w:val="32"/>
          <w:lang w:val="en-US" w:eastAsia="zh-CN"/>
        </w:rPr>
        <w:t>本年年中追加2024年中央专项彩票公益金支持地方社会公益事业发展资金、2024年中央财政残疾人事业发展补助资金，导致</w:t>
      </w:r>
      <w:r>
        <w:rPr>
          <w:rFonts w:hint="default" w:ascii="Times New Roman" w:hAnsi="Times New Roman" w:eastAsia="仿宋_GB2312" w:cs="Times New Roman"/>
          <w:b w:val="0"/>
          <w:sz w:val="32"/>
          <w:szCs w:val="32"/>
        </w:rPr>
        <w:t>预决算差异</w:t>
      </w:r>
      <w:r>
        <w:rPr>
          <w:rFonts w:hint="default" w:ascii="Times New Roman" w:hAnsi="Times New Roman" w:eastAsia="仿宋_GB2312" w:cs="Times New Roman"/>
          <w:b w:val="0"/>
          <w:sz w:val="32"/>
          <w:szCs w:val="32"/>
          <w:lang w:val="en-US" w:eastAsia="zh-CN"/>
        </w:rPr>
        <w:t>产生</w:t>
      </w:r>
      <w:r>
        <w:rPr>
          <w:rFonts w:hint="default" w:ascii="Times New Roman" w:hAnsi="Times New Roman" w:eastAsia="仿宋_GB2312" w:cs="Times New Roman"/>
          <w:b w:val="0"/>
          <w:sz w:val="32"/>
          <w:szCs w:val="32"/>
        </w:rPr>
        <w:t>。</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政府性基金预算财政拨款支出418.68万元。</w:t>
      </w:r>
    </w:p>
    <w:p>
      <w:pPr>
        <w:widowControl/>
        <w:numPr>
          <w:ilvl w:val="0"/>
          <w:numId w:val="2"/>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其他支出（类）彩票公益金安排的支出（款）用于残疾人事业的彩票公益金支出（项）：支出决算数为418.68万元，比上年决算增加29.49万元，增长7.58%，主要原因是：2024年自治区财政残疾人事业发展补助资金</w:t>
      </w:r>
      <w:r>
        <w:rPr>
          <w:rFonts w:hint="default" w:ascii="Times New Roman" w:hAnsi="Times New Roman" w:eastAsia="仿宋_GB2312" w:cs="Times New Roman"/>
          <w:b w:val="0"/>
          <w:sz w:val="32"/>
          <w:szCs w:val="32"/>
          <w:lang w:val="en-US" w:eastAsia="zh-CN"/>
        </w:rPr>
        <w:t>拨款增加，导致</w:t>
      </w:r>
      <w:r>
        <w:rPr>
          <w:rFonts w:hint="default" w:ascii="Times New Roman" w:hAnsi="Times New Roman" w:eastAsia="仿宋_GB2312" w:cs="Times New Roman"/>
          <w:b w:val="0"/>
          <w:sz w:val="32"/>
          <w:szCs w:val="32"/>
        </w:rPr>
        <w:t>用于残疾人事业的彩票公益金支出</w:t>
      </w:r>
      <w:r>
        <w:rPr>
          <w:rFonts w:hint="default" w:ascii="Times New Roman" w:hAnsi="Times New Roman" w:eastAsia="仿宋_GB2312" w:cs="Times New Roman"/>
          <w:b w:val="0"/>
          <w:sz w:val="32"/>
          <w:szCs w:val="32"/>
          <w:lang w:val="en-US" w:eastAsia="zh-CN"/>
        </w:rPr>
        <w:t>数</w:t>
      </w:r>
      <w:r>
        <w:rPr>
          <w:rFonts w:hint="default" w:ascii="Times New Roman" w:hAnsi="Times New Roman" w:eastAsia="仿宋_GB2312" w:cs="Times New Roman"/>
          <w:b w:val="0"/>
          <w:sz w:val="32"/>
          <w:szCs w:val="32"/>
        </w:rPr>
        <w:t>比上年决算增加</w:t>
      </w:r>
      <w:r>
        <w:rPr>
          <w:rFonts w:hint="default" w:ascii="Times New Roman" w:hAnsi="Times New Roman" w:eastAsia="仿宋_GB2312" w:cs="Times New Roman"/>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财政拨款“三公”经费支出0.80万元，与上年相比无变化。其中：因公出国（境）费支出0.00万元,占0.00%，与上年相比无变化；公务用车购置及运行维护费支出0.80万元，占100.00%，与上年相比无变化；公务接待费支出0.00万元，占0.00%，与上年相比无变化。</w:t>
      </w:r>
    </w:p>
    <w:p>
      <w:pPr>
        <w:widowControl/>
        <w:spacing w:before="0" w:beforeLines="0" w:beforeAutospacing="0" w:after="0" w:afterLines="0" w:afterAutospacing="0" w:line="240" w:lineRule="auto"/>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具体情况如下：</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因公出国（境）费支出0.00万元，</w:t>
      </w:r>
      <w:r>
        <w:rPr>
          <w:rFonts w:hint="default" w:ascii="Times New Roman" w:hAnsi="Times New Roman" w:eastAsia="仿宋_GB2312" w:cs="Times New Roman"/>
          <w:b w:val="0"/>
          <w:sz w:val="32"/>
          <w:szCs w:val="32"/>
          <w:lang w:val="en-US" w:eastAsia="zh-CN"/>
        </w:rPr>
        <w:t>无</w:t>
      </w:r>
      <w:r>
        <w:rPr>
          <w:rFonts w:hint="default" w:ascii="Times New Roman" w:hAnsi="Times New Roman" w:eastAsia="仿宋_GB2312" w:cs="Times New Roman"/>
          <w:b w:val="0"/>
          <w:sz w:val="32"/>
          <w:szCs w:val="32"/>
        </w:rPr>
        <w:t>开支内容。单位全年安排的因公出国（境）团组0个，因公出国（境）0人次。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公务用车购置及运行维护费0.80万元，其中：公务用车购置费0.00万元，公务用车运行维护费0.80万元。公务用车运行维护费开支内容包括</w:t>
      </w:r>
      <w:r>
        <w:rPr>
          <w:rFonts w:hint="default" w:ascii="Times New Roman" w:hAnsi="Times New Roman" w:eastAsia="仿宋_GB2312" w:cs="Times New Roman"/>
          <w:b w:val="0"/>
          <w:sz w:val="32"/>
          <w:szCs w:val="32"/>
          <w:lang w:val="en-US" w:eastAsia="zh-CN"/>
        </w:rPr>
        <w:t>车辆加油费、维修费、车辆检测费等</w:t>
      </w:r>
      <w:r>
        <w:rPr>
          <w:rFonts w:hint="default" w:ascii="Times New Roman" w:hAnsi="Times New Roman" w:eastAsia="仿宋_GB2312" w:cs="Times New Roman"/>
          <w:b w:val="0"/>
          <w:sz w:val="32"/>
          <w:szCs w:val="32"/>
        </w:rPr>
        <w:t>。公务用车购置数0辆，公务用车保有量3辆。国有资产占用情况中固定资产车辆3辆，与公务用车保有量</w:t>
      </w:r>
      <w:r>
        <w:rPr>
          <w:rFonts w:hint="default" w:ascii="Times New Roman" w:hAnsi="Times New Roman" w:eastAsia="仿宋_GB2312" w:cs="Times New Roman"/>
          <w:b w:val="0"/>
          <w:sz w:val="32"/>
          <w:szCs w:val="32"/>
          <w:lang w:val="en-US" w:eastAsia="zh-CN"/>
        </w:rPr>
        <w:t>无</w:t>
      </w:r>
      <w:r>
        <w:rPr>
          <w:rFonts w:hint="default" w:ascii="Times New Roman" w:hAnsi="Times New Roman" w:eastAsia="仿宋_GB2312" w:cs="Times New Roman"/>
          <w:b w:val="0"/>
          <w:sz w:val="32"/>
          <w:szCs w:val="32"/>
        </w:rPr>
        <w:t>差异。</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公务接待费0.00万元，</w:t>
      </w:r>
      <w:r>
        <w:rPr>
          <w:rFonts w:hint="default" w:ascii="Times New Roman" w:hAnsi="Times New Roman" w:eastAsia="仿宋_GB2312" w:cs="Times New Roman"/>
          <w:b w:val="0"/>
          <w:sz w:val="32"/>
          <w:szCs w:val="32"/>
          <w:lang w:val="en-US" w:eastAsia="zh-CN"/>
        </w:rPr>
        <w:t>无</w:t>
      </w:r>
      <w:r>
        <w:rPr>
          <w:rFonts w:hint="default" w:ascii="Times New Roman" w:hAnsi="Times New Roman" w:eastAsia="仿宋_GB2312" w:cs="Times New Roman"/>
          <w:b w:val="0"/>
          <w:sz w:val="32"/>
          <w:szCs w:val="32"/>
        </w:rPr>
        <w:t>开支内容。单位全年安排的国内公务接待0批次，0人次。</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与全年预算相比，财政拨款“三公”经费支出全年预算数0.80万元，决算数0.80万元，预决算差异率0.00%，</w:t>
      </w:r>
      <w:r>
        <w:rPr>
          <w:rFonts w:hint="default" w:ascii="Times New Roman" w:hAnsi="Times New Roman" w:eastAsia="仿宋_GB2312" w:cs="Times New Roman"/>
          <w:b w:val="0"/>
          <w:sz w:val="32"/>
          <w:szCs w:val="32"/>
          <w:lang w:val="en-US" w:eastAsia="zh-CN"/>
        </w:rPr>
        <w:t>与预决算相比无差异</w:t>
      </w:r>
      <w:r>
        <w:rPr>
          <w:rFonts w:hint="default" w:ascii="Times New Roman" w:hAnsi="Times New Roman" w:eastAsia="仿宋_GB2312" w:cs="Times New Roman"/>
          <w:b w:val="0"/>
          <w:sz w:val="32"/>
          <w:szCs w:val="32"/>
        </w:rPr>
        <w:t>。其中：因公出国（境）费全年预算数0.00万元，决算数0.00万元，预决算差异率0.00%，</w:t>
      </w:r>
      <w:r>
        <w:rPr>
          <w:rFonts w:hint="default" w:ascii="Times New Roman" w:hAnsi="Times New Roman" w:eastAsia="仿宋_GB2312" w:cs="Times New Roman"/>
          <w:b w:val="0"/>
          <w:sz w:val="32"/>
          <w:szCs w:val="32"/>
          <w:lang w:val="en-US" w:eastAsia="zh-CN"/>
        </w:rPr>
        <w:t>与预决算相比无差异</w:t>
      </w:r>
      <w:r>
        <w:rPr>
          <w:rFonts w:hint="default" w:ascii="Times New Roman" w:hAnsi="Times New Roman" w:eastAsia="仿宋_GB2312" w:cs="Times New Roman"/>
          <w:b w:val="0"/>
          <w:sz w:val="32"/>
          <w:szCs w:val="32"/>
        </w:rPr>
        <w:t>。公务用车购置费全年预算数0.00万元，决算数0.00万元，预决算差异率0.00%，</w:t>
      </w:r>
      <w:r>
        <w:rPr>
          <w:rFonts w:hint="default" w:ascii="Times New Roman" w:hAnsi="Times New Roman" w:eastAsia="仿宋_GB2312" w:cs="Times New Roman"/>
          <w:b w:val="0"/>
          <w:sz w:val="32"/>
          <w:szCs w:val="32"/>
          <w:lang w:val="en-US" w:eastAsia="zh-CN"/>
        </w:rPr>
        <w:t>与预决算相比无差异</w:t>
      </w:r>
      <w:r>
        <w:rPr>
          <w:rFonts w:hint="default" w:ascii="Times New Roman" w:hAnsi="Times New Roman" w:eastAsia="仿宋_GB2312" w:cs="Times New Roman"/>
          <w:b w:val="0"/>
          <w:sz w:val="32"/>
          <w:szCs w:val="32"/>
        </w:rPr>
        <w:t>。公务用车运行维护费全年预算数0.80万元，决算数0.80万元，预决算差异率0.00%，</w:t>
      </w:r>
      <w:r>
        <w:rPr>
          <w:rFonts w:hint="default" w:ascii="Times New Roman" w:hAnsi="Times New Roman" w:eastAsia="仿宋_GB2312" w:cs="Times New Roman"/>
          <w:b w:val="0"/>
          <w:sz w:val="32"/>
          <w:szCs w:val="32"/>
          <w:lang w:val="en-US" w:eastAsia="zh-CN"/>
        </w:rPr>
        <w:t>与预决算相比无差异</w:t>
      </w:r>
      <w:r>
        <w:rPr>
          <w:rFonts w:hint="default" w:ascii="Times New Roman" w:hAnsi="Times New Roman" w:eastAsia="仿宋_GB2312" w:cs="Times New Roman"/>
          <w:b w:val="0"/>
          <w:sz w:val="32"/>
          <w:szCs w:val="32"/>
        </w:rPr>
        <w:t>。公务接待费全年预算数0.00万元，决算数0.00万元，预决算差异率0.00%，</w:t>
      </w:r>
      <w:r>
        <w:rPr>
          <w:rFonts w:hint="default" w:ascii="Times New Roman" w:hAnsi="Times New Roman" w:eastAsia="仿宋_GB2312" w:cs="Times New Roman"/>
          <w:b w:val="0"/>
          <w:sz w:val="32"/>
          <w:szCs w:val="32"/>
          <w:lang w:val="en-US" w:eastAsia="zh-CN"/>
        </w:rPr>
        <w:t>与预决算相比无差异</w:t>
      </w:r>
      <w:r>
        <w:rPr>
          <w:rFonts w:hint="default" w:ascii="Times New Roman" w:hAnsi="Times New Roman" w:eastAsia="仿宋_GB2312" w:cs="Times New Roman"/>
          <w:b w:val="0"/>
          <w:sz w:val="32"/>
          <w:szCs w:val="32"/>
        </w:rPr>
        <w:t>。</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2024年度库尔勒市残疾人联合会部门机关运行经费支出7.90万元，比上年减少9.23万元，下降53.88%，主要原因是：人员变动，在职及公岗人员减少，导致机关运行经费支出减少。</w:t>
      </w:r>
    </w:p>
    <w:p>
      <w:pPr>
        <w:widowControl/>
        <w:spacing w:before="0" w:beforeLines="0" w:beforeAutospacing="0" w:after="0" w:afterLines="0" w:afterAutospacing="0" w:line="240" w:lineRule="auto"/>
        <w:ind w:firstLine="643" w:firstLineChars="200"/>
        <w:jc w:val="left"/>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（二）政府采购情况</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2024年度政府采购支出总额90.93万元，其中：政府采购货物支出6.15万元、政府采购工程支出0.00万元、政府采购服务支出84.78万元。</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授予中小企业合同金额90.42万元，占政府采购支出总额的99.44%，其中：授予小微企业合同金额90.42万元，占政府采购支出总额的99.44%。</w:t>
      </w:r>
    </w:p>
    <w:p>
      <w:pPr>
        <w:widowControl/>
        <w:spacing w:before="0" w:beforeLines="0" w:beforeAutospacing="0" w:after="0" w:afterLines="0" w:afterAutospacing="0" w:line="240" w:lineRule="auto"/>
        <w:ind w:firstLine="643" w:firstLineChars="200"/>
        <w:jc w:val="left"/>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（三）国有资产占用情况说明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截至2024年12月31日，房屋0.00平方米，价值0.00万元。车辆3辆，价值66.04万元，其中：副部（省）级及以上领导用车0辆、主要负责人用车0辆、机要通信用车0辆、应急保障用车0辆、执法执勤用车0辆、特种专业技术用车2辆、离退休干部服务用车0辆、其他用车1辆，其他用车主要是：</w:t>
      </w:r>
      <w:r>
        <w:rPr>
          <w:rFonts w:hint="default" w:ascii="Times New Roman" w:hAnsi="Times New Roman" w:eastAsia="仿宋_GB2312" w:cs="Times New Roman"/>
          <w:b w:val="0"/>
          <w:sz w:val="32"/>
          <w:szCs w:val="32"/>
          <w:lang w:val="en-US" w:eastAsia="zh-CN"/>
        </w:rPr>
        <w:t>公务用车1辆</w:t>
      </w:r>
      <w:r>
        <w:rPr>
          <w:rFonts w:hint="default" w:ascii="Times New Roman" w:hAnsi="Times New Roman" w:eastAsia="仿宋_GB2312" w:cs="Times New Roman"/>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根据预算绩效管理要求，本部门2024年度预算绩效管理形成整体支出绩效自评表1个，全年预算总额1063.68万元，实际执行总额1063.68万元；预算绩效评价项目</w:t>
      </w:r>
      <w:r>
        <w:rPr>
          <w:rFonts w:hint="default" w:ascii="Times New Roman" w:hAnsi="Times New Roman" w:eastAsia="仿宋_GB2312" w:cs="Times New Roman"/>
          <w:b w:val="0"/>
          <w:sz w:val="32"/>
          <w:szCs w:val="32"/>
          <w:lang w:val="en-US" w:eastAsia="zh-CN"/>
        </w:rPr>
        <w:t>7</w:t>
      </w:r>
      <w:r>
        <w:rPr>
          <w:rFonts w:hint="default" w:ascii="Times New Roman" w:hAnsi="Times New Roman" w:eastAsia="仿宋_GB2312" w:cs="Times New Roman"/>
          <w:b w:val="0"/>
          <w:sz w:val="32"/>
          <w:szCs w:val="32"/>
        </w:rPr>
        <w:t>个，全年预算数</w:t>
      </w:r>
      <w:r>
        <w:rPr>
          <w:rFonts w:hint="default" w:ascii="Times New Roman" w:hAnsi="Times New Roman" w:eastAsia="仿宋_GB2312" w:cs="Times New Roman"/>
          <w:b w:val="0"/>
          <w:sz w:val="32"/>
          <w:szCs w:val="32"/>
          <w:lang w:val="en-US" w:eastAsia="zh-CN"/>
        </w:rPr>
        <w:t>608.38</w:t>
      </w:r>
      <w:r>
        <w:rPr>
          <w:rFonts w:hint="default" w:ascii="Times New Roman" w:hAnsi="Times New Roman" w:eastAsia="仿宋_GB2312" w:cs="Times New Roman"/>
          <w:b w:val="0"/>
          <w:sz w:val="32"/>
          <w:szCs w:val="32"/>
        </w:rPr>
        <w:t>万元，全年执行数</w:t>
      </w:r>
      <w:r>
        <w:rPr>
          <w:rFonts w:hint="default" w:ascii="Times New Roman" w:hAnsi="Times New Roman" w:eastAsia="仿宋_GB2312" w:cs="Times New Roman"/>
          <w:b w:val="0"/>
          <w:sz w:val="32"/>
          <w:szCs w:val="32"/>
          <w:lang w:val="en-US" w:eastAsia="zh-CN"/>
        </w:rPr>
        <w:t>522.57</w:t>
      </w:r>
      <w:r>
        <w:rPr>
          <w:rFonts w:hint="default" w:ascii="Times New Roman" w:hAnsi="Times New Roman" w:eastAsia="仿宋_GB2312" w:cs="Times New Roman"/>
          <w:b w:val="0"/>
          <w:sz w:val="32"/>
          <w:szCs w:val="32"/>
        </w:rPr>
        <w:t>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对绩效目标偏差问题缺乏有效分析，从而导致填报的内容相对简单。二是在部门整体支出的资金安排和使用上仍有不可预见性，在经费支出科学化精细化管理上还有待加强。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本部门无其他需说明事项。</w:t>
      </w:r>
    </w:p>
    <w:p>
      <w:pPr>
        <w:widowControl/>
        <w:spacing w:before="0" w:beforeLines="0" w:beforeAutospacing="0" w:after="0" w:afterLines="0" w:afterAutospacing="0" w:line="240" w:lineRule="auto"/>
        <w:ind w:firstLine="640" w:firstLineChars="200"/>
        <w:jc w:val="left"/>
        <w:rPr>
          <w:rFonts w:hint="default" w:ascii="Times New Roman" w:hAnsi="Times New Roman" w:eastAsia="仿宋_GB2312" w:cs="Times New Roman"/>
          <w:sz w:val="32"/>
          <w:szCs w:val="32"/>
        </w:rPr>
      </w:pPr>
    </w:p>
    <w:p>
      <w:pPr>
        <w:widowControl/>
        <w:rPr>
          <w:rFonts w:hint="default" w:ascii="Times New Roman" w:hAnsi="Times New Roman" w:cs="Times New Roman"/>
        </w:rPr>
      </w:pPr>
      <w:r>
        <w:rPr>
          <w:rFonts w:hint="default" w:ascii="Times New Roman" w:hAnsi="Times New Roman" w:cs="Times New Roman"/>
          <w:b w:val="0"/>
          <w:sz w:val="0"/>
          <w:szCs w:val="0"/>
        </w:rPr>
        <w:br w:type="page"/>
      </w:r>
    </w:p>
    <w:p>
      <w:pPr>
        <w:widowControl/>
        <w:spacing w:before="0" w:beforeLines="0" w:beforeAutospacing="0" w:after="0" w:afterLines="0" w:afterAutospacing="0" w:line="240" w:lineRule="auto"/>
        <w:jc w:val="center"/>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一、财政拨款收入：</w:t>
      </w:r>
      <w:r>
        <w:rPr>
          <w:rFonts w:hint="default" w:ascii="Times New Roman" w:hAnsi="Times New Roman" w:eastAsia="仿宋_GB2312" w:cs="Times New Roman"/>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二、上级补助收入：</w:t>
      </w:r>
      <w:r>
        <w:rPr>
          <w:rFonts w:hint="default" w:ascii="Times New Roman" w:hAnsi="Times New Roman" w:eastAsia="仿宋_GB2312" w:cs="Times New Roman"/>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三、事业收入：</w:t>
      </w:r>
      <w:r>
        <w:rPr>
          <w:rFonts w:hint="default" w:ascii="Times New Roman" w:hAnsi="Times New Roman" w:eastAsia="仿宋_GB2312" w:cs="Times New Roman"/>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四、经营收入：</w:t>
      </w:r>
      <w:r>
        <w:rPr>
          <w:rFonts w:hint="default" w:ascii="Times New Roman" w:hAnsi="Times New Roman" w:eastAsia="仿宋_GB2312" w:cs="Times New Roman"/>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五、附属单位上缴收入：</w:t>
      </w:r>
      <w:r>
        <w:rPr>
          <w:rFonts w:hint="default" w:ascii="Times New Roman" w:hAnsi="Times New Roman" w:eastAsia="仿宋_GB2312" w:cs="Times New Roman"/>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六、其他收入：</w:t>
      </w:r>
      <w:r>
        <w:rPr>
          <w:rFonts w:hint="default" w:ascii="Times New Roman" w:hAnsi="Times New Roman" w:eastAsia="仿宋_GB2312" w:cs="Times New Roman"/>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七、年初结转和结余：</w:t>
      </w:r>
      <w:r>
        <w:rPr>
          <w:rFonts w:hint="default" w:ascii="Times New Roman" w:hAnsi="Times New Roman" w:eastAsia="仿宋_GB2312" w:cs="Times New Roman"/>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八、年末结转和结余：</w:t>
      </w:r>
      <w:r>
        <w:rPr>
          <w:rFonts w:hint="default" w:ascii="Times New Roman" w:hAnsi="Times New Roman" w:eastAsia="仿宋_GB2312" w:cs="Times New Roman"/>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九、基本支出：</w:t>
      </w:r>
      <w:r>
        <w:rPr>
          <w:rFonts w:hint="default" w:ascii="Times New Roman" w:hAnsi="Times New Roman" w:eastAsia="仿宋_GB2312" w:cs="Times New Roman"/>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十、项目支出：</w:t>
      </w:r>
      <w:r>
        <w:rPr>
          <w:rFonts w:hint="default" w:ascii="Times New Roman" w:hAnsi="Times New Roman" w:eastAsia="仿宋_GB2312" w:cs="Times New Roman"/>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十一、经营支出：</w:t>
      </w:r>
      <w:r>
        <w:rPr>
          <w:rFonts w:hint="default" w:ascii="Times New Roman" w:hAnsi="Times New Roman" w:eastAsia="仿宋_GB2312" w:cs="Times New Roman"/>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十二、对附属单位补助支出：</w:t>
      </w:r>
      <w:r>
        <w:rPr>
          <w:rFonts w:hint="default" w:ascii="Times New Roman" w:hAnsi="Times New Roman" w:eastAsia="仿宋_GB2312" w:cs="Times New Roman"/>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十三、“三公”经费：</w:t>
      </w:r>
      <w:r>
        <w:rPr>
          <w:rFonts w:hint="default" w:ascii="Times New Roman" w:hAnsi="Times New Roman" w:eastAsia="仿宋_GB2312" w:cs="Times New Roman"/>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十四、机关运行经费：</w:t>
      </w:r>
      <w:r>
        <w:rPr>
          <w:rFonts w:hint="default" w:ascii="Times New Roman" w:hAnsi="Times New Roman" w:eastAsia="仿宋_GB2312" w:cs="Times New Roman"/>
          <w:b w:val="0"/>
          <w:sz w:val="32"/>
          <w:szCs w:val="32"/>
        </w:rPr>
        <w:t>行政单位和参照公务员法管理的事业单位财政拨款基本支出中的公用经费支出。</w:t>
      </w:r>
    </w:p>
    <w:p>
      <w:pPr>
        <w:widowControl/>
        <w:rPr>
          <w:rFonts w:hint="default" w:ascii="Times New Roman" w:hAnsi="Times New Roman" w:cs="Times New Roman"/>
        </w:rPr>
      </w:pPr>
      <w:r>
        <w:rPr>
          <w:rFonts w:hint="default" w:ascii="Times New Roman" w:hAnsi="Times New Roman" w:cs="Times New Roman"/>
          <w:b w:val="0"/>
          <w:sz w:val="0"/>
          <w:szCs w:val="0"/>
        </w:rPr>
        <w:br w:type="page"/>
      </w:r>
    </w:p>
    <w:p>
      <w:pPr>
        <w:widowControl/>
        <w:spacing w:before="0" w:beforeLines="0" w:beforeAutospacing="0" w:after="0" w:afterLines="0" w:afterAutospacing="0" w:line="240" w:lineRule="auto"/>
        <w:jc w:val="center"/>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440" w:firstLineChars="200"/>
        <w:jc w:val="left"/>
        <w:outlineLvl w:val="1"/>
        <w:rPr>
          <w:rFonts w:hint="default" w:ascii="Times New Roman" w:hAnsi="Times New Roman" w:eastAsia="仿宋_GB2312" w:cs="Times New Roman"/>
          <w:b w:val="0"/>
          <w:sz w:val="32"/>
          <w:szCs w:val="32"/>
        </w:rPr>
      </w:pPr>
      <w:r>
        <w:rPr>
          <w:rFonts w:hint="default" w:ascii="Times New Roman" w:hAnsi="Times New Roman" w:cs="Times New Roman"/>
        </w:rPr>
        <w:drawing>
          <wp:inline distT="0" distB="0" distL="114300" distR="114300">
            <wp:extent cx="5649595" cy="6795135"/>
            <wp:effectExtent l="0" t="0" r="825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649595" cy="679513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440" w:firstLineChars="200"/>
        <w:jc w:val="left"/>
        <w:outlineLvl w:val="1"/>
        <w:rPr>
          <w:rFonts w:hint="default" w:ascii="Times New Roman" w:hAnsi="Times New Roman" w:eastAsia="仿宋_GB2312" w:cs="Times New Roman"/>
          <w:b w:val="0"/>
          <w:sz w:val="32"/>
          <w:szCs w:val="32"/>
        </w:rPr>
      </w:pPr>
      <w:r>
        <w:rPr>
          <w:rFonts w:hint="default" w:ascii="Times New Roman" w:hAnsi="Times New Roman" w:cs="Times New Roman"/>
        </w:rPr>
        <w:drawing>
          <wp:inline distT="0" distB="0" distL="114300" distR="114300">
            <wp:extent cx="5480050" cy="4395470"/>
            <wp:effectExtent l="0" t="0" r="635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grayscl/>
                    </a:blip>
                    <a:stretch>
                      <a:fillRect/>
                    </a:stretch>
                  </pic:blipFill>
                  <pic:spPr>
                    <a:xfrm>
                      <a:off x="0" y="0"/>
                      <a:ext cx="5480050" cy="439547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440" w:firstLineChars="200"/>
        <w:jc w:val="left"/>
        <w:outlineLvl w:val="1"/>
        <w:rPr>
          <w:rFonts w:hint="default" w:ascii="Times New Roman" w:hAnsi="Times New Roman" w:eastAsia="仿宋_GB2312" w:cs="Times New Roman"/>
          <w:b w:val="0"/>
          <w:sz w:val="32"/>
          <w:szCs w:val="32"/>
        </w:rPr>
      </w:pPr>
      <w:r>
        <w:rPr>
          <w:rFonts w:hint="default" w:ascii="Times New Roman" w:hAnsi="Times New Roman" w:cs="Times New Roman"/>
        </w:rPr>
        <w:drawing>
          <wp:inline distT="0" distB="0" distL="114300" distR="114300">
            <wp:extent cx="5611495" cy="5508625"/>
            <wp:effectExtent l="0" t="0" r="8255"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grayscl/>
                    </a:blip>
                    <a:stretch>
                      <a:fillRect/>
                    </a:stretch>
                  </pic:blipFill>
                  <pic:spPr>
                    <a:xfrm>
                      <a:off x="0" y="0"/>
                      <a:ext cx="5611495" cy="550862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440" w:firstLineChars="200"/>
        <w:jc w:val="left"/>
        <w:outlineLvl w:val="1"/>
        <w:rPr>
          <w:rFonts w:hint="default" w:ascii="Times New Roman" w:hAnsi="Times New Roman" w:eastAsia="仿宋_GB2312" w:cs="Times New Roman"/>
          <w:b w:val="0"/>
          <w:sz w:val="32"/>
          <w:szCs w:val="32"/>
        </w:rPr>
      </w:pPr>
      <w:r>
        <w:rPr>
          <w:rFonts w:hint="default" w:ascii="Times New Roman" w:hAnsi="Times New Roman" w:cs="Times New Roman"/>
        </w:rPr>
        <w:drawing>
          <wp:inline distT="0" distB="0" distL="114300" distR="114300">
            <wp:extent cx="5655945" cy="5190490"/>
            <wp:effectExtent l="0" t="0" r="1905"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655945" cy="519049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440" w:firstLineChars="200"/>
        <w:jc w:val="left"/>
        <w:outlineLvl w:val="1"/>
        <w:rPr>
          <w:rFonts w:hint="default" w:ascii="Times New Roman" w:hAnsi="Times New Roman" w:eastAsia="仿宋_GB2312" w:cs="Times New Roman"/>
          <w:b w:val="0"/>
          <w:sz w:val="32"/>
          <w:szCs w:val="32"/>
        </w:rPr>
      </w:pPr>
      <w:r>
        <w:rPr>
          <w:rFonts w:hint="default" w:ascii="Times New Roman" w:hAnsi="Times New Roman" w:cs="Times New Roman"/>
        </w:rPr>
        <w:drawing>
          <wp:inline distT="0" distB="0" distL="114300" distR="114300">
            <wp:extent cx="5480050" cy="5219065"/>
            <wp:effectExtent l="0" t="0" r="635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grayscl/>
                    </a:blip>
                    <a:stretch>
                      <a:fillRect/>
                    </a:stretch>
                  </pic:blipFill>
                  <pic:spPr>
                    <a:xfrm>
                      <a:off x="0" y="0"/>
                      <a:ext cx="5480050" cy="521906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440" w:firstLineChars="200"/>
        <w:jc w:val="left"/>
        <w:outlineLvl w:val="1"/>
        <w:rPr>
          <w:rFonts w:hint="default" w:ascii="Times New Roman" w:hAnsi="Times New Roman" w:eastAsia="仿宋_GB2312" w:cs="Times New Roman"/>
          <w:b w:val="0"/>
          <w:sz w:val="32"/>
          <w:szCs w:val="32"/>
        </w:rPr>
      </w:pPr>
      <w:r>
        <w:rPr>
          <w:rFonts w:hint="default" w:ascii="Times New Roman" w:hAnsi="Times New Roman" w:cs="Times New Roman"/>
        </w:rPr>
        <w:drawing>
          <wp:inline distT="0" distB="0" distL="114300" distR="114300">
            <wp:extent cx="5530850" cy="5497195"/>
            <wp:effectExtent l="0" t="0" r="1270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530850" cy="549719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440" w:firstLineChars="200"/>
        <w:jc w:val="left"/>
        <w:outlineLvl w:val="1"/>
        <w:rPr>
          <w:rFonts w:hint="default" w:ascii="Times New Roman" w:hAnsi="Times New Roman" w:eastAsia="仿宋_GB2312" w:cs="Times New Roman"/>
          <w:b w:val="0"/>
          <w:sz w:val="32"/>
          <w:szCs w:val="32"/>
        </w:rPr>
      </w:pPr>
      <w:r>
        <w:rPr>
          <w:rFonts w:hint="default" w:ascii="Times New Roman" w:hAnsi="Times New Roman" w:cs="Times New Roman"/>
        </w:rPr>
        <w:drawing>
          <wp:inline distT="0" distB="0" distL="114300" distR="114300">
            <wp:extent cx="5467985" cy="2642870"/>
            <wp:effectExtent l="0" t="0" r="1841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grayscl/>
                    </a:blip>
                    <a:stretch>
                      <a:fillRect/>
                    </a:stretch>
                  </pic:blipFill>
                  <pic:spPr>
                    <a:xfrm>
                      <a:off x="0" y="0"/>
                      <a:ext cx="5467985" cy="264287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440" w:firstLineChars="200"/>
        <w:jc w:val="left"/>
        <w:outlineLvl w:val="1"/>
        <w:rPr>
          <w:rFonts w:hint="default" w:ascii="Times New Roman" w:hAnsi="Times New Roman" w:eastAsia="仿宋_GB2312" w:cs="Times New Roman"/>
          <w:b w:val="0"/>
          <w:sz w:val="32"/>
          <w:szCs w:val="32"/>
        </w:rPr>
      </w:pPr>
      <w:r>
        <w:drawing>
          <wp:inline distT="0" distB="0" distL="114300" distR="114300">
            <wp:extent cx="5482590" cy="1898650"/>
            <wp:effectExtent l="0" t="0" r="3810" b="635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3"/>
                    <a:stretch>
                      <a:fillRect/>
                    </a:stretch>
                  </pic:blipFill>
                  <pic:spPr>
                    <a:xfrm>
                      <a:off x="0" y="0"/>
                      <a:ext cx="5482590" cy="189865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440" w:firstLineChars="200"/>
        <w:jc w:val="left"/>
        <w:outlineLvl w:val="1"/>
        <w:rPr>
          <w:rFonts w:hint="default" w:ascii="Times New Roman" w:hAnsi="Times New Roman" w:cs="Times New Roman"/>
        </w:rPr>
      </w:pPr>
    </w:p>
    <w:p>
      <w:pPr>
        <w:bidi w:val="0"/>
        <w:rPr>
          <w:rFonts w:hint="default" w:asciiTheme="minorHAnsi" w:hAnsiTheme="minorHAnsi" w:eastAsiaTheme="minorHAnsi" w:cstheme="minorBidi"/>
          <w:sz w:val="22"/>
          <w:szCs w:val="22"/>
          <w:lang w:val="en-US" w:eastAsia="en-US" w:bidi="ar-SA"/>
        </w:rPr>
      </w:pPr>
    </w:p>
    <w:p>
      <w:pPr>
        <w:bidi w:val="0"/>
        <w:rPr>
          <w:rFonts w:hint="default"/>
          <w:lang w:val="en-US" w:eastAsia="en-US"/>
        </w:rPr>
      </w:pPr>
    </w:p>
    <w:p>
      <w:pPr>
        <w:bidi w:val="0"/>
        <w:rPr>
          <w:rFonts w:hint="default"/>
          <w:lang w:val="en-US" w:eastAsia="en-US"/>
        </w:rPr>
      </w:pPr>
    </w:p>
    <w:p>
      <w:pPr>
        <w:tabs>
          <w:tab w:val="left" w:pos="1060"/>
        </w:tabs>
        <w:bidi w:val="0"/>
        <w:jc w:val="left"/>
        <w:rPr>
          <w:rFonts w:hint="eastAsia" w:eastAsia="宋体"/>
          <w:lang w:val="en-US" w:eastAsia="zh-CN"/>
        </w:rPr>
      </w:pPr>
      <w:r>
        <w:rPr>
          <w:rFonts w:hint="eastAsia" w:eastAsia="宋体"/>
          <w:lang w:val="en-US" w:eastAsia="zh-CN"/>
        </w:rPr>
        <w:tab/>
      </w:r>
    </w:p>
    <w:p>
      <w:pPr>
        <w:tabs>
          <w:tab w:val="left" w:pos="1060"/>
        </w:tabs>
        <w:bidi w:val="0"/>
        <w:jc w:val="left"/>
        <w:rPr>
          <w:rFonts w:hint="eastAsia" w:eastAsia="宋体"/>
          <w:lang w:val="en-US" w:eastAsia="zh-CN"/>
        </w:rPr>
      </w:pPr>
    </w:p>
    <w:p>
      <w:pPr>
        <w:tabs>
          <w:tab w:val="left" w:pos="1060"/>
        </w:tabs>
        <w:bidi w:val="0"/>
        <w:jc w:val="left"/>
        <w:rPr>
          <w:rFonts w:hint="eastAsia" w:eastAsia="宋体"/>
          <w:lang w:val="en-US" w:eastAsia="zh-CN"/>
        </w:rPr>
      </w:pPr>
      <w:bookmarkStart w:id="0" w:name="_GoBack"/>
      <w:bookmarkEnd w:id="0"/>
    </w:p>
    <w:p>
      <w:pPr>
        <w:tabs>
          <w:tab w:val="left" w:pos="1060"/>
        </w:tabs>
        <w:bidi w:val="0"/>
        <w:jc w:val="left"/>
        <w:rPr>
          <w:rFonts w:hint="eastAsia" w:eastAsia="宋体"/>
          <w:lang w:val="en-US" w:eastAsia="zh-CN"/>
        </w:rPr>
      </w:pPr>
    </w:p>
    <w:p>
      <w:pPr>
        <w:widowControl/>
        <w:spacing w:before="0" w:beforeLines="0" w:beforeAutospacing="0" w:after="0" w:afterLines="0" w:afterAutospacing="0" w:line="240" w:lineRule="auto"/>
        <w:ind w:firstLine="440" w:firstLineChars="200"/>
        <w:jc w:val="left"/>
        <w:outlineLvl w:val="1"/>
        <w:rPr>
          <w:rFonts w:hint="default" w:ascii="Times New Roman" w:hAnsi="Times New Roman" w:eastAsia="仿宋_GB2312" w:cs="Times New Roman"/>
          <w:b w:val="0"/>
          <w:sz w:val="32"/>
          <w:szCs w:val="32"/>
        </w:rPr>
      </w:pPr>
      <w:r>
        <w:rPr>
          <w:rFonts w:hint="default" w:ascii="Times New Roman" w:hAnsi="Times New Roman" w:cs="Times New Roman"/>
        </w:rPr>
        <w:drawing>
          <wp:inline distT="0" distB="0" distL="114300" distR="114300">
            <wp:extent cx="5586095" cy="1739900"/>
            <wp:effectExtent l="0" t="0" r="14605" b="1270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5586095" cy="173990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abstractNum w:abstractNumId="1">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A7F52"/>
    <w:rsid w:val="008E34FA"/>
    <w:rsid w:val="02F6136A"/>
    <w:rsid w:val="03E531F1"/>
    <w:rsid w:val="057540EC"/>
    <w:rsid w:val="0A65498E"/>
    <w:rsid w:val="0DBB5D95"/>
    <w:rsid w:val="11154812"/>
    <w:rsid w:val="13714672"/>
    <w:rsid w:val="15D64DE0"/>
    <w:rsid w:val="16F41D35"/>
    <w:rsid w:val="17072F54"/>
    <w:rsid w:val="17AE0791"/>
    <w:rsid w:val="26742C26"/>
    <w:rsid w:val="278850CB"/>
    <w:rsid w:val="280D4F46"/>
    <w:rsid w:val="2C9917B7"/>
    <w:rsid w:val="2F666452"/>
    <w:rsid w:val="327343C3"/>
    <w:rsid w:val="32EF7C1D"/>
    <w:rsid w:val="345D3677"/>
    <w:rsid w:val="353323D5"/>
    <w:rsid w:val="380067C9"/>
    <w:rsid w:val="38662298"/>
    <w:rsid w:val="3E6831F2"/>
    <w:rsid w:val="40022F93"/>
    <w:rsid w:val="49464F44"/>
    <w:rsid w:val="4A5B2809"/>
    <w:rsid w:val="4AC30FB8"/>
    <w:rsid w:val="4B50661E"/>
    <w:rsid w:val="4D694DFD"/>
    <w:rsid w:val="4F7E6378"/>
    <w:rsid w:val="500B145F"/>
    <w:rsid w:val="5298044F"/>
    <w:rsid w:val="536846E4"/>
    <w:rsid w:val="578C3B2F"/>
    <w:rsid w:val="59134BB3"/>
    <w:rsid w:val="59635CB4"/>
    <w:rsid w:val="5A2607ED"/>
    <w:rsid w:val="5A5233BE"/>
    <w:rsid w:val="5D62660C"/>
    <w:rsid w:val="61FE0AD0"/>
    <w:rsid w:val="63C97B94"/>
    <w:rsid w:val="66A739F8"/>
    <w:rsid w:val="67D81B6B"/>
    <w:rsid w:val="68C2564E"/>
    <w:rsid w:val="69706409"/>
    <w:rsid w:val="6B686544"/>
    <w:rsid w:val="6BCD3CEA"/>
    <w:rsid w:val="6D6A2812"/>
    <w:rsid w:val="6D9E6164"/>
    <w:rsid w:val="7149089B"/>
    <w:rsid w:val="744246C9"/>
    <w:rsid w:val="74A521EF"/>
    <w:rsid w:val="77E70840"/>
    <w:rsid w:val="785E4509"/>
    <w:rsid w:val="7A3C7E96"/>
    <w:rsid w:val="7A6E544C"/>
    <w:rsid w:val="7B0D0E08"/>
    <w:rsid w:val="7D8C76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qFormat="1" w:unhideWhenUsed="0" w:uiPriority="0" w:semiHidden="0"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0"/>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1"/>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2"/>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3"/>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toc 3"/>
    <w:basedOn w:val="1"/>
    <w:next w:val="1"/>
    <w:qFormat/>
    <w:uiPriority w:val="0"/>
    <w:pPr>
      <w:ind w:left="840" w:leftChars="400"/>
    </w:pPr>
  </w:style>
  <w:style w:type="paragraph" w:styleId="9">
    <w:name w:val="header"/>
    <w:basedOn w:val="1"/>
    <w:link w:val="19"/>
    <w:unhideWhenUsed/>
    <w:qFormat/>
    <w:uiPriority w:val="99"/>
    <w:pPr>
      <w:tabs>
        <w:tab w:val="center" w:pos="4680"/>
        <w:tab w:val="right" w:pos="9360"/>
      </w:tabs>
    </w:pPr>
  </w:style>
  <w:style w:type="paragraph" w:styleId="10">
    <w:name w:val="toc 1"/>
    <w:basedOn w:val="1"/>
    <w:next w:val="1"/>
    <w:uiPriority w:val="0"/>
  </w:style>
  <w:style w:type="paragraph" w:styleId="11">
    <w:name w:val="Subtitle"/>
    <w:basedOn w:val="1"/>
    <w:next w:val="1"/>
    <w:link w:val="24"/>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2">
    <w:name w:val="toc 2"/>
    <w:basedOn w:val="1"/>
    <w:next w:val="1"/>
    <w:uiPriority w:val="0"/>
    <w:pPr>
      <w:ind w:left="420" w:leftChars="200"/>
    </w:pPr>
  </w:style>
  <w:style w:type="paragraph" w:styleId="13">
    <w:name w:val="Title"/>
    <w:basedOn w:val="1"/>
    <w:next w:val="1"/>
    <w:link w:val="25"/>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5">
    <w:name w:val="Table Grid"/>
    <w:basedOn w:val="14"/>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7">
    <w:name w:val="Emphasis"/>
    <w:basedOn w:val="16"/>
    <w:qFormat/>
    <w:uiPriority w:val="20"/>
    <w:rPr>
      <w:i/>
      <w:iCs/>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Header Char"/>
    <w:basedOn w:val="16"/>
    <w:link w:val="9"/>
    <w:qFormat/>
    <w:uiPriority w:val="99"/>
  </w:style>
  <w:style w:type="character" w:customStyle="1" w:styleId="20">
    <w:name w:val="Heading 1 Char"/>
    <w:basedOn w:val="16"/>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21">
    <w:name w:val="Heading 2 Char"/>
    <w:basedOn w:val="16"/>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2">
    <w:name w:val="Heading 3 Char"/>
    <w:basedOn w:val="16"/>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3">
    <w:name w:val="Heading 4 Char"/>
    <w:basedOn w:val="16"/>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4">
    <w:name w:val="Subtitle Char"/>
    <w:basedOn w:val="16"/>
    <w:link w:val="11"/>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5">
    <w:name w:val="Title Char"/>
    <w:basedOn w:val="16"/>
    <w:link w:val="13"/>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23</Pages>
  <TotalTime>28</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2025-08-15T02:42:00Z</dcterms:created>
  <dc:creator>Administrator</dc:creator>
  <cp:lastModifiedBy>lenovo</cp:lastModifiedBy>
  <cp:lastPrinted>2025-08-15T08:41:00Z</cp:lastPrinted>
  <dcterms:modified xsi:type="dcterms:W3CDTF">2025-08-20T13:37:37Z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8DF182AD1A3F488694DF2B1BA93A78DD_13</vt:lpwstr>
  </property>
</Properties>
</file>