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库尔勒市楼兰街道办事处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办事处是政府的派出机关，依据法律、法规、规章和市政府的授权，对辖区内的经济和社会事务行使组织领导、综合协调、监督检查的政府管理职能，组织开展辖区内地区性、社会性、群众性、公益性工作，指导和支持社区居民委员会行使自治职权，开展工作。 </w:t>
      </w:r>
    </w:p>
    <w:p>
      <w:pPr>
        <w:widowControl/>
        <w:numPr>
          <w:ilvl w:val="0"/>
          <w:numId w:val="1"/>
        </w:numPr>
        <w:spacing w:before="0" w:beforeLines="0" w:beforeAutospacing="0" w:after="0" w:afterLines="0" w:afterAutospacing="0" w:line="240" w:lineRule="auto"/>
        <w:ind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贯彻党的路线、方针、政策和国家的法律法规，执行市委、市人民政府的决议、决定</w:t>
      </w:r>
      <w:r>
        <w:rPr>
          <w:rFonts w:hint="eastAsia" w:ascii="仿宋_GB2312" w:hAnsi="Times New Roman" w:eastAsia="仿宋_GB2312" w:cs="Times New Roman"/>
          <w:b w:val="0"/>
          <w:sz w:val="32"/>
          <w:szCs w:val="32"/>
          <w:lang w:eastAsia="zh-CN"/>
        </w:rPr>
        <w:t>，</w:t>
      </w:r>
      <w:r>
        <w:rPr>
          <w:rFonts w:ascii="仿宋_GB2312" w:hAnsi="Times New Roman" w:eastAsia="仿宋_GB2312" w:cs="Times New Roman"/>
          <w:b w:val="0"/>
          <w:sz w:val="32"/>
          <w:szCs w:val="32"/>
        </w:rPr>
        <w:t xml:space="preserve">加强党组织的自身建设，机关工作人员的政治思想工作，创造性开展行政区的工作。 </w:t>
      </w:r>
    </w:p>
    <w:p>
      <w:pPr>
        <w:widowControl/>
        <w:numPr>
          <w:ilvl w:val="0"/>
          <w:numId w:val="1"/>
        </w:numPr>
        <w:spacing w:before="0" w:beforeLines="0" w:beforeAutospacing="0" w:after="0" w:afterLines="0" w:afterAutospacing="0" w:line="240" w:lineRule="auto"/>
        <w:ind w:firstLine="640" w:firstLineChars="200"/>
        <w:jc w:val="both"/>
        <w:rPr>
          <w:rFonts w:hint="eastAsia" w:ascii="仿宋_GB2312" w:hAnsi="Times New Roman" w:eastAsia="仿宋_GB2312" w:cs="Times New Roman"/>
          <w:b w:val="0"/>
          <w:sz w:val="32"/>
          <w:szCs w:val="32"/>
          <w:lang w:eastAsia="zh-CN"/>
        </w:rPr>
      </w:pPr>
      <w:r>
        <w:rPr>
          <w:rFonts w:ascii="仿宋_GB2312" w:hAnsi="Times New Roman" w:eastAsia="仿宋_GB2312" w:cs="Times New Roman"/>
          <w:b w:val="0"/>
          <w:sz w:val="32"/>
          <w:szCs w:val="32"/>
        </w:rPr>
        <w:t xml:space="preserve">指导、监督行政区各单位认真执行市人民政府的各项决议、确保市人民政府各项工作总体部署和工作任务的全面落实。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组织、制定、实施行政区内的精神文明建设规划，社会治安综合治理计划，开展社会主义民主与法制的宣传教育和以弘扬社会公德为主的道德教育。建立健全社会治安综合治理领导责任制，对辖区内各单位的综合治理工作实行一票否决制，维护社会稳定。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指导各居民委员会的工作，检查、指导、督促居民委员会的组织建设和制度建设。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讨论制定街道经济发展、社区建设、社区服务等工作规划，并组织实施。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参与监督行政区内的城市规划建设和管理工作。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开展行政区内的普法教育，完善人民调解组织，为居民提供法律服务；办理婚姻登记；协助有关部门做好社会保障、救济工作；采取多种形式进行拥军优属活动；保障残疾人的合法权益不受侵犯，做好民族、统战、宗教工作。</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积极做好办事处工、青、妇等群众团体及行政区内人民武装工作。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协助有关部门加强对行政区内的文化娱乐场所的管理及监督工作，开展群众喜闻乐见的社区文化活动。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不断加强对城市居民的文明教育、文化教育和职业技术培训，加强对流动人口的教育。鼓励、支持私人办学协同有关部门建立教育组织网络和居民家庭文化教育档案，增强居民的文化意识和城市意识。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贯彻落实计划生育政策，办理准孕、准生、独生子女证件，严格执行国家计划生育政策，查处违反计划生育管理的单位、个人，并实施一票否决制。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协助有关部门开展职工物价监督工作；参与行政区内招工、用工活动，做好辖区内下岗职工的就业、再就业工作；配合有关部门做好防震、防火、抢险、防灾救灾工作。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根据行政区内的工作要求，按照市人民政府的总体部署，向本区域内的机关、团体、企事业单位、个体私营者部署有关城市管理、方便群众生活的地区性、社会公益性的工作任务，并进行监督、检查、考核。 </w:t>
      </w:r>
    </w:p>
    <w:p>
      <w:pPr>
        <w:widowControl/>
        <w:numPr>
          <w:ilvl w:val="0"/>
          <w:numId w:val="1"/>
        </w:numPr>
        <w:spacing w:before="0" w:beforeLines="0" w:beforeAutospacing="0" w:after="0" w:afterLines="0" w:afterAutospacing="0" w:line="240" w:lineRule="auto"/>
        <w:ind w:left="0" w:leftChars="0" w:firstLine="640" w:firstLineChars="200"/>
        <w:jc w:val="both"/>
        <w:rPr>
          <w:rFonts w:ascii="仿宋_GB2312" w:hAnsi="Times New Roman" w:eastAsia="仿宋_GB2312" w:cs="Times New Roman"/>
          <w:b w:val="0"/>
          <w:sz w:val="32"/>
          <w:szCs w:val="32"/>
        </w:rPr>
      </w:pPr>
      <w:r>
        <w:rPr>
          <w:rFonts w:ascii="仿宋_GB2312" w:hAnsi="Times New Roman" w:eastAsia="仿宋_GB2312" w:cs="Times New Roman"/>
          <w:b w:val="0"/>
          <w:sz w:val="32"/>
          <w:szCs w:val="32"/>
        </w:rPr>
        <w:t xml:space="preserve">依照有关法律、法规和规章行使处罚权。 </w:t>
      </w:r>
    </w:p>
    <w:p>
      <w:pPr>
        <w:widowControl/>
        <w:numPr>
          <w:ilvl w:val="0"/>
          <w:numId w:val="0"/>
        </w:numPr>
        <w:spacing w:before="0" w:beforeLines="0" w:beforeAutospacing="0" w:after="0" w:afterLines="0" w:afterAutospacing="0" w:line="240" w:lineRule="auto"/>
        <w:ind w:firstLine="640" w:firstLineChars="200"/>
        <w:jc w:val="both"/>
        <w:rPr>
          <w:rFonts w:hint="eastAsia" w:ascii="仿宋_GB2312" w:hAnsi="Times New Roman" w:eastAsia="仿宋_GB2312" w:cs="Times New Roman"/>
          <w:b w:val="0"/>
          <w:sz w:val="32"/>
          <w:szCs w:val="32"/>
          <w:lang w:eastAsia="zh-CN"/>
        </w:rPr>
      </w:pPr>
      <w:r>
        <w:rPr>
          <w:rFonts w:ascii="仿宋_GB2312" w:hAnsi="Times New Roman" w:eastAsia="仿宋_GB2312" w:cs="Times New Roman"/>
          <w:b w:val="0"/>
          <w:sz w:val="32"/>
          <w:szCs w:val="32"/>
        </w:rPr>
        <w:t>（十五）承办市委、市人民政府交办的其他工作</w:t>
      </w:r>
      <w:r>
        <w:rPr>
          <w:rFonts w:hint="eastAsia" w:ascii="仿宋_GB2312"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库尔勒市楼兰街道办事处2024年度，实有人数38人，其中：在职人员36人，减少1人；离休人员0人，较上年无变化；退休人员2人，较上年无变化；</w:t>
      </w:r>
    </w:p>
    <w:p>
      <w:pPr>
        <w:widowControl/>
        <w:spacing w:before="0" w:beforeLines="0" w:beforeAutospacing="0" w:after="0" w:afterLines="0" w:afterAutospacing="0" w:line="240" w:lineRule="auto"/>
        <w:ind w:firstLine="640" w:firstLineChars="200"/>
        <w:jc w:val="both"/>
        <w:rPr>
          <w:rFonts w:hint="default" w:ascii="仿宋_GB2312" w:hAnsi="Times New Roman" w:eastAsia="仿宋_GB2312" w:cs="Times New Roman"/>
          <w:b w:val="0"/>
          <w:sz w:val="32"/>
          <w:szCs w:val="32"/>
          <w:lang w:val="en-US" w:eastAsia="zh-CN"/>
        </w:rPr>
      </w:pPr>
      <w:r>
        <w:rPr>
          <w:rFonts w:hint="default" w:ascii="仿宋_GB2312" w:hAnsi="Times New Roman" w:eastAsia="仿宋_GB2312" w:cs="Times New Roman"/>
          <w:b w:val="0"/>
          <w:sz w:val="32"/>
          <w:szCs w:val="32"/>
        </w:rPr>
        <w:t>库尔勒市</w:t>
      </w:r>
      <w:r>
        <w:rPr>
          <w:rFonts w:hint="eastAsia" w:ascii="仿宋_GB2312" w:hAnsi="Times New Roman" w:eastAsia="仿宋_GB2312" w:cs="Times New Roman"/>
          <w:b w:val="0"/>
          <w:sz w:val="32"/>
          <w:szCs w:val="32"/>
          <w:lang w:eastAsia="zh-CN"/>
        </w:rPr>
        <w:t>楼兰</w:t>
      </w:r>
      <w:r>
        <w:rPr>
          <w:rFonts w:hint="default" w:ascii="仿宋_GB2312" w:hAnsi="Times New Roman" w:eastAsia="仿宋_GB2312" w:cs="Times New Roman"/>
          <w:b w:val="0"/>
          <w:sz w:val="32"/>
          <w:szCs w:val="32"/>
        </w:rPr>
        <w:t>街道办事处无下属预算单位，</w:t>
      </w:r>
      <w:r>
        <w:rPr>
          <w:rFonts w:hint="default" w:ascii="仿宋_GB2312" w:hAnsi="Times New Roman" w:eastAsia="仿宋_GB2312" w:cs="Times New Roman"/>
          <w:b w:val="0"/>
          <w:sz w:val="32"/>
          <w:szCs w:val="32"/>
          <w:lang w:val="en-US" w:eastAsia="zh-CN"/>
        </w:rPr>
        <w:t>下设7个处室，分别是：综合协调办公室、党建工作办公室、综合执法办公室、党群服务中心、社会事务服务中心、综治和网格化服务中心、经济发展中心。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2024年度收入总计1,465.18万元，其中：本年收入合计1,465.18万元，使用非财政拨款结余（含专用结余）0.00万元，年初结转和结余0.00万元。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2024年度支出总计1,465.18万元，其中：本年支出合计1,465.18万元，结余分配0.00万元，年末结转和结余0.00万元。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hAnsi="Times New Roman" w:eastAsia="仿宋_GB2312" w:cs="Times New Roman"/>
          <w:b w:val="0"/>
          <w:sz w:val="32"/>
          <w:szCs w:val="32"/>
        </w:rPr>
      </w:pPr>
      <w:r>
        <w:rPr>
          <w:rFonts w:ascii="仿宋_GB2312" w:eastAsia="仿宋_GB2312"/>
          <w:b w:val="0"/>
          <w:sz w:val="32"/>
          <w:szCs w:val="32"/>
        </w:rPr>
        <w:t>收入</w:t>
      </w:r>
      <w:r>
        <w:rPr>
          <w:rFonts w:ascii="仿宋_GB2312" w:hAnsi="Times New Roman" w:eastAsia="仿宋_GB2312" w:cs="Times New Roman"/>
          <w:b w:val="0"/>
          <w:sz w:val="32"/>
          <w:szCs w:val="32"/>
        </w:rPr>
        <w:t>支出总体与上年相比，增加195.06万元，增长15.36%，主要原因是：</w:t>
      </w:r>
      <w:r>
        <w:rPr>
          <w:rFonts w:hint="eastAsia" w:ascii="仿宋_GB2312" w:hAnsi="Times New Roman" w:eastAsia="仿宋_GB2312" w:cs="Times New Roman"/>
          <w:b w:val="0"/>
          <w:sz w:val="32"/>
          <w:szCs w:val="32"/>
        </w:rPr>
        <w:t>本年度中央补助地方公共文化服务体系建设补助资金</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2023年度绩效考核奖和离退休人员基础绩效奖、纾困救助资金、</w:t>
      </w:r>
      <w:r>
        <w:rPr>
          <w:rFonts w:hint="eastAsia" w:ascii="仿宋_GB2312" w:eastAsia="仿宋_GB2312" w:cs="Times New Roman"/>
          <w:b w:val="0"/>
          <w:sz w:val="32"/>
          <w:szCs w:val="32"/>
          <w:lang w:val="en-US" w:eastAsia="zh-CN"/>
        </w:rPr>
        <w:t>佳鑫社区</w:t>
      </w:r>
      <w:r>
        <w:rPr>
          <w:rFonts w:hint="eastAsia" w:ascii="仿宋_GB2312" w:eastAsia="仿宋_GB2312"/>
          <w:b w:val="0"/>
          <w:sz w:val="32"/>
          <w:szCs w:val="32"/>
          <w:lang w:val="en-US" w:eastAsia="zh-CN"/>
        </w:rPr>
        <w:t>服务设施项目</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2023年度自治州“五个好”标准化规范化党支部补助经费等</w:t>
      </w:r>
      <w:r>
        <w:rPr>
          <w:rFonts w:ascii="仿宋_GB2312" w:eastAsia="仿宋_GB2312"/>
          <w:b w:val="0"/>
          <w:sz w:val="32"/>
          <w:szCs w:val="32"/>
        </w:rPr>
        <w:t>项目收入预算增加</w:t>
      </w:r>
      <w:r>
        <w:rPr>
          <w:rFonts w:hint="eastAsia" w:ascii="仿宋_GB2312" w:eastAsia="仿宋_GB2312"/>
          <w:b w:val="0"/>
          <w:sz w:val="32"/>
          <w:szCs w:val="32"/>
          <w:lang w:val="en-US" w:eastAsia="zh-CN"/>
        </w:rPr>
        <w:t>;工作</w:t>
      </w:r>
      <w:r>
        <w:rPr>
          <w:rFonts w:ascii="仿宋_GB2312" w:eastAsia="仿宋_GB2312"/>
          <w:b w:val="0"/>
          <w:sz w:val="32"/>
          <w:szCs w:val="32"/>
        </w:rPr>
        <w:t>人员</w:t>
      </w:r>
      <w:r>
        <w:rPr>
          <w:rFonts w:hint="eastAsia" w:ascii="仿宋_GB2312" w:eastAsia="仿宋_GB2312"/>
          <w:b w:val="0"/>
          <w:sz w:val="32"/>
          <w:szCs w:val="32"/>
          <w:lang w:val="en-US" w:eastAsia="zh-CN"/>
        </w:rPr>
        <w:t>的</w:t>
      </w:r>
      <w:r>
        <w:rPr>
          <w:rFonts w:ascii="仿宋_GB2312" w:eastAsia="仿宋_GB2312"/>
          <w:b w:val="0"/>
          <w:sz w:val="32"/>
          <w:szCs w:val="32"/>
        </w:rPr>
        <w:t>工资及社保基数增加，整体收入增加。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本年收入1,465.18万元，其中：财政拨款收入1,465.18万元,占100.00%；上级补助收入0.00万元,占0.00%；事业收入0.00万元，占0.00%；经营收入0.00万元,占0.00%；附属单位上缴收入0.00万元，占0.00%；其他收入0.00万元，占0.00%。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本年支出1,465.18万元，其中：基本支出1,332.51万元，占90.95%；项目支出132.67万元，占9.05%；上缴上级支出0.00万元，占0.00%；经营支出0.00万元，占0.00%；对附属单位补助支出0.00万元，占0.00%。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1,465.18万元，其中：年初财政拨款结转和结余0.00万元，本年财政拨款收入1,465.18万元。财政拨款支出总计1,465.18万元，其中：年末财政拨款结转和结余0.00万元，本年财政拨款支出1,465.18万元。</w:t>
      </w:r>
    </w:p>
    <w:p>
      <w:pPr>
        <w:pStyle w:val="10"/>
        <w:keepNext w:val="0"/>
        <w:keepLines w:val="0"/>
        <w:pageBreakBefore w:val="0"/>
        <w:widowControl/>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财政拨款收入支出总体与上年相比，增加195.06万元，增长15.36%，主要原因是：</w:t>
      </w:r>
      <w:r>
        <w:rPr>
          <w:rFonts w:hint="eastAsia" w:ascii="仿宋_GB2312" w:hAnsi="Times New Roman" w:eastAsia="仿宋_GB2312" w:cs="Times New Roman"/>
          <w:b w:val="0"/>
          <w:sz w:val="32"/>
          <w:szCs w:val="32"/>
        </w:rPr>
        <w:t>本年度中央补助地方公共文化服务体系建设补助资金</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2023年度绩效考核奖和离退休人员基础绩效奖、纾困救助资金、</w:t>
      </w:r>
      <w:r>
        <w:rPr>
          <w:rFonts w:hint="eastAsia" w:ascii="仿宋_GB2312" w:eastAsia="仿宋_GB2312" w:cs="Times New Roman"/>
          <w:b w:val="0"/>
          <w:sz w:val="32"/>
          <w:szCs w:val="32"/>
          <w:lang w:val="en-US" w:eastAsia="zh-CN"/>
        </w:rPr>
        <w:t>佳鑫社区</w:t>
      </w:r>
      <w:r>
        <w:rPr>
          <w:rFonts w:hint="eastAsia" w:ascii="仿宋_GB2312" w:eastAsia="仿宋_GB2312"/>
          <w:b w:val="0"/>
          <w:sz w:val="32"/>
          <w:szCs w:val="32"/>
          <w:lang w:val="en-US" w:eastAsia="zh-CN"/>
        </w:rPr>
        <w:t>服务设施项目</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2023年度自治州“五个好”标准化规范化党支部补助经费等</w:t>
      </w:r>
      <w:r>
        <w:rPr>
          <w:rFonts w:ascii="仿宋_GB2312" w:eastAsia="仿宋_GB2312"/>
          <w:b w:val="0"/>
          <w:sz w:val="32"/>
          <w:szCs w:val="32"/>
        </w:rPr>
        <w:t>项目收入预算增加</w:t>
      </w:r>
      <w:r>
        <w:rPr>
          <w:rFonts w:hint="eastAsia" w:ascii="仿宋_GB2312"/>
          <w:b w:val="0"/>
          <w:sz w:val="32"/>
          <w:szCs w:val="32"/>
          <w:lang w:val="en-US" w:eastAsia="zh-CN"/>
        </w:rPr>
        <w:t>;</w:t>
      </w:r>
      <w:r>
        <w:rPr>
          <w:rFonts w:hint="eastAsia" w:ascii="仿宋_GB2312" w:eastAsia="仿宋_GB2312"/>
          <w:b w:val="0"/>
          <w:sz w:val="32"/>
          <w:szCs w:val="32"/>
          <w:lang w:val="en-US" w:eastAsia="zh-CN"/>
        </w:rPr>
        <w:t>工作</w:t>
      </w:r>
      <w:r>
        <w:rPr>
          <w:rFonts w:ascii="仿宋_GB2312" w:eastAsia="仿宋_GB2312"/>
          <w:b w:val="0"/>
          <w:sz w:val="32"/>
          <w:szCs w:val="32"/>
        </w:rPr>
        <w:t>人员</w:t>
      </w:r>
      <w:r>
        <w:rPr>
          <w:rFonts w:hint="eastAsia" w:ascii="仿宋_GB2312" w:eastAsia="仿宋_GB2312"/>
          <w:b w:val="0"/>
          <w:sz w:val="32"/>
          <w:szCs w:val="32"/>
          <w:lang w:val="en-US" w:eastAsia="zh-CN"/>
        </w:rPr>
        <w:t>的</w:t>
      </w:r>
      <w:r>
        <w:rPr>
          <w:rFonts w:ascii="仿宋_GB2312" w:eastAsia="仿宋_GB2312"/>
          <w:b w:val="0"/>
          <w:sz w:val="32"/>
          <w:szCs w:val="32"/>
        </w:rPr>
        <w:t>工资及社保基数增加，整体收入增加。与年初预算相比，年初预算数1,723.08万元，决算数1,465.18万元，预决算差异率-14.97%，主要原因是：</w:t>
      </w:r>
      <w:r>
        <w:rPr>
          <w:rFonts w:hint="eastAsia" w:ascii="仿宋_GB2312" w:eastAsia="仿宋_GB2312"/>
          <w:b w:val="0"/>
          <w:sz w:val="32"/>
          <w:szCs w:val="32"/>
          <w:lang w:val="en-US" w:eastAsia="zh-CN"/>
        </w:rPr>
        <w:t>本年度1名在编人员辞职、3名事业岗干部辞职、12名公益性岗位人员辞职，相应减少了基本支出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hAnsi="Times New Roman" w:eastAsia="仿宋_GB2312" w:cs="Times New Roman"/>
          <w:b w:val="0"/>
          <w:sz w:val="32"/>
          <w:szCs w:val="32"/>
        </w:rPr>
      </w:pPr>
      <w:r>
        <w:rPr>
          <w:rFonts w:ascii="仿宋_GB2312" w:eastAsia="仿宋_GB2312"/>
          <w:b w:val="0"/>
          <w:sz w:val="32"/>
          <w:szCs w:val="32"/>
        </w:rPr>
        <w:t>2024年度一般公共预算财政拨款支出1,416.11万元，占本年支出合计的96.65%。与上年相比，增加191.54万元，增长15.64%，主</w:t>
      </w:r>
      <w:r>
        <w:rPr>
          <w:rFonts w:ascii="仿宋_GB2312" w:hAnsi="Times New Roman" w:eastAsia="仿宋_GB2312" w:cs="Times New Roman"/>
          <w:b w:val="0"/>
          <w:sz w:val="32"/>
          <w:szCs w:val="32"/>
        </w:rPr>
        <w:t>要原因是：</w:t>
      </w:r>
      <w:r>
        <w:rPr>
          <w:rFonts w:hint="eastAsia" w:ascii="仿宋_GB2312" w:hAnsi="Times New Roman" w:eastAsia="仿宋_GB2312" w:cs="Times New Roman"/>
          <w:b w:val="0"/>
          <w:sz w:val="32"/>
          <w:szCs w:val="32"/>
        </w:rPr>
        <w:t>本年度中央补助地方公共文化服务体系建设补助资金</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2023年度绩效考核奖和离退休人员基础绩效奖、纾困救助资金、</w:t>
      </w:r>
      <w:r>
        <w:rPr>
          <w:rFonts w:hint="eastAsia" w:ascii="仿宋_GB2312" w:eastAsia="仿宋_GB2312" w:cs="Times New Roman"/>
          <w:b w:val="0"/>
          <w:sz w:val="32"/>
          <w:szCs w:val="32"/>
          <w:lang w:val="en-US" w:eastAsia="zh-CN"/>
        </w:rPr>
        <w:t>佳鑫社区</w:t>
      </w:r>
      <w:r>
        <w:rPr>
          <w:rFonts w:hint="eastAsia" w:ascii="仿宋_GB2312" w:eastAsia="仿宋_GB2312"/>
          <w:b w:val="0"/>
          <w:sz w:val="32"/>
          <w:szCs w:val="32"/>
          <w:lang w:val="en-US" w:eastAsia="zh-CN"/>
        </w:rPr>
        <w:t>服务设施项目</w:t>
      </w:r>
      <w:r>
        <w:rPr>
          <w:rFonts w:hint="eastAsia" w:ascii="仿宋_GB2312" w:eastAsia="仿宋_GB2312" w:cs="Times New Roman"/>
          <w:b w:val="0"/>
          <w:sz w:val="32"/>
          <w:szCs w:val="32"/>
          <w:lang w:eastAsia="zh-CN"/>
        </w:rPr>
        <w:t>、</w:t>
      </w:r>
      <w:r>
        <w:rPr>
          <w:rFonts w:hint="eastAsia" w:ascii="仿宋_GB2312" w:hAnsi="Times New Roman" w:eastAsia="仿宋_GB2312" w:cs="Times New Roman"/>
          <w:b w:val="0"/>
          <w:sz w:val="32"/>
          <w:szCs w:val="32"/>
        </w:rPr>
        <w:t>2023年度自治州“五个好”标准化规范化党支部补助经费等</w:t>
      </w:r>
      <w:r>
        <w:rPr>
          <w:rFonts w:ascii="仿宋_GB2312" w:eastAsia="仿宋_GB2312"/>
          <w:b w:val="0"/>
          <w:sz w:val="32"/>
          <w:szCs w:val="32"/>
        </w:rPr>
        <w:t>项目收入预算增加</w:t>
      </w:r>
      <w:r>
        <w:rPr>
          <w:rFonts w:hint="eastAsia" w:ascii="仿宋_GB2312" w:eastAsia="仿宋_GB2312"/>
          <w:b w:val="0"/>
          <w:sz w:val="32"/>
          <w:szCs w:val="32"/>
          <w:lang w:val="en-US" w:eastAsia="zh-CN"/>
        </w:rPr>
        <w:t>;工作</w:t>
      </w:r>
      <w:r>
        <w:rPr>
          <w:rFonts w:ascii="仿宋_GB2312" w:eastAsia="仿宋_GB2312"/>
          <w:b w:val="0"/>
          <w:sz w:val="32"/>
          <w:szCs w:val="32"/>
        </w:rPr>
        <w:t>人员</w:t>
      </w:r>
      <w:r>
        <w:rPr>
          <w:rFonts w:hint="eastAsia" w:ascii="仿宋_GB2312" w:eastAsia="仿宋_GB2312"/>
          <w:b w:val="0"/>
          <w:sz w:val="32"/>
          <w:szCs w:val="32"/>
          <w:lang w:val="en-US" w:eastAsia="zh-CN"/>
        </w:rPr>
        <w:t>的</w:t>
      </w:r>
      <w:r>
        <w:rPr>
          <w:rFonts w:ascii="仿宋_GB2312" w:eastAsia="仿宋_GB2312"/>
          <w:b w:val="0"/>
          <w:sz w:val="32"/>
          <w:szCs w:val="32"/>
        </w:rPr>
        <w:t>工资及社保基数增加，整体收入增加。</w:t>
      </w:r>
      <w:r>
        <w:rPr>
          <w:rFonts w:ascii="仿宋_GB2312" w:hAnsi="Times New Roman" w:eastAsia="仿宋_GB2312" w:cs="Times New Roman"/>
          <w:b w:val="0"/>
          <w:sz w:val="32"/>
          <w:szCs w:val="32"/>
        </w:rPr>
        <w:t>与年初预算相比，年初预算数1,701.60万元，决算数1,416.11万元，预决算差异率-16.78%，主要原因是：</w:t>
      </w:r>
      <w:r>
        <w:rPr>
          <w:rFonts w:hint="eastAsia" w:ascii="仿宋_GB2312" w:hAnsi="Times New Roman" w:eastAsia="仿宋_GB2312" w:cs="Times New Roman"/>
          <w:b w:val="0"/>
          <w:sz w:val="32"/>
          <w:szCs w:val="32"/>
          <w:lang w:val="en-US" w:eastAsia="zh-CN"/>
        </w:rPr>
        <w:t>本年度1名在编人员辞职、3名事业岗干部辞职、12名公益性岗位人员辞职，相应减少了基本支出</w:t>
      </w:r>
      <w:r>
        <w:rPr>
          <w:rFonts w:ascii="仿宋_GB2312" w:hAnsi="Times New Roman" w:eastAsia="仿宋_GB2312" w:cs="Times New Roman"/>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一般公共服务支出（类）1,181.93万元，占83.46%。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教育支出（类）0.70万元，占0.05%。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文化旅游体育与传媒支出（类）12.40万元，占0.88%。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社会保障和就业支出（类）59.30万元，占4.19%。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卫生健康支出（类）28.44万元，占2.01%。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城乡社区支出（类）83.60万元，占5.90%。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住房保障支出（类）49.75万元，占3.51%。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一般公共服务支出（类）人大事务（款）代表工作（项）：支出决算数为0.86万元，比上年决算增加0.86万元，增长100.00%，主要原因是：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用于支付2024年人大生活补助和活动经费</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一般公共服务支出（类）政府办公厅（室）及相关机构事务（款）行政运行（项）：支出决算数为1,060.85万元，比上年决算增加67.35万元，增长6.78%，主要原因是：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补发楼兰街道2023年度在职公务员及在职事业编制人员绩效考核奖</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一般公共服务支出（类）政府办公厅（室）及相关机构事务（款）其他政府办公厅（室）及相关机构事务支出（项）：支出决算数为107.00万元，比上年决算增加96.04万元，增长876.28%，主要原因是：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用于支付历年办公费欠款</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一般公共服务支出（类）纪检监察事务（款）其他纪检监察事务支出（项）：支出决算数为2.00万元，比上年决算增加0.50万元，增长33.33%，主要原因是：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用于纪检工作购买办公设备</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一般公共服务支出（类）组织事务（款）其他组织事务支出（项）：支出决算数为3.00万元，比上年决算增加3.00万元，增长100.00%，主要原因是：</w:t>
      </w:r>
      <w:r>
        <w:rPr>
          <w:rFonts w:hint="eastAsia" w:ascii="仿宋_GB2312" w:eastAsia="仿宋_GB2312"/>
          <w:b w:val="0"/>
          <w:sz w:val="32"/>
          <w:szCs w:val="32"/>
          <w:lang w:eastAsia="zh-CN"/>
        </w:rPr>
        <w:t>本年度用于支付2023年度自治州“五个好”标准化规范化党支部党建经费（中共巴州阳光志愿者协会支部委员会）。</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一般公共服务支出（类）统战事务（款）宗教事务（项）：支出决算数为0.94万元，比上年决算增加0.24万元，增长34.29%，主要原因是：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用于支付历年驻村管寺办公费欠款</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一般公共服务支出（类）统战事务（款）其他统战事务支出（项）：支出决算数为7.27万元，比上年决算增加1.79万元，增长32.66%，主要原因是：</w:t>
      </w:r>
      <w:r>
        <w:rPr>
          <w:rFonts w:hint="eastAsia" w:ascii="仿宋_GB2312" w:eastAsia="仿宋_GB2312"/>
          <w:b w:val="0"/>
          <w:sz w:val="32"/>
          <w:szCs w:val="32"/>
          <w:lang w:eastAsia="zh-CN"/>
        </w:rPr>
        <w:t>本年度用于支付历年驻村管寺办公费欠款。</w:t>
      </w:r>
    </w:p>
    <w:p>
      <w:pPr>
        <w:widowControl/>
        <w:numPr>
          <w:ilvl w:val="0"/>
          <w:numId w:val="0"/>
        </w:numPr>
        <w:spacing w:before="0" w:beforeLines="0" w:beforeAutospacing="0" w:after="0" w:afterLines="0" w:afterAutospacing="0" w:line="240" w:lineRule="auto"/>
        <w:ind w:firstLine="640" w:firstLineChars="200"/>
        <w:rPr>
          <w:rFonts w:hint="default" w:ascii="仿宋_GB2312" w:hAnsi="Times New Roman" w:eastAsia="仿宋_GB2312" w:cs="Times New Roman"/>
          <w:b w:val="0"/>
          <w:sz w:val="32"/>
          <w:szCs w:val="32"/>
          <w:lang w:val="zh-CN" w:eastAsia="zh-CN"/>
        </w:rPr>
      </w:pPr>
      <w:r>
        <w:rPr>
          <w:rFonts w:ascii="仿宋_GB2312" w:eastAsia="仿宋_GB2312"/>
          <w:b w:val="0"/>
          <w:sz w:val="32"/>
          <w:szCs w:val="32"/>
        </w:rPr>
        <w:t>教育支出（类）进修及培训（款）培训支出（项）：支出决算数为0.70万元，比上年决算减少2.87万元，下降80.39%，主要原因是：</w:t>
      </w:r>
      <w:r>
        <w:rPr>
          <w:rFonts w:hint="default" w:ascii="仿宋_GB2312" w:hAnsi="Times New Roman" w:eastAsia="仿宋_GB2312" w:cs="Times New Roman"/>
          <w:b w:val="0"/>
          <w:sz w:val="32"/>
          <w:szCs w:val="32"/>
          <w:lang w:eastAsia="zh-CN"/>
        </w:rPr>
        <w:t>上年度</w:t>
      </w:r>
      <w:r>
        <w:rPr>
          <w:rFonts w:hint="default" w:ascii="仿宋_GB2312" w:hAnsi="Times New Roman" w:eastAsia="仿宋_GB2312" w:cs="Times New Roman"/>
          <w:b w:val="0"/>
          <w:sz w:val="32"/>
          <w:szCs w:val="32"/>
          <w:lang w:val="zh-CN" w:eastAsia="zh-CN"/>
        </w:rPr>
        <w:t>为提高基层干部工作能力，市委组织基层书记、干部到内地进行考察学习，所以培训费用较本年增加。</w:t>
      </w:r>
      <w:r>
        <w:rPr>
          <w:rFonts w:hint="eastAsia" w:ascii="仿宋_GB2312" w:hAnsi="Times New Roman" w:eastAsia="仿宋_GB2312" w:cs="Times New Roman"/>
          <w:b w:val="0"/>
          <w:sz w:val="32"/>
          <w:szCs w:val="32"/>
          <w:lang w:val="zh-CN" w:eastAsia="zh-CN"/>
        </w:rPr>
        <w:t>本年度</w:t>
      </w:r>
      <w:r>
        <w:rPr>
          <w:rFonts w:hint="default" w:ascii="仿宋_GB2312" w:hAnsi="Times New Roman" w:eastAsia="仿宋_GB2312" w:cs="Times New Roman"/>
          <w:b w:val="0"/>
          <w:sz w:val="32"/>
          <w:szCs w:val="32"/>
          <w:lang w:val="zh-CN" w:eastAsia="zh-CN"/>
        </w:rPr>
        <w:t>完善</w:t>
      </w:r>
      <w:r>
        <w:rPr>
          <w:rFonts w:hint="eastAsia" w:ascii="仿宋_GB2312" w:hAnsi="Times New Roman" w:eastAsia="仿宋_GB2312" w:cs="Times New Roman"/>
          <w:b w:val="0"/>
          <w:sz w:val="32"/>
          <w:szCs w:val="32"/>
          <w:lang w:val="zh-CN" w:eastAsia="zh-CN"/>
        </w:rPr>
        <w:t>各类培训人员</w:t>
      </w:r>
      <w:r>
        <w:rPr>
          <w:rFonts w:hint="default" w:ascii="仿宋_GB2312" w:hAnsi="Times New Roman" w:eastAsia="仿宋_GB2312" w:cs="Times New Roman"/>
          <w:b w:val="0"/>
          <w:sz w:val="32"/>
          <w:szCs w:val="32"/>
          <w:lang w:val="zh-CN" w:eastAsia="zh-CN"/>
        </w:rPr>
        <w:t>报销手续后予以报销，导致</w:t>
      </w:r>
      <w:r>
        <w:rPr>
          <w:rFonts w:hint="eastAsia" w:ascii="仿宋_GB2312" w:hAnsi="Times New Roman" w:eastAsia="仿宋_GB2312" w:cs="Times New Roman"/>
          <w:b w:val="0"/>
          <w:sz w:val="32"/>
          <w:szCs w:val="32"/>
          <w:lang w:val="zh-CN" w:eastAsia="zh-CN"/>
        </w:rPr>
        <w:t>本年度</w:t>
      </w:r>
      <w:r>
        <w:rPr>
          <w:rFonts w:hint="default" w:ascii="仿宋_GB2312" w:hAnsi="Times New Roman" w:eastAsia="仿宋_GB2312" w:cs="Times New Roman"/>
          <w:b w:val="0"/>
          <w:sz w:val="32"/>
          <w:szCs w:val="32"/>
          <w:lang w:val="zh-CN" w:eastAsia="zh-CN"/>
        </w:rPr>
        <w:t>较上年增加。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文化旅游体育与传媒支出（类）文化和旅游（款）其他文化和旅游支出（项）：支出决算数为8.70万元，比上年决算增加8.70万元，增长100.00%，主要原因是：</w:t>
      </w:r>
      <w:r>
        <w:rPr>
          <w:rFonts w:hint="eastAsia" w:ascii="仿宋_GB2312" w:eastAsia="仿宋_GB2312"/>
          <w:b w:val="0"/>
          <w:sz w:val="32"/>
          <w:szCs w:val="32"/>
        </w:rPr>
        <w:t>因</w:t>
      </w:r>
      <w:r>
        <w:rPr>
          <w:rFonts w:hint="eastAsia" w:ascii="仿宋_GB2312" w:eastAsia="仿宋_GB2312"/>
          <w:b w:val="0"/>
          <w:sz w:val="32"/>
          <w:szCs w:val="32"/>
          <w:lang w:eastAsia="zh-CN"/>
        </w:rPr>
        <w:t>本年度</w:t>
      </w:r>
      <w:r>
        <w:rPr>
          <w:rFonts w:hint="eastAsia" w:ascii="仿宋_GB2312" w:eastAsia="仿宋_GB2312"/>
          <w:b w:val="0"/>
          <w:sz w:val="32"/>
          <w:szCs w:val="32"/>
        </w:rPr>
        <w:t>大力开展社区文化活动，新增此项支出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文化旅游体育与传媒支出（类）其他文化旅游体育与传媒支出（款）其他文化旅游体育与传媒支出（项）：支出决算数为3.70万元，比上年决算增加3.70万元，增长100.00%，主要原因是：</w:t>
      </w:r>
      <w:r>
        <w:rPr>
          <w:rFonts w:hint="eastAsia" w:ascii="仿宋_GB2312" w:eastAsia="仿宋_GB2312"/>
          <w:b w:val="0"/>
          <w:sz w:val="32"/>
          <w:szCs w:val="32"/>
        </w:rPr>
        <w:t>因</w:t>
      </w:r>
      <w:r>
        <w:rPr>
          <w:rFonts w:hint="eastAsia" w:ascii="仿宋_GB2312" w:eastAsia="仿宋_GB2312"/>
          <w:b w:val="0"/>
          <w:sz w:val="32"/>
          <w:szCs w:val="32"/>
          <w:lang w:eastAsia="zh-CN"/>
        </w:rPr>
        <w:t>本年度</w:t>
      </w:r>
      <w:r>
        <w:rPr>
          <w:rFonts w:hint="eastAsia" w:ascii="仿宋_GB2312" w:eastAsia="仿宋_GB2312"/>
          <w:b w:val="0"/>
          <w:sz w:val="32"/>
          <w:szCs w:val="32"/>
        </w:rPr>
        <w:t>大力开展社区文化活动，新增此项支出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社会保障和就业支出（类）行政事业单位养老支出（款）行政单位离退休（项）：支出决算数为1.62万元，比上年决算增加0.24万元，增长17.39%，主要原因是：</w:t>
      </w:r>
      <w:r>
        <w:rPr>
          <w:rFonts w:hint="eastAsia" w:ascii="仿宋_GB2312" w:eastAsia="仿宋_GB2312"/>
          <w:b w:val="0"/>
          <w:sz w:val="32"/>
          <w:szCs w:val="32"/>
        </w:rPr>
        <w:t>本年度发放了2023年</w:t>
      </w:r>
      <w:r>
        <w:rPr>
          <w:rFonts w:hint="eastAsia" w:ascii="仿宋_GB2312" w:eastAsia="仿宋_GB2312"/>
          <w:b w:val="0"/>
          <w:sz w:val="32"/>
          <w:szCs w:val="32"/>
          <w:lang w:eastAsia="zh-CN"/>
        </w:rPr>
        <w:t>度</w:t>
      </w:r>
      <w:r>
        <w:rPr>
          <w:rFonts w:hint="eastAsia" w:ascii="仿宋_GB2312" w:eastAsia="仿宋_GB2312"/>
          <w:b w:val="0"/>
          <w:sz w:val="32"/>
          <w:szCs w:val="32"/>
        </w:rPr>
        <w:t>退休人员绩效考核奖</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社会保障和就业支出（类）行政事业单位养老支出（款）机关事业单位基本养老保险缴费支出（项）：支出决算数为57.68万元，比上年决算减少1.63万元，下降2.75%，主要原因是：</w:t>
      </w:r>
      <w:r>
        <w:rPr>
          <w:rFonts w:hint="eastAsia" w:ascii="仿宋_GB2312" w:eastAsia="仿宋_GB2312"/>
          <w:b w:val="0"/>
          <w:sz w:val="32"/>
          <w:szCs w:val="32"/>
        </w:rPr>
        <w:t>本年度1名在编人员辞职、3名事业岗干部辞职、12名公益性岗位人员辞职，相应减少了支出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社会保障和就业支出（类）行政事业单位养老支出（款）机关事业单位职业年金缴费支出（项）：支出决算数为0.00万元，比上年决算减少6.50万元，下降100.00%，主要原因是：</w:t>
      </w:r>
      <w:r>
        <w:rPr>
          <w:rFonts w:hint="eastAsia" w:ascii="仿宋_GB2312" w:eastAsia="仿宋_GB2312"/>
          <w:b w:val="0"/>
          <w:sz w:val="32"/>
          <w:szCs w:val="32"/>
        </w:rPr>
        <w:t>本年度没有人员退休</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社会保障和就业支出（类）就业补助（款）公益性岗位补贴（项）：支出决算数为0.00万元，比上年决算减少74.81万元，下降100.00%，主要原因是：</w:t>
      </w:r>
      <w:r>
        <w:rPr>
          <w:rFonts w:hint="eastAsia" w:ascii="仿宋_GB2312" w:eastAsia="仿宋_GB2312"/>
          <w:b w:val="0"/>
          <w:sz w:val="32"/>
          <w:szCs w:val="32"/>
        </w:rPr>
        <w:t>本年度公益性岗位相关支出归入主款核算</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卫生健康支出（类）行政事业单位医疗（款）行政单位医疗（项）：支出决算数为26.25万元，比上年决算增加2.77万元，增长11.80%，主要原因是：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医社保基数调增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卫生健康支出（类）行政事业单位医疗（款）公务员医疗补助（项）：支出决算数为2.19万元，比上年决算增加0.18万元，增长8.96%，主要原因是：</w:t>
      </w:r>
      <w:r>
        <w:rPr>
          <w:rFonts w:hint="eastAsia" w:ascii="仿宋_GB2312" w:eastAsia="仿宋_GB2312"/>
          <w:b w:val="0"/>
          <w:sz w:val="32"/>
          <w:szCs w:val="32"/>
          <w:lang w:eastAsia="zh-CN"/>
        </w:rPr>
        <w:t>本年度</w:t>
      </w:r>
      <w:r>
        <w:rPr>
          <w:rFonts w:hint="eastAsia" w:ascii="仿宋_GB2312" w:eastAsia="仿宋_GB2312"/>
          <w:b w:val="0"/>
          <w:sz w:val="32"/>
          <w:szCs w:val="32"/>
        </w:rPr>
        <w:t>医社保基数调增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城乡社区支出（类）城乡社区公共设施（款）其他城乡社区公共设施支出（项）：支出决算数为83.60万元，比上年决算增加83.60万元，增长100.00%，主要原因是：</w:t>
      </w:r>
      <w:r>
        <w:rPr>
          <w:rFonts w:hint="eastAsia" w:ascii="仿宋_GB2312" w:eastAsia="仿宋_GB2312"/>
          <w:b w:val="0"/>
          <w:sz w:val="32"/>
          <w:szCs w:val="32"/>
        </w:rPr>
        <w:t>本年新增楼兰街道佳鑫社区2024年社区综合服务设施第一次工程项目支付设计服务等相关费用</w:t>
      </w:r>
      <w:r>
        <w:rPr>
          <w:rFonts w:hint="eastAsia" w:ascii="仿宋_GB2312" w:eastAsia="仿宋_GB2312"/>
          <w:b w:val="0"/>
          <w:sz w:val="32"/>
          <w:szCs w:val="32"/>
          <w:lang w:eastAsia="zh-CN"/>
        </w:rPr>
        <w:t>。</w:t>
      </w:r>
    </w:p>
    <w:p>
      <w:pPr>
        <w:pStyle w:val="2"/>
        <w:ind w:firstLine="640" w:firstLineChars="200"/>
        <w:rPr>
          <w:rFonts w:hint="eastAsia"/>
          <w:lang w:eastAsia="zh-CN"/>
        </w:rPr>
      </w:pPr>
      <w:r>
        <w:rPr>
          <w:rFonts w:ascii="仿宋_GB2312" w:eastAsia="仿宋_GB2312"/>
          <w:b w:val="0"/>
          <w:sz w:val="32"/>
          <w:szCs w:val="32"/>
        </w:rPr>
        <w:t>城乡社区支出（类）</w:t>
      </w:r>
      <w:r>
        <w:rPr>
          <w:rFonts w:hint="eastAsia" w:ascii="仿宋_GB2312" w:eastAsia="仿宋_GB2312"/>
          <w:b w:val="0"/>
          <w:sz w:val="32"/>
          <w:szCs w:val="32"/>
        </w:rPr>
        <w:t>国有土地使用权出让收入安排的支出</w:t>
      </w:r>
      <w:r>
        <w:rPr>
          <w:rFonts w:ascii="仿宋_GB2312" w:eastAsia="仿宋_GB2312"/>
          <w:b w:val="0"/>
          <w:sz w:val="32"/>
          <w:szCs w:val="32"/>
        </w:rPr>
        <w:t>（款）</w:t>
      </w:r>
      <w:r>
        <w:rPr>
          <w:rFonts w:hint="eastAsia" w:ascii="仿宋_GB2312" w:eastAsia="仿宋_GB2312"/>
          <w:b w:val="0"/>
          <w:sz w:val="32"/>
          <w:szCs w:val="32"/>
        </w:rPr>
        <w:t>其他国有土地使用权出让收入安排的支出</w:t>
      </w:r>
      <w:r>
        <w:rPr>
          <w:rFonts w:ascii="仿宋_GB2312" w:eastAsia="仿宋_GB2312"/>
          <w:b w:val="0"/>
          <w:sz w:val="32"/>
          <w:szCs w:val="32"/>
        </w:rPr>
        <w:t>（项）：支出</w:t>
      </w:r>
      <w:bookmarkStart w:id="0" w:name="_GoBack"/>
      <w:r>
        <w:rPr>
          <w:rFonts w:ascii="仿宋_GB2312" w:eastAsia="仿宋_GB2312"/>
          <w:b w:val="0"/>
          <w:spacing w:val="-20"/>
          <w:sz w:val="32"/>
          <w:szCs w:val="32"/>
        </w:rPr>
        <w:t>决算数为</w:t>
      </w:r>
      <w:r>
        <w:rPr>
          <w:rFonts w:hint="eastAsia" w:ascii="仿宋_GB2312" w:eastAsia="仿宋_GB2312"/>
          <w:b w:val="0"/>
          <w:spacing w:val="-20"/>
          <w:sz w:val="32"/>
          <w:szCs w:val="32"/>
          <w:lang w:val="en-US" w:eastAsia="zh-CN"/>
        </w:rPr>
        <w:t>0</w:t>
      </w:r>
      <w:r>
        <w:rPr>
          <w:rFonts w:ascii="仿宋_GB2312" w:eastAsia="仿宋_GB2312"/>
          <w:b w:val="0"/>
          <w:spacing w:val="-20"/>
          <w:sz w:val="32"/>
          <w:szCs w:val="32"/>
        </w:rPr>
        <w:t>.</w:t>
      </w:r>
      <w:r>
        <w:rPr>
          <w:rFonts w:hint="eastAsia" w:ascii="仿宋_GB2312" w:eastAsia="仿宋_GB2312"/>
          <w:b w:val="0"/>
          <w:spacing w:val="-20"/>
          <w:sz w:val="32"/>
          <w:szCs w:val="32"/>
          <w:lang w:val="en-US" w:eastAsia="zh-CN"/>
        </w:rPr>
        <w:t>0</w:t>
      </w:r>
      <w:r>
        <w:rPr>
          <w:rFonts w:ascii="仿宋_GB2312" w:eastAsia="仿宋_GB2312"/>
          <w:b w:val="0"/>
          <w:spacing w:val="-20"/>
          <w:sz w:val="32"/>
          <w:szCs w:val="32"/>
        </w:rPr>
        <w:t>0万元，比上年决算</w:t>
      </w:r>
      <w:r>
        <w:rPr>
          <w:rFonts w:hint="eastAsia" w:ascii="仿宋_GB2312" w:eastAsia="仿宋_GB2312"/>
          <w:b w:val="0"/>
          <w:spacing w:val="-20"/>
          <w:sz w:val="32"/>
          <w:szCs w:val="32"/>
          <w:lang w:eastAsia="zh-CN"/>
        </w:rPr>
        <w:t>减少</w:t>
      </w:r>
      <w:r>
        <w:rPr>
          <w:rFonts w:hint="eastAsia" w:ascii="仿宋_GB2312" w:eastAsia="仿宋_GB2312"/>
          <w:b w:val="0"/>
          <w:spacing w:val="-20"/>
          <w:sz w:val="32"/>
          <w:szCs w:val="32"/>
          <w:lang w:val="en-US" w:eastAsia="zh-CN"/>
        </w:rPr>
        <w:t>5</w:t>
      </w:r>
      <w:r>
        <w:rPr>
          <w:rFonts w:ascii="仿宋_GB2312" w:eastAsia="仿宋_GB2312"/>
          <w:b w:val="0"/>
          <w:spacing w:val="-20"/>
          <w:sz w:val="32"/>
          <w:szCs w:val="32"/>
        </w:rPr>
        <w:t>.</w:t>
      </w:r>
      <w:r>
        <w:rPr>
          <w:rFonts w:hint="eastAsia" w:ascii="仿宋_GB2312" w:eastAsia="仿宋_GB2312"/>
          <w:b w:val="0"/>
          <w:spacing w:val="-20"/>
          <w:sz w:val="32"/>
          <w:szCs w:val="32"/>
          <w:lang w:val="en-US" w:eastAsia="zh-CN"/>
        </w:rPr>
        <w:t>98</w:t>
      </w:r>
      <w:r>
        <w:rPr>
          <w:rFonts w:ascii="仿宋_GB2312" w:eastAsia="仿宋_GB2312"/>
          <w:b w:val="0"/>
          <w:spacing w:val="-20"/>
          <w:sz w:val="32"/>
          <w:szCs w:val="32"/>
        </w:rPr>
        <w:t>万元，</w:t>
      </w:r>
      <w:r>
        <w:rPr>
          <w:rFonts w:hint="eastAsia" w:ascii="仿宋_GB2312" w:eastAsia="仿宋_GB2312"/>
          <w:b w:val="0"/>
          <w:spacing w:val="-20"/>
          <w:sz w:val="32"/>
          <w:szCs w:val="32"/>
          <w:lang w:eastAsia="zh-CN"/>
        </w:rPr>
        <w:t>下降</w:t>
      </w:r>
      <w:r>
        <w:rPr>
          <w:rFonts w:ascii="仿宋_GB2312" w:eastAsia="仿宋_GB2312"/>
          <w:b w:val="0"/>
          <w:spacing w:val="-20"/>
          <w:sz w:val="32"/>
          <w:szCs w:val="32"/>
        </w:rPr>
        <w:t>100.00%，</w:t>
      </w:r>
      <w:bookmarkEnd w:id="0"/>
      <w:r>
        <w:rPr>
          <w:rFonts w:ascii="仿宋_GB2312" w:eastAsia="仿宋_GB2312"/>
          <w:b w:val="0"/>
          <w:sz w:val="32"/>
          <w:szCs w:val="32"/>
        </w:rPr>
        <w:t>主要原因是：</w:t>
      </w:r>
      <w:r>
        <w:rPr>
          <w:rFonts w:hint="eastAsia" w:ascii="仿宋_GB2312" w:eastAsia="仿宋_GB2312"/>
          <w:b w:val="0"/>
          <w:sz w:val="32"/>
          <w:szCs w:val="32"/>
        </w:rPr>
        <w:t>本年度无此功能科目支出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住房保障支出（类）住房改革支出（款）住房公积金（项）：支出决算数为49.75万元，比上年决算增加8.38万元，增长20.26%，主要原因是：</w:t>
      </w:r>
      <w:r>
        <w:rPr>
          <w:rFonts w:hint="eastAsia" w:ascii="仿宋_GB2312" w:eastAsia="仿宋_GB2312"/>
          <w:b w:val="0"/>
          <w:sz w:val="32"/>
          <w:szCs w:val="32"/>
        </w:rPr>
        <w:t>本年度住房公积金基数调增</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pacing w:before="0" w:beforeAutospacing="0" w:after="0" w:afterAutospacing="0" w:line="240" w:lineRule="auto"/>
        <w:ind w:firstLine="640" w:firstLineChars="200"/>
        <w:textAlignment w:val="auto"/>
        <w:rPr>
          <w:rFonts w:hint="default"/>
          <w:lang w:val="en-US" w:eastAsia="zh-CN"/>
        </w:rPr>
      </w:pPr>
      <w:r>
        <w:rPr>
          <w:rFonts w:hint="eastAsia" w:ascii="仿宋_GB2312" w:eastAsia="仿宋_GB2312"/>
          <w:b w:val="0"/>
          <w:sz w:val="32"/>
          <w:szCs w:val="32"/>
        </w:rPr>
        <w:t>国有资本经营预算支出</w:t>
      </w:r>
      <w:r>
        <w:rPr>
          <w:rFonts w:ascii="仿宋_GB2312" w:eastAsia="仿宋_GB2312"/>
          <w:b w:val="0"/>
          <w:sz w:val="32"/>
          <w:szCs w:val="32"/>
        </w:rPr>
        <w:t>（类）</w:t>
      </w:r>
      <w:r>
        <w:rPr>
          <w:rFonts w:hint="eastAsia" w:ascii="仿宋_GB2312" w:eastAsia="仿宋_GB2312"/>
          <w:b w:val="0"/>
          <w:sz w:val="32"/>
          <w:szCs w:val="32"/>
        </w:rPr>
        <w:t>解决历史遗留问题及改革成本支出</w:t>
      </w:r>
      <w:r>
        <w:rPr>
          <w:rFonts w:ascii="仿宋_GB2312" w:eastAsia="仿宋_GB2312"/>
          <w:b w:val="0"/>
          <w:sz w:val="32"/>
          <w:szCs w:val="32"/>
        </w:rPr>
        <w:t>（款）</w:t>
      </w:r>
      <w:r>
        <w:rPr>
          <w:rFonts w:hint="eastAsia" w:ascii="仿宋_GB2312" w:eastAsia="仿宋_GB2312"/>
          <w:b w:val="0"/>
          <w:sz w:val="32"/>
          <w:szCs w:val="32"/>
        </w:rPr>
        <w:t>国有企业退休人员社会化管理补助支出</w:t>
      </w:r>
      <w:r>
        <w:rPr>
          <w:rFonts w:ascii="仿宋_GB2312" w:eastAsia="仿宋_GB2312"/>
          <w:b w:val="0"/>
          <w:sz w:val="32"/>
          <w:szCs w:val="32"/>
        </w:rPr>
        <w:t>（项）：支出决算数为49.</w:t>
      </w:r>
      <w:r>
        <w:rPr>
          <w:rFonts w:hint="eastAsia" w:ascii="仿宋_GB2312" w:eastAsia="仿宋_GB2312"/>
          <w:b w:val="0"/>
          <w:sz w:val="32"/>
          <w:szCs w:val="32"/>
          <w:lang w:val="en-US" w:eastAsia="zh-CN"/>
        </w:rPr>
        <w:t>07</w:t>
      </w:r>
      <w:r>
        <w:rPr>
          <w:rFonts w:ascii="仿宋_GB2312" w:eastAsia="仿宋_GB2312"/>
          <w:b w:val="0"/>
          <w:sz w:val="32"/>
          <w:szCs w:val="32"/>
        </w:rPr>
        <w:t>万元，比上年决算增加</w:t>
      </w:r>
      <w:r>
        <w:rPr>
          <w:rFonts w:hint="eastAsia" w:ascii="仿宋_GB2312" w:eastAsia="仿宋_GB2312"/>
          <w:b w:val="0"/>
          <w:sz w:val="32"/>
          <w:szCs w:val="32"/>
          <w:lang w:val="en-US" w:eastAsia="zh-CN"/>
        </w:rPr>
        <w:t>9</w:t>
      </w:r>
      <w:r>
        <w:rPr>
          <w:rFonts w:ascii="仿宋_GB2312" w:eastAsia="仿宋_GB2312"/>
          <w:b w:val="0"/>
          <w:sz w:val="32"/>
          <w:szCs w:val="32"/>
        </w:rPr>
        <w:t>.</w:t>
      </w:r>
      <w:r>
        <w:rPr>
          <w:rFonts w:hint="eastAsia" w:ascii="仿宋_GB2312" w:eastAsia="仿宋_GB2312"/>
          <w:b w:val="0"/>
          <w:sz w:val="32"/>
          <w:szCs w:val="32"/>
          <w:lang w:val="en-US" w:eastAsia="zh-CN"/>
        </w:rPr>
        <w:t>51</w:t>
      </w:r>
      <w:r>
        <w:rPr>
          <w:rFonts w:ascii="仿宋_GB2312" w:eastAsia="仿宋_GB2312"/>
          <w:b w:val="0"/>
          <w:sz w:val="32"/>
          <w:szCs w:val="32"/>
        </w:rPr>
        <w:t>万元，增长2</w:t>
      </w:r>
      <w:r>
        <w:rPr>
          <w:rFonts w:hint="eastAsia" w:ascii="仿宋_GB2312" w:eastAsia="仿宋_GB2312"/>
          <w:b w:val="0"/>
          <w:sz w:val="32"/>
          <w:szCs w:val="32"/>
          <w:lang w:val="en-US" w:eastAsia="zh-CN"/>
        </w:rPr>
        <w:t>4</w:t>
      </w:r>
      <w:r>
        <w:rPr>
          <w:rFonts w:ascii="仿宋_GB2312" w:eastAsia="仿宋_GB2312"/>
          <w:b w:val="0"/>
          <w:sz w:val="32"/>
          <w:szCs w:val="32"/>
        </w:rPr>
        <w:t>.</w:t>
      </w:r>
      <w:r>
        <w:rPr>
          <w:rFonts w:hint="eastAsia" w:ascii="仿宋_GB2312" w:eastAsia="仿宋_GB2312"/>
          <w:b w:val="0"/>
          <w:sz w:val="32"/>
          <w:szCs w:val="32"/>
          <w:lang w:val="en-US" w:eastAsia="zh-CN"/>
        </w:rPr>
        <w:t>03</w:t>
      </w:r>
      <w:r>
        <w:rPr>
          <w:rFonts w:ascii="仿宋_GB2312" w:eastAsia="仿宋_GB2312"/>
          <w:b w:val="0"/>
          <w:sz w:val="32"/>
          <w:szCs w:val="32"/>
        </w:rPr>
        <w:t>%，主要原因是：</w:t>
      </w:r>
      <w:r>
        <w:rPr>
          <w:rFonts w:hint="eastAsia" w:ascii="仿宋_GB2312" w:eastAsia="仿宋_GB2312"/>
          <w:b w:val="0"/>
          <w:sz w:val="32"/>
          <w:szCs w:val="32"/>
        </w:rPr>
        <w:t>本年度</w:t>
      </w:r>
      <w:r>
        <w:rPr>
          <w:rFonts w:hint="eastAsia" w:ascii="仿宋_GB2312" w:eastAsia="仿宋_GB2312"/>
          <w:b w:val="0"/>
          <w:sz w:val="32"/>
          <w:szCs w:val="32"/>
          <w:lang w:eastAsia="zh-CN"/>
        </w:rPr>
        <w:t>用于支付历年办公费欠款。</w:t>
      </w:r>
    </w:p>
    <w:p>
      <w:pPr>
        <w:keepNext w:val="0"/>
        <w:keepLines w:val="0"/>
        <w:pageBreakBefore w:val="0"/>
        <w:widowControl/>
        <w:numPr>
          <w:ilvl w:val="0"/>
          <w:numId w:val="2"/>
        </w:numPr>
        <w:kinsoku/>
        <w:wordWrap/>
        <w:overflowPunct/>
        <w:topLinePunct w:val="0"/>
        <w:autoSpaceDE/>
        <w:autoSpaceDN/>
        <w:bidi w:val="0"/>
        <w:adjustRightInd/>
        <w:spacing w:before="0" w:beforeAutospacing="0" w:after="0" w:afterAutospacing="0" w:line="240" w:lineRule="auto"/>
        <w:ind w:firstLine="640" w:firstLineChars="200"/>
        <w:jc w:val="left"/>
        <w:textAlignment w:val="auto"/>
        <w:outlineLvl w:val="1"/>
        <w:rPr>
          <w:rFonts w:ascii="黑体" w:eastAsia="黑体"/>
          <w:b w:val="0"/>
          <w:sz w:val="32"/>
          <w:szCs w:val="32"/>
        </w:rPr>
      </w:pPr>
      <w:r>
        <w:rPr>
          <w:rFonts w:ascii="黑体" w:eastAsia="黑体"/>
          <w:b w:val="0"/>
          <w:sz w:val="32"/>
          <w:szCs w:val="32"/>
        </w:rPr>
        <w:t>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pacing w:before="0" w:beforeAutospacing="0" w:after="0" w:afterAutospacing="0" w:line="240" w:lineRule="auto"/>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2024年度一般公共预算财政拨款基本支出1,332.51万元，其中：人员经费1,211.92万元，包括：基本工资、津贴补贴、奖金、机关事业单位基本养老保险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公用经费120.59万元，包括：办公费、印刷费、水费、电费、取暖费、物业管理费、差旅费、培训费、工会经费、公务用车运行维护费和办公设备购置。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2024年度国有资本经营预算财政拨款收入总计49.07万元，其中：年初结转和结余0.00万元，本年收入49.07万元。国有资本经营预算财政拨款支出总计49.07万元，其中：年末结转和结余0.00万元，本年支出49.07万元。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国有资本经营预算财政拨款收入支出总体与上年相比，增加9.50万元，增长24.01%，主要原因是：</w:t>
      </w:r>
      <w:r>
        <w:rPr>
          <w:rFonts w:hint="eastAsia" w:ascii="Times New Roman" w:hAnsi="Times New Roman" w:eastAsia="仿宋_GB2312" w:cs="Times New Roman"/>
          <w:b w:val="0"/>
          <w:sz w:val="31"/>
          <w:szCs w:val="31"/>
          <w:highlight w:val="none"/>
          <w:lang w:eastAsia="zh-CN"/>
        </w:rPr>
        <w:t>本年预算含</w:t>
      </w:r>
      <w:r>
        <w:rPr>
          <w:rFonts w:hint="eastAsia" w:ascii="Times New Roman" w:hAnsi="Times New Roman" w:eastAsia="仿宋_GB2312" w:cs="Times New Roman"/>
          <w:b w:val="0"/>
          <w:sz w:val="31"/>
          <w:szCs w:val="31"/>
          <w:highlight w:val="none"/>
          <w:lang w:val="en-US" w:eastAsia="zh-CN"/>
        </w:rPr>
        <w:t>2022年、2023年资金21.49万元</w:t>
      </w:r>
      <w:r>
        <w:rPr>
          <w:rFonts w:ascii="仿宋_GB2312" w:eastAsia="仿宋_GB2312"/>
          <w:b w:val="0"/>
          <w:sz w:val="32"/>
          <w:szCs w:val="32"/>
        </w:rPr>
        <w:t>。与年初预算相比，年初预算数21.49万元，决算数49.07万元，预决算差异率128.34%，主要原因是：预算时仅包含上年结转费用，不含本年下达资金</w:t>
      </w:r>
      <w:r>
        <w:rPr>
          <w:rFonts w:hint="eastAsia" w:ascii="仿宋_GB2312" w:eastAsia="仿宋_GB2312"/>
          <w:b w:val="0"/>
          <w:sz w:val="32"/>
          <w:szCs w:val="32"/>
          <w:lang w:eastAsia="zh-CN"/>
        </w:rPr>
        <w:t>；</w:t>
      </w:r>
      <w:r>
        <w:rPr>
          <w:rFonts w:ascii="仿宋_GB2312" w:eastAsia="仿宋_GB2312"/>
          <w:b w:val="0"/>
          <w:sz w:val="32"/>
          <w:szCs w:val="32"/>
        </w:rPr>
        <w:t>年中新增2024年国有企业退休人员社会化管理补助资金。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国有资本经营预算财政拨款支出49.07万元。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国有资本经营预算支出（类）解决历史遗留问题及改革成本支出（款）国有企业退休人员社会化管理补助支出（项）：支出决算数为49.07万元，比上年决算增加9.50万元，增长24.01%，主要原因是：</w:t>
      </w:r>
      <w:r>
        <w:rPr>
          <w:rFonts w:hint="eastAsia" w:ascii="仿宋_GB2312" w:eastAsia="仿宋_GB2312"/>
          <w:b w:val="0"/>
          <w:sz w:val="32"/>
          <w:szCs w:val="32"/>
          <w:lang w:eastAsia="zh-CN"/>
        </w:rPr>
        <w:t>本年度支付历年办公费欠款。</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2024年度财政拨款“三公”经费支出4.72万元，与上年相比无变化，主要原因是：</w:t>
      </w:r>
      <w:r>
        <w:rPr>
          <w:rFonts w:hint="default" w:ascii="Times New Roman" w:hAnsi="Times New Roman" w:eastAsia="仿宋_GB2312" w:cs="Times New Roman"/>
          <w:b w:val="0"/>
          <w:sz w:val="31"/>
          <w:szCs w:val="31"/>
          <w:lang w:val="en-US" w:eastAsia="zh-CN"/>
        </w:rPr>
        <w:t>根据中央八项规定，厉行节约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。其中：因公出国（境）费支出0.00万元,占0.00%，与上年相比无变化，主要原因是：</w:t>
      </w:r>
      <w:r>
        <w:rPr>
          <w:rFonts w:hint="default" w:ascii="Times New Roman" w:hAnsi="Times New Roman" w:eastAsia="仿宋_GB2312" w:cs="Times New Roman"/>
          <w:b w:val="0"/>
          <w:sz w:val="31"/>
          <w:szCs w:val="31"/>
          <w:lang w:val="en-US" w:eastAsia="zh-CN"/>
        </w:rPr>
        <w:t>根据中央八项规定，厉行节约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；公务用车购置及运行维护费支出4.72万元，占100.00%，与上年相比无变化，主要原因是：</w:t>
      </w:r>
      <w:r>
        <w:rPr>
          <w:rFonts w:hint="default" w:ascii="Times New Roman" w:hAnsi="Times New Roman" w:eastAsia="仿宋_GB2312" w:cs="Times New Roman"/>
          <w:b w:val="0"/>
          <w:sz w:val="31"/>
          <w:szCs w:val="31"/>
          <w:lang w:val="en-US" w:eastAsia="zh-CN"/>
        </w:rPr>
        <w:t>根据中央八项规定，厉行节约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；公务接待费支出0.00万元，占0.00%，与上年相比无变化，主要原因是：</w:t>
      </w:r>
      <w:r>
        <w:rPr>
          <w:rFonts w:hint="default" w:ascii="Times New Roman" w:hAnsi="Times New Roman" w:eastAsia="仿宋_GB2312" w:cs="Times New Roman"/>
          <w:b w:val="0"/>
          <w:sz w:val="31"/>
          <w:szCs w:val="31"/>
          <w:lang w:val="en-US" w:eastAsia="zh-CN"/>
        </w:rPr>
        <w:t>我单位无公务接待费支出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公务用车购置及运行维护费4.72万元，其中：公务用车购置费0.00万元，公务用车运行维护费4.72万元。公务用车运行维护费开支内容包括</w:t>
      </w:r>
      <w:r>
        <w:rPr>
          <w:rFonts w:hint="eastAsia" w:ascii="仿宋_GB2312" w:eastAsia="仿宋_GB2312"/>
          <w:b w:val="0"/>
          <w:sz w:val="32"/>
          <w:szCs w:val="32"/>
          <w:lang w:eastAsia="zh-CN"/>
        </w:rPr>
        <w:t>车辆</w:t>
      </w:r>
      <w:r>
        <w:rPr>
          <w:rFonts w:hint="eastAsia" w:ascii="仿宋_GB2312" w:eastAsia="仿宋_GB2312"/>
          <w:b w:val="0"/>
          <w:sz w:val="32"/>
          <w:szCs w:val="32"/>
        </w:rPr>
        <w:t>在线监测（GPS）费用</w:t>
      </w:r>
      <w:r>
        <w:rPr>
          <w:rFonts w:hint="eastAsia" w:ascii="仿宋_GB2312" w:eastAsia="仿宋_GB2312"/>
          <w:b w:val="0"/>
          <w:sz w:val="32"/>
          <w:szCs w:val="32"/>
          <w:lang w:eastAsia="zh-CN"/>
        </w:rPr>
        <w:t>、</w:t>
      </w:r>
      <w:r>
        <w:rPr>
          <w:rFonts w:hint="default" w:ascii="Times New Roman" w:hAnsi="Times New Roman" w:eastAsia="仿宋_GB2312" w:cs="Times New Roman"/>
          <w:b w:val="0"/>
          <w:sz w:val="31"/>
          <w:szCs w:val="31"/>
          <w:lang w:val="en-US" w:eastAsia="zh-CN"/>
        </w:rPr>
        <w:t>车辆燃油费、维修费等</w:t>
      </w:r>
      <w:r>
        <w:rPr>
          <w:rFonts w:ascii="仿宋_GB2312" w:eastAsia="仿宋_GB2312"/>
          <w:b w:val="0"/>
          <w:sz w:val="32"/>
          <w:szCs w:val="32"/>
        </w:rPr>
        <w:t>。公务用车购置数0辆，公务用车保有量3辆。国有资产占用情况中固定资产车辆0辆，与公务用车保有量差异原因是：</w:t>
      </w:r>
      <w:r>
        <w:rPr>
          <w:rFonts w:hint="eastAsia" w:ascii="仿宋_GB2312" w:hAnsi="Times New Roman" w:eastAsia="仿宋_GB2312" w:cs="Times New Roman"/>
          <w:b w:val="0"/>
          <w:sz w:val="32"/>
          <w:szCs w:val="32"/>
        </w:rPr>
        <w:t>我单位现使用公务车辆3辆，均为租借用车辆，其车辆所有权归属机关事务管理局，我单位仅有使用权，车辆使用造成的燃油、电费及相关维修维护费用由我单位支付，本年度根据实际情况使用公务用车运行维护费</w:t>
      </w:r>
      <w:r>
        <w:rPr>
          <w:rFonts w:ascii="仿宋_GB2312"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与全年预算相比，财政拨款“三公”经费支出全年预算数4.72万元，决算数4.72万元，预决算差异率0.00%，主要原因是：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。其中：因公出国（境）费全年预算数0.00万元，决算数0.00万元，预决算差异率0.00%，主要原因是：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。公务用车购置费全年预算数0.00万元，决算数0.00万元，预决算差异率0.00%，主要原因是：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。公务用车运行维护费全年预算数4.72万元，决算数4.72万元，预决算差异率0.00%，主要原因是：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。公务接待费全年预算数0.00万元，决算数0.00万元，预决算差异率0.00%，主要原因是：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2024年度库尔勒市楼兰街道办事处部门机关运行经费支出120.59万元，比上年增加81.38万元，增长207.55%，主要原因是：本年度使用机关运行经费支付了临聘人员劳务费，保障了社区党建经费和网格经费的拨付</w:t>
      </w:r>
      <w:r>
        <w:rPr>
          <w:rFonts w:hint="eastAsia" w:ascii="仿宋_GB2312" w:eastAsia="仿宋_GB2312"/>
          <w:b w:val="0"/>
          <w:sz w:val="32"/>
          <w:szCs w:val="32"/>
          <w:lang w:eastAsia="zh-CN"/>
        </w:rPr>
        <w:t>，</w:t>
      </w:r>
      <w:r>
        <w:rPr>
          <w:rFonts w:ascii="仿宋_GB2312" w:eastAsia="仿宋_GB2312"/>
          <w:b w:val="0"/>
          <w:sz w:val="32"/>
          <w:szCs w:val="32"/>
        </w:rPr>
        <w:t>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2024年度政府采购支出总额95.78万元，其中：政府采购货物支出37.11万元、政府采购工程支出0.00万元、政府采购服务支出58.67万元。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授予中小企业合同金额83.62万元，占政府采购支出总额的87.30%，其中：授予小微企业合同金额79.21万元，占政府采购支出总额的82.70%。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rPr>
        <w:t>我单位无其他用车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w:t>
      </w:r>
      <w:r>
        <w:rPr>
          <w:rFonts w:hint="eastAsia" w:ascii="仿宋_GB2312" w:eastAsia="仿宋_GB2312"/>
          <w:b w:val="0"/>
          <w:sz w:val="32"/>
          <w:szCs w:val="32"/>
          <w:lang w:val="en-US" w:eastAsia="zh-CN"/>
        </w:rPr>
        <w:t>1465.18</w:t>
      </w:r>
      <w:r>
        <w:rPr>
          <w:rFonts w:ascii="仿宋_GB2312" w:eastAsia="仿宋_GB2312"/>
          <w:b w:val="0"/>
          <w:sz w:val="32"/>
          <w:szCs w:val="32"/>
        </w:rPr>
        <w:t>万元，实际执行总额</w:t>
      </w:r>
      <w:r>
        <w:rPr>
          <w:rFonts w:hint="eastAsia" w:ascii="仿宋_GB2312" w:eastAsia="仿宋_GB2312"/>
          <w:b w:val="0"/>
          <w:sz w:val="32"/>
          <w:szCs w:val="32"/>
          <w:lang w:val="en-US" w:eastAsia="zh-CN"/>
        </w:rPr>
        <w:t>1465.18</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10</w:t>
      </w:r>
      <w:r>
        <w:rPr>
          <w:rFonts w:ascii="仿宋_GB2312" w:eastAsia="仿宋_GB2312"/>
          <w:b w:val="0"/>
          <w:sz w:val="32"/>
          <w:szCs w:val="32"/>
        </w:rPr>
        <w:t>个，全年预算数</w:t>
      </w:r>
      <w:r>
        <w:rPr>
          <w:rFonts w:hint="eastAsia" w:ascii="仿宋_GB2312" w:eastAsia="仿宋_GB2312"/>
          <w:b w:val="0"/>
          <w:sz w:val="32"/>
          <w:szCs w:val="32"/>
          <w:lang w:val="en-US" w:eastAsia="zh-CN"/>
        </w:rPr>
        <w:t>226.37</w:t>
      </w:r>
      <w:r>
        <w:rPr>
          <w:rFonts w:ascii="仿宋_GB2312" w:eastAsia="仿宋_GB2312"/>
          <w:b w:val="0"/>
          <w:sz w:val="32"/>
          <w:szCs w:val="32"/>
        </w:rPr>
        <w:t>万元，全年执行数</w:t>
      </w:r>
      <w:r>
        <w:rPr>
          <w:rFonts w:hint="eastAsia" w:ascii="仿宋_GB2312" w:eastAsia="仿宋_GB2312"/>
          <w:b w:val="0"/>
          <w:sz w:val="32"/>
          <w:szCs w:val="32"/>
          <w:lang w:val="en-US" w:eastAsia="zh-CN"/>
        </w:rPr>
        <w:t>224.33</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在项目资金使用过程中，严格落实把关，再三审核。同时做好监督检查工作，严格按照项目管理规范进行，按照项目资金使用范围做好审核工作，让项目资金落于实处。 在项目完成后，通过利益相关深度，公众参与评价，通过问卷满意度调查，盛情邀请退休人员进行评价填写，将群众的意见纳入评价结果，做好调查工作</w:t>
      </w:r>
      <w:r>
        <w:rPr>
          <w:rFonts w:ascii="仿宋_GB2312" w:eastAsia="仿宋_GB2312"/>
          <w:b w:val="0"/>
          <w:sz w:val="32"/>
          <w:szCs w:val="32"/>
        </w:rPr>
        <w:t>。发现的问题及原因：</w:t>
      </w:r>
      <w:r>
        <w:rPr>
          <w:rStyle w:val="9"/>
          <w:rFonts w:hint="eastAsia" w:ascii="仿宋_GB2312" w:hAnsi="楷体" w:eastAsia="仿宋_GB2312" w:cs="Times New Roman"/>
          <w:b w:val="0"/>
          <w:bCs w:val="0"/>
          <w:spacing w:val="-4"/>
          <w:sz w:val="32"/>
          <w:szCs w:val="32"/>
          <w:highlight w:val="none"/>
          <w:lang w:val="en-US" w:eastAsia="zh-CN"/>
        </w:rPr>
        <w:t>业务能力有待加强，同时缺乏相应的专业知识，对预算绩效管理的相关业务培训需要进一步加强</w:t>
      </w:r>
      <w:r>
        <w:rPr>
          <w:rFonts w:ascii="仿宋_GB2312" w:eastAsia="仿宋_GB2312"/>
          <w:b w:val="0"/>
          <w:sz w:val="32"/>
          <w:szCs w:val="32"/>
        </w:rPr>
        <w:t>。下一步改进措施：</w:t>
      </w:r>
      <w:r>
        <w:rPr>
          <w:rStyle w:val="9"/>
          <w:rFonts w:hint="eastAsia" w:ascii="仿宋_GB2312" w:hAnsi="楷体" w:eastAsia="仿宋_GB2312" w:cs="Times New Roman"/>
          <w:b w:val="0"/>
          <w:bCs w:val="0"/>
          <w:i w:val="0"/>
          <w:iCs w:val="0"/>
          <w:spacing w:val="-4"/>
          <w:kern w:val="2"/>
          <w:sz w:val="32"/>
          <w:szCs w:val="32"/>
          <w:highlight w:val="none"/>
          <w:lang w:val="en-US" w:eastAsia="zh-CN" w:bidi="ar-SA"/>
        </w:rPr>
        <w:t>加强队伍建设及相关业务知识，严格执行全过程预算绩效管理，提高预算编制的科学性及合理性,为资金管理及绩效评价工作开展创造好的条件；严格按照绩效管理及考核相关规定，加强绩效管理，将绩效工作细化、量化，做准基本支出预算，做全项目支出预算</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3"/>
        <w:rPr>
          <w:rFonts w:ascii="仿宋_GB2312" w:eastAsia="仿宋_GB2312"/>
          <w:b w:val="0"/>
          <w:sz w:val="32"/>
          <w:szCs w:val="32"/>
        </w:rPr>
      </w:pPr>
    </w:p>
    <w:p>
      <w:pPr>
        <w:rPr>
          <w:rFonts w:ascii="仿宋_GB2312" w:eastAsia="仿宋_GB2312"/>
          <w:b w:val="0"/>
          <w:sz w:val="32"/>
          <w:szCs w:val="32"/>
        </w:rPr>
      </w:pPr>
    </w:p>
    <w:p>
      <w:pPr>
        <w:pStyle w:val="2"/>
      </w:pPr>
    </w:p>
    <w:p>
      <w:pPr>
        <w:pStyle w:val="3"/>
      </w:pPr>
      <w:r>
        <w:drawing>
          <wp:anchor distT="0" distB="0" distL="114300" distR="114300" simplePos="0" relativeHeight="251659264" behindDoc="0" locked="0" layoutInCell="1" allowOverlap="1">
            <wp:simplePos x="0" y="0"/>
            <wp:positionH relativeFrom="column">
              <wp:posOffset>38100</wp:posOffset>
            </wp:positionH>
            <wp:positionV relativeFrom="paragraph">
              <wp:posOffset>133350</wp:posOffset>
            </wp:positionV>
            <wp:extent cx="5479415" cy="4791710"/>
            <wp:effectExtent l="0" t="0" r="6985" b="889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479415" cy="4791710"/>
                    </a:xfrm>
                    <a:prstGeom prst="rect">
                      <a:avLst/>
                    </a:prstGeom>
                    <a:noFill/>
                    <a:ln>
                      <a:noFill/>
                    </a:ln>
                  </pic:spPr>
                </pic:pic>
              </a:graphicData>
            </a:graphic>
          </wp:anchor>
        </w:drawing>
      </w:r>
    </w:p>
    <w:p/>
    <w:p>
      <w:pPr>
        <w:pStyle w:val="2"/>
      </w:pPr>
    </w:p>
    <w:p>
      <w:pPr>
        <w:pStyle w:val="3"/>
      </w:pPr>
    </w:p>
    <w:p/>
    <w:p>
      <w:pPr>
        <w:pStyle w:val="2"/>
      </w:pPr>
    </w:p>
    <w:p>
      <w:pPr>
        <w:pStyle w:val="3"/>
      </w:pPr>
    </w:p>
    <w:p/>
    <w:p>
      <w:pPr>
        <w:pStyle w:val="2"/>
      </w:pPr>
    </w:p>
    <w:p/>
    <w:p>
      <w:pPr>
        <w:pStyle w:val="2"/>
      </w:pPr>
    </w:p>
    <w:p>
      <w:pPr>
        <w:pStyle w:val="3"/>
      </w:pPr>
    </w:p>
    <w:p/>
    <w:p>
      <w:pPr>
        <w:pStyle w:val="2"/>
      </w:pPr>
    </w:p>
    <w:p>
      <w:pPr>
        <w:pStyle w:val="3"/>
      </w:pPr>
    </w:p>
    <w:p/>
    <w:p>
      <w:pPr>
        <w:pStyle w:val="2"/>
      </w:pPr>
    </w:p>
    <w:p>
      <w:pPr>
        <w:pStyle w:val="3"/>
      </w:pPr>
      <w:r>
        <w:drawing>
          <wp:anchor distT="0" distB="0" distL="114300" distR="114300" simplePos="0" relativeHeight="251660288" behindDoc="0" locked="0" layoutInCell="1" allowOverlap="1">
            <wp:simplePos x="0" y="0"/>
            <wp:positionH relativeFrom="column">
              <wp:posOffset>-57150</wp:posOffset>
            </wp:positionH>
            <wp:positionV relativeFrom="paragraph">
              <wp:posOffset>104775</wp:posOffset>
            </wp:positionV>
            <wp:extent cx="5558155" cy="5075555"/>
            <wp:effectExtent l="0" t="0" r="4445" b="1079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5558155" cy="5075555"/>
                    </a:xfrm>
                    <a:prstGeom prst="rect">
                      <a:avLst/>
                    </a:prstGeom>
                    <a:noFill/>
                    <a:ln>
                      <a:noFill/>
                    </a:ln>
                  </pic:spPr>
                </pic:pic>
              </a:graphicData>
            </a:graphic>
          </wp:anchor>
        </w:drawing>
      </w:r>
    </w:p>
    <w:p/>
    <w:p>
      <w:pPr>
        <w:pStyle w:val="2"/>
      </w:pPr>
    </w:p>
    <w:p>
      <w:pPr>
        <w:pStyle w:val="3"/>
      </w:pPr>
    </w:p>
    <w:p/>
    <w:p>
      <w:pPr>
        <w:pStyle w:val="3"/>
      </w:pPr>
    </w:p>
    <w:p/>
    <w:p>
      <w:pPr>
        <w:pStyle w:val="2"/>
      </w:pPr>
    </w:p>
    <w:p>
      <w:pPr>
        <w:pStyle w:val="3"/>
      </w:pPr>
    </w:p>
    <w:p/>
    <w:p>
      <w:pPr>
        <w:pStyle w:val="2"/>
      </w:pPr>
    </w:p>
    <w:p>
      <w:pPr>
        <w:pStyle w:val="3"/>
      </w:pPr>
    </w:p>
    <w:p/>
    <w:p>
      <w:pPr>
        <w:pStyle w:val="2"/>
      </w:pPr>
    </w:p>
    <w:p>
      <w:pPr>
        <w:pStyle w:val="3"/>
      </w:pPr>
      <w:r>
        <w:drawing>
          <wp:anchor distT="0" distB="0" distL="114300" distR="114300" simplePos="0" relativeHeight="251664384" behindDoc="0" locked="0" layoutInCell="1" allowOverlap="1">
            <wp:simplePos x="0" y="0"/>
            <wp:positionH relativeFrom="column">
              <wp:posOffset>19050</wp:posOffset>
            </wp:positionH>
            <wp:positionV relativeFrom="paragraph">
              <wp:posOffset>180975</wp:posOffset>
            </wp:positionV>
            <wp:extent cx="5478145" cy="6054090"/>
            <wp:effectExtent l="0" t="0" r="8255" b="381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5478145" cy="6054090"/>
                    </a:xfrm>
                    <a:prstGeom prst="rect">
                      <a:avLst/>
                    </a:prstGeom>
                    <a:noFill/>
                    <a:ln>
                      <a:noFill/>
                    </a:ln>
                  </pic:spPr>
                </pic:pic>
              </a:graphicData>
            </a:graphic>
          </wp:anchor>
        </w:drawing>
      </w:r>
    </w:p>
    <w:p/>
    <w:p>
      <w:pPr>
        <w:pStyle w:val="2"/>
      </w:pPr>
    </w:p>
    <w:p>
      <w:pPr>
        <w:pStyle w:val="3"/>
      </w:pPr>
    </w:p>
    <w:p/>
    <w:p>
      <w:pPr>
        <w:pStyle w:val="2"/>
      </w:pPr>
    </w:p>
    <w:p>
      <w:pPr>
        <w:pStyle w:val="3"/>
      </w:pPr>
    </w:p>
    <w:p/>
    <w:p>
      <w:pPr>
        <w:pStyle w:val="2"/>
      </w:pPr>
    </w:p>
    <w:p>
      <w:pPr>
        <w:pStyle w:val="3"/>
      </w:pPr>
      <w:r>
        <w:drawing>
          <wp:anchor distT="0" distB="0" distL="114300" distR="114300" simplePos="0" relativeHeight="251663360" behindDoc="0" locked="0" layoutInCell="1" allowOverlap="1">
            <wp:simplePos x="0" y="0"/>
            <wp:positionH relativeFrom="column">
              <wp:posOffset>19050</wp:posOffset>
            </wp:positionH>
            <wp:positionV relativeFrom="paragraph">
              <wp:posOffset>183515</wp:posOffset>
            </wp:positionV>
            <wp:extent cx="5485130" cy="3762375"/>
            <wp:effectExtent l="0" t="0" r="1270" b="9525"/>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5485130" cy="3762375"/>
                    </a:xfrm>
                    <a:prstGeom prst="rect">
                      <a:avLst/>
                    </a:prstGeom>
                    <a:noFill/>
                    <a:ln>
                      <a:noFill/>
                    </a:ln>
                  </pic:spPr>
                </pic:pic>
              </a:graphicData>
            </a:graphic>
          </wp:anchor>
        </w:drawing>
      </w: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r>
        <w:drawing>
          <wp:anchor distT="0" distB="0" distL="114300" distR="114300" simplePos="0" relativeHeight="251662336" behindDoc="0" locked="0" layoutInCell="1" allowOverlap="1">
            <wp:simplePos x="0" y="0"/>
            <wp:positionH relativeFrom="column">
              <wp:posOffset>28575</wp:posOffset>
            </wp:positionH>
            <wp:positionV relativeFrom="paragraph">
              <wp:posOffset>128905</wp:posOffset>
            </wp:positionV>
            <wp:extent cx="5484495" cy="7146290"/>
            <wp:effectExtent l="0" t="0" r="1905" b="1651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5484495" cy="7146290"/>
                    </a:xfrm>
                    <a:prstGeom prst="rect">
                      <a:avLst/>
                    </a:prstGeom>
                    <a:noFill/>
                    <a:ln>
                      <a:noFill/>
                    </a:ln>
                  </pic:spPr>
                </pic:pic>
              </a:graphicData>
            </a:graphic>
          </wp:anchor>
        </w:drawing>
      </w:r>
    </w:p>
    <w:p/>
    <w:p>
      <w:pPr>
        <w:pStyle w:val="2"/>
      </w:pPr>
    </w:p>
    <w:p>
      <w:pPr>
        <w:pStyle w:val="3"/>
      </w:pPr>
    </w:p>
    <w:p/>
    <w:p>
      <w:pPr>
        <w:pStyle w:val="2"/>
      </w:pPr>
      <w:r>
        <w:drawing>
          <wp:anchor distT="0" distB="0" distL="114300" distR="114300" simplePos="0" relativeHeight="251667456" behindDoc="0" locked="0" layoutInCell="1" allowOverlap="1">
            <wp:simplePos x="0" y="0"/>
            <wp:positionH relativeFrom="column">
              <wp:posOffset>-9525</wp:posOffset>
            </wp:positionH>
            <wp:positionV relativeFrom="paragraph">
              <wp:posOffset>89535</wp:posOffset>
            </wp:positionV>
            <wp:extent cx="5479415" cy="4641850"/>
            <wp:effectExtent l="0" t="0" r="6985" b="635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5479415" cy="4641850"/>
                    </a:xfrm>
                    <a:prstGeom prst="rect">
                      <a:avLst/>
                    </a:prstGeom>
                    <a:noFill/>
                    <a:ln>
                      <a:noFill/>
                    </a:ln>
                  </pic:spPr>
                </pic:pic>
              </a:graphicData>
            </a:graphic>
          </wp:anchor>
        </w:drawing>
      </w:r>
    </w:p>
    <w:p>
      <w:pPr>
        <w:pStyle w:val="3"/>
      </w:pPr>
    </w:p>
    <w:p/>
    <w:p>
      <w:pPr>
        <w:pStyle w:val="2"/>
      </w:pPr>
    </w:p>
    <w:p>
      <w:pPr>
        <w:pStyle w:val="3"/>
      </w:pPr>
    </w:p>
    <w:p/>
    <w:p>
      <w:pPr>
        <w:pStyle w:val="2"/>
      </w:pPr>
    </w:p>
    <w:p/>
    <w:p>
      <w:pPr>
        <w:pStyle w:val="2"/>
      </w:pPr>
    </w:p>
    <w:p>
      <w:pPr>
        <w:pStyle w:val="3"/>
      </w:pPr>
    </w:p>
    <w:p/>
    <w:p>
      <w:pPr>
        <w:pStyle w:val="2"/>
      </w:pPr>
    </w:p>
    <w:p>
      <w:pPr>
        <w:pStyle w:val="3"/>
      </w:pPr>
    </w:p>
    <w:p/>
    <w:p>
      <w:pPr>
        <w:pStyle w:val="2"/>
      </w:pPr>
    </w:p>
    <w:p>
      <w:pPr>
        <w:pStyle w:val="3"/>
      </w:pPr>
    </w:p>
    <w:p/>
    <w:p>
      <w:pPr>
        <w:pStyle w:val="2"/>
      </w:pPr>
      <w:r>
        <w:drawing>
          <wp:anchor distT="0" distB="0" distL="114300" distR="114300" simplePos="0" relativeHeight="251661312" behindDoc="0" locked="0" layoutInCell="1" allowOverlap="1">
            <wp:simplePos x="0" y="0"/>
            <wp:positionH relativeFrom="column">
              <wp:posOffset>-38100</wp:posOffset>
            </wp:positionH>
            <wp:positionV relativeFrom="paragraph">
              <wp:posOffset>73660</wp:posOffset>
            </wp:positionV>
            <wp:extent cx="5483860" cy="2269490"/>
            <wp:effectExtent l="0" t="0" r="2540" b="1651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5483860" cy="2269490"/>
                    </a:xfrm>
                    <a:prstGeom prst="rect">
                      <a:avLst/>
                    </a:prstGeom>
                    <a:noFill/>
                    <a:ln>
                      <a:noFill/>
                    </a:ln>
                  </pic:spPr>
                </pic:pic>
              </a:graphicData>
            </a:graphic>
          </wp:anchor>
        </w:drawing>
      </w: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r>
        <w:drawing>
          <wp:anchor distT="0" distB="0" distL="114300" distR="114300" simplePos="0" relativeHeight="251665408" behindDoc="0" locked="0" layoutInCell="1" allowOverlap="1">
            <wp:simplePos x="0" y="0"/>
            <wp:positionH relativeFrom="column">
              <wp:posOffset>38100</wp:posOffset>
            </wp:positionH>
            <wp:positionV relativeFrom="paragraph">
              <wp:posOffset>85090</wp:posOffset>
            </wp:positionV>
            <wp:extent cx="5482590" cy="2012315"/>
            <wp:effectExtent l="0" t="0" r="3810" b="6985"/>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5482590" cy="2012315"/>
                    </a:xfrm>
                    <a:prstGeom prst="rect">
                      <a:avLst/>
                    </a:prstGeom>
                    <a:noFill/>
                    <a:ln>
                      <a:noFill/>
                    </a:ln>
                  </pic:spPr>
                </pic:pic>
              </a:graphicData>
            </a:graphic>
          </wp:anchor>
        </w:drawing>
      </w: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r>
        <w:drawing>
          <wp:anchor distT="0" distB="0" distL="114300" distR="114300" simplePos="0" relativeHeight="251666432" behindDoc="0" locked="0" layoutInCell="1" allowOverlap="1">
            <wp:simplePos x="0" y="0"/>
            <wp:positionH relativeFrom="column">
              <wp:posOffset>28575</wp:posOffset>
            </wp:positionH>
            <wp:positionV relativeFrom="paragraph">
              <wp:posOffset>203835</wp:posOffset>
            </wp:positionV>
            <wp:extent cx="5476240" cy="872490"/>
            <wp:effectExtent l="0" t="0" r="10160" b="381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476240" cy="872490"/>
                    </a:xfrm>
                    <a:prstGeom prst="rect">
                      <a:avLst/>
                    </a:prstGeom>
                    <a:noFill/>
                    <a:ln>
                      <a:noFill/>
                    </a:ln>
                  </pic:spPr>
                </pic:pic>
              </a:graphicData>
            </a:graphic>
          </wp:anchor>
        </w:drawing>
      </w:r>
    </w:p>
    <w:p/>
    <w:p>
      <w:pPr>
        <w:pStyle w:val="2"/>
      </w:pPr>
    </w:p>
    <w:p>
      <w:pPr>
        <w:pStyle w:val="3"/>
      </w:pPr>
    </w:p>
    <w:p/>
    <w:p>
      <w:pPr>
        <w:pStyle w:val="2"/>
      </w:pPr>
    </w:p>
    <w:p>
      <w:pPr>
        <w:pStyle w:val="3"/>
      </w:pPr>
    </w:p>
    <w:p/>
    <w:p>
      <w:pPr>
        <w:pStyle w:val="2"/>
      </w:pPr>
    </w:p>
    <w:p>
      <w:pPr>
        <w:pStyle w:val="2"/>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1B9C"/>
    <w:multiLevelType w:val="singleLevel"/>
    <w:tmpl w:val="0ABA1B9C"/>
    <w:lvl w:ilvl="0" w:tentative="0">
      <w:start w:val="1"/>
      <w:numFmt w:val="chineseCounting"/>
      <w:suff w:val="nothing"/>
      <w:lvlText w:val="（%1）"/>
      <w:lvlJc w:val="left"/>
      <w:rPr>
        <w:rFonts w:hint="eastAsia"/>
      </w:rPr>
    </w:lvl>
  </w:abstractNum>
  <w:abstractNum w:abstractNumId="1">
    <w:nsid w:val="15E614C9"/>
    <w:multiLevelType w:val="singleLevel"/>
    <w:tmpl w:val="15E614C9"/>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0D245F"/>
    <w:rsid w:val="022F3EF3"/>
    <w:rsid w:val="03855F41"/>
    <w:rsid w:val="10BB66EF"/>
    <w:rsid w:val="114B1E26"/>
    <w:rsid w:val="15AC058E"/>
    <w:rsid w:val="18E74AF3"/>
    <w:rsid w:val="1E8E4FAF"/>
    <w:rsid w:val="227F3D25"/>
    <w:rsid w:val="270A21E2"/>
    <w:rsid w:val="283C0464"/>
    <w:rsid w:val="34C0564F"/>
    <w:rsid w:val="39C371FE"/>
    <w:rsid w:val="3D273EA3"/>
    <w:rsid w:val="458327BF"/>
    <w:rsid w:val="4A1A5F5D"/>
    <w:rsid w:val="4DCA5AFE"/>
    <w:rsid w:val="59730FFA"/>
    <w:rsid w:val="5996029F"/>
    <w:rsid w:val="5B1D5532"/>
    <w:rsid w:val="5CCB24B5"/>
    <w:rsid w:val="632549A2"/>
    <w:rsid w:val="64173FFF"/>
    <w:rsid w:val="67140CC1"/>
    <w:rsid w:val="6D4643CD"/>
    <w:rsid w:val="6DDF5B80"/>
    <w:rsid w:val="6FDE50AA"/>
    <w:rsid w:val="70147C35"/>
    <w:rsid w:val="79F3776D"/>
    <w:rsid w:val="7B1C7FF2"/>
    <w:rsid w:val="7C2C78B7"/>
    <w:rsid w:val="7EEC3E1E"/>
    <w:rsid w:val="7F085A7C"/>
    <w:rsid w:val="7FC500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rPr>
  </w:style>
  <w:style w:type="paragraph" w:styleId="3">
    <w:name w:val="Body Text First Indent 2"/>
    <w:basedOn w:val="4"/>
    <w:next w:val="1"/>
    <w:qFormat/>
    <w:uiPriority w:val="0"/>
    <w:pPr>
      <w:spacing w:after="120"/>
      <w:ind w:firstLine="420" w:firstLineChars="200"/>
    </w:pPr>
    <w:rPr>
      <w:rFonts w:ascii="Calibri" w:hAnsi="Calibri" w:eastAsia="宋体" w:cs="Times New Roman"/>
    </w:rPr>
  </w:style>
  <w:style w:type="paragraph" w:styleId="4">
    <w:name w:val="Body Text Indent"/>
    <w:basedOn w:val="1"/>
    <w:next w:val="5"/>
    <w:qFormat/>
    <w:uiPriority w:val="0"/>
    <w:pPr>
      <w:ind w:firstLine="200" w:firstLineChars="200"/>
    </w:pPr>
    <w:rPr>
      <w:sz w:val="30"/>
    </w:rPr>
  </w:style>
  <w:style w:type="paragraph" w:styleId="5">
    <w:name w:val="index 7"/>
    <w:basedOn w:val="1"/>
    <w:next w:val="1"/>
    <w:qFormat/>
    <w:uiPriority w:val="0"/>
    <w:pPr>
      <w:ind w:left="2520"/>
    </w:p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kern w:val="0"/>
      <w:sz w:val="24"/>
      <w:lang w:val="en-US" w:eastAsia="zh-CN" w:bidi="ar"/>
    </w:rPr>
  </w:style>
  <w:style w:type="character" w:styleId="9">
    <w:name w:val="Strong"/>
    <w:basedOn w:val="8"/>
    <w:qFormat/>
    <w:uiPriority w:val="0"/>
    <w:rPr>
      <w:b/>
      <w:bCs/>
    </w:rPr>
  </w:style>
  <w:style w:type="paragraph" w:customStyle="1" w:styleId="10">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2025-08-15T03:46:00Z</dcterms:created>
  <dc:creator>Administrator</dc:creator>
  <cp:lastModifiedBy>Administrator</cp:lastModifiedBy>
  <dcterms:modified xsi:type="dcterms:W3CDTF">2025-08-19T13:16:35Z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