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库尔勒市胡杨林管理站</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管理胡杨保护工程，促进生态环境改善；胡杨林保护政策法规规划拟定；胡杨林保护工程检查与监督；胡杨林保护工程验收与评估；胡杨林保护工程监理与检测；胡杨林保护工程试点示范；胡杨林保护工程科技推广应用与人员培训；胡杨林保护工程宣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库尔勒市胡杨林管理站2024年度，实有人数19人，其中：在职人员14人，增加1人；离休人员0人，较上年无变化；退休人员5人，较上年无变化；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胡杨林管理站无下属预算单位，下设16个，分别是：普惠中心管护站、牧场管护站、托巴克其管护站、牙麦艾沙管护站、邦首管护站、夏布龙管护站、八队管护站、琼阿拉中心管护站、森且克管护站（老站）、森且克管护站（新站）、扎吾鲁克管护站、库尔楚管护站、牙鲁古孜克尔亲管护站、玉奇阿恰管护站、霍拉山管护站，今年新盖一个沙化管护站。</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2024年度收入总计211.42万元，其中：本年收入合计211.42万元，使用非财政拨款结余（含专用结余）0.00万元，年初结转和结余0.00万元。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2024年度支出总计211.42万元，其中：本年支出合计211.42万元，结余分配0.00万元，年末结转和结余0.00万元。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收入支出总体与上年相比，减少18.71万元，下降8.13%，主要原因是：节约正常开支。。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本年收入211.42万元，其中：财政拨款收入211.42万元,占100.00%；上级补助收入0.00万元,占0.00%；事业收入0.00万元，占0.00%；经营收入0.00万元,占0.00%；附属单位上缴收入0.00万元，占0.00%；其他收入0.00万元，占0.00%。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本年支出211.42万元，其中：基本支出211.42万元，占100.00%；项目支出0.00万元，占0.00%；上缴上级支出0.00万元，占0.00%；经营支出0.00万元，占0.00%；对附属单位补助支出0.00万元，占0.00%。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2024年度财政拨款收入总计211.42万元，其中：年初财政拨款结转和结余0.00万元，本年财政拨款收入211.42万元。财政拨款支出总计211.42万元，其中：年末财政拨款结转和结余0.00万元，本年财政拨款支出211.42万元。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18.71万元，下降8.13%，主要原因是：节约正常开支。与年初预算相比，年初预算数234.57万元，决算数211.42万元，预决算差异率-9.87%，主要原因是：节约开支，没有发放2024年奖金及考核工资。</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211.42万元，占本年支出合计的100.00%。与上年相比，减少18.71万元，下降8.13%，主要原因是：节约开支，没有发放2024年奖金及考核工资。与年初预算相比，年初预算数234.57万元，决算数211.42万元，预决算差异率-9.87%，主要原因是：节约开支，没有发放2024年奖金及考核工资。</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农林水支出（类）211.42万元，占100.00%。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教育支出（类）进修及培训（款）培训支出（项）：支出决算数为0.00万元，比上年决算减少0.84万元，下降100.00%，主要原因是：本年度没有发生培训业务。</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卫生健康支出（类）行政事业单位医疗（款）事业单位医疗（项）：支出决算数为0.00万元，比上年决算减少0.13万元，下降100.00%，主要原因是：今年事业单位医疗业务调整农林水支出款项。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农林水支出（类）林业和草原（款）事业机构（项）：支出决算数为211.42万元，比上年决算减少17.74万元，下降7.74%，主要原因是：节约开支，没有发放2024年奖金及考核工资。</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211.42万元，其中：人员经费200.91万元，包括：基本工资、津贴补贴、奖金、机关事业单位基本养老保险缴费、职工基本医疗保险缴费、其他社会保障缴费、住房公积金、医疗费、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公用经费10.51万元，包括：办公费、手续费、电费、邮电费、取暖费、物业管理费、差旅费、培训费、工会经费、福利费、公务用车运行维护费和其他交通费用。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2.40万元，比上年增加1.90万元，增长380.00%，主要原因是：公务车辆老旧，维修费增加。其中：因公出国（境）费支出0.00万元,占0.00%，与上年相比无变化，主要原因是：近几年没有发生过因公出国出差业务；公务用车购置及运行维护费支出2.40万元，占100.00%，比上年增加1.90万元，增长380.00%，主要原因是</w:t>
      </w:r>
      <w:r>
        <w:rPr>
          <w:rFonts w:hint="eastAsia" w:ascii="仿宋_GB2312" w:eastAsia="仿宋_GB2312"/>
          <w:b w:val="0"/>
          <w:sz w:val="32"/>
          <w:szCs w:val="32"/>
          <w:lang w:eastAsia="zh-CN"/>
        </w:rPr>
        <w:t>：</w:t>
      </w:r>
      <w:r>
        <w:rPr>
          <w:rFonts w:ascii="仿宋_GB2312" w:eastAsia="仿宋_GB2312"/>
          <w:b w:val="0"/>
          <w:sz w:val="32"/>
          <w:szCs w:val="32"/>
        </w:rPr>
        <w:t>公务车辆老旧，维修费增加；公务接待费支出0.00万元，占0.00%，与上年相比无变化，主要原因是：近几年没有发生过上级部门调查工作人员接待业务。</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因公出国（境）费支出0.00万元，开支内容包括因工作需要出国出差百里业务事项。单位全年安排的因公出国（境）团组0个，因公出国（境）0人次。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公务用车保险费、燃油费、维修费。公务用车购置数0辆，公务用车保有量2辆。国有资产占用情况中固定资产车辆2辆，与公务用车保有量差异原因是：新购买公务用车。</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公务接待费0.00万元，开支内容包括上级部门调查工作人员接待业务。单位全年安排的国内公务接待0批次，0人次。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预决算编制合理、没有超预算现象。其中：因公出国（境）费全年预算数0.00万元，决算数0.00万元，预决算差异率0.00%，主要原因是：预决算编制合理、没有超预算现象。公务用车购置费全年预算数0.00万元，决算数0.00万元，预决算差异率0.00%，主要原因是：预决算编制合理、没有超预算现象。公务用车运行维护费全年预算数2.40万元，决算数2.40万元，预决算差异率0.00%，主要原因是：预决算编制合理、没有超预算现象。公务接待费全年预算数0.00万元，决算数0.00万元，预决算差异率0.00%，主要原因是：预决算编制合理、没有超预算现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2024年度公用经费支出10.51万元，比上年增加2.98万元，增长39.58%，主要原因是：上年用往年购买的供暖煤，没有发生取暖费用，2024年发生取暖费。</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2024年度政府采购支出总额1.00万元，其中：政府采购货物支出0.00万元、政府采购工程支出0.00万元、政府采购服务支出1.00万元。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授予中小企业合同金额1.00万元，占政府采购支出总额的100.00%，其中：授予小微企业合同金额1.00万元，占政府采购支出总额的100.00%。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818.50平方米，价值69.98万元。车辆2辆，价值32.65万元，其中：副部（省）级及以上领导用车0辆、主要负责人用车0辆、机要通信用车0辆、应急保障用车0辆、执法执勤用车0辆、特种专业技术用车0辆、离退休干部服务用车0辆、其他用车2辆，其他用车主要是：森林管护消防用车;单价100万元（含）以上设备（不含车辆）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234.57万元，实际执行总额211.42万元；预算绩效评价项目0个，全年预算数211.42万元，全年执行数211.42万元。预算绩效管理取得的成效：加强人员管理和组织建设，业务工作开展及，及时开展森林防火安全检查监督工作，有效保护国家级公益林，改善保护生态环境。发现的问题及原因：本单位财务管理、绩效管理、决算组织、编报、审核不及时。下一步改进措施：按时上报上报决算数据和相关报表进行审核。。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485130" cy="7375525"/>
            <wp:effectExtent l="0" t="0" r="127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5130" cy="73755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53405" cy="2439035"/>
            <wp:effectExtent l="0" t="0" r="444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653405" cy="24390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2590" cy="2487930"/>
            <wp:effectExtent l="0" t="0" r="381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2590" cy="24879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bookmarkStart w:id="0" w:name="_GoBack"/>
      <w:bookmarkEnd w:id="0"/>
    </w:p>
    <w:p>
      <w:pPr>
        <w:widowControl/>
        <w:spacing w:before="0" w:beforeLines="0" w:beforeAutospacing="0" w:after="0" w:afterLines="0" w:afterAutospacing="0" w:line="240" w:lineRule="auto"/>
        <w:jc w:val="left"/>
        <w:outlineLvl w:val="1"/>
      </w:pPr>
      <w:r>
        <w:drawing>
          <wp:inline distT="0" distB="0" distL="114300" distR="114300">
            <wp:extent cx="5648325" cy="7950835"/>
            <wp:effectExtent l="0" t="0" r="952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48325" cy="7950835"/>
                    </a:xfrm>
                    <a:prstGeom prst="rect">
                      <a:avLst/>
                    </a:prstGeom>
                    <a:noFill/>
                    <a:ln>
                      <a:noFill/>
                    </a:ln>
                  </pic:spPr>
                </pic:pic>
              </a:graphicData>
            </a:graphic>
          </wp:inline>
        </w:drawing>
      </w:r>
      <w:r>
        <w:drawing>
          <wp:inline distT="0" distB="0" distL="114300" distR="114300">
            <wp:extent cx="5486400" cy="3219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6400" cy="32194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6400" cy="76727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6400" cy="76727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225" cy="2428875"/>
            <wp:effectExtent l="0" t="0" r="3175"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0"/>
                    <a:stretch>
                      <a:fillRect/>
                    </a:stretch>
                  </pic:blipFill>
                  <pic:spPr>
                    <a:xfrm>
                      <a:off x="0" y="0"/>
                      <a:ext cx="5483225" cy="24288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4495" cy="2766695"/>
            <wp:effectExtent l="0" t="0" r="1905"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4495" cy="27666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567680" cy="2205355"/>
            <wp:effectExtent l="0" t="0" r="1397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567680" cy="220535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2127E"/>
    <w:rsid w:val="22BA57C5"/>
    <w:rsid w:val="25DB7F18"/>
    <w:rsid w:val="29397951"/>
    <w:rsid w:val="3C531F58"/>
    <w:rsid w:val="4BFF4DBE"/>
    <w:rsid w:val="53A31CDE"/>
    <w:rsid w:val="6A1B0579"/>
    <w:rsid w:val="6EFC7A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2025-08-15T03:10:00Z</dcterms:created>
  <dc:creator>Administrator</dc:creator>
  <cp:lastModifiedBy>lenovo</cp:lastModifiedBy>
  <dcterms:modified xsi:type="dcterms:W3CDTF">2025-08-20T08:50:26Z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1DAF3364AABA406E9111A2DA1C69AD82</vt:lpwstr>
  </property>
</Properties>
</file>