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val="en-US" w:eastAsia="zh-CN"/>
        </w:rPr>
        <w:t>2024年中央林业草原生态保护恢复资金</w:t>
      </w:r>
      <w:r>
        <w:rPr>
          <w:rFonts w:hint="default" w:ascii="Times New Roman" w:hAnsi="Times New Roman" w:eastAsia="方正小标宋_GBK" w:cs="Times New Roman"/>
          <w:kern w:val="0"/>
          <w:sz w:val="48"/>
          <w:szCs w:val="48"/>
        </w:rPr>
        <w:t>项目支出绩效评价报告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1"/>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left="3236" w:leftChars="684" w:hanging="1800" w:hangingChars="5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项目名称：2024年中央林业草原生态保护恢</w:t>
      </w:r>
      <w:r>
        <w:rPr>
          <w:rFonts w:hint="eastAsia" w:eastAsia="仿宋_GB2312" w:cs="Times New Roman"/>
          <w:kern w:val="0"/>
          <w:sz w:val="36"/>
          <w:szCs w:val="36"/>
          <w:lang w:val="en-US" w:eastAsia="zh-CN"/>
        </w:rPr>
        <w:t xml:space="preserve"> </w:t>
      </w:r>
      <w:r>
        <w:rPr>
          <w:rFonts w:hint="default" w:ascii="Times New Roman" w:hAnsi="Times New Roman" w:eastAsia="仿宋_GB2312" w:cs="Times New Roman"/>
          <w:kern w:val="0"/>
          <w:sz w:val="36"/>
          <w:szCs w:val="36"/>
        </w:rPr>
        <w:t>复资金的通知（森林保护修复-国家级公益林区）</w:t>
      </w:r>
      <w:r>
        <w:rPr>
          <w:rFonts w:hint="eastAsia" w:eastAsia="仿宋_GB2312" w:cs="Times New Roman"/>
          <w:kern w:val="0"/>
          <w:sz w:val="36"/>
          <w:szCs w:val="36"/>
          <w:lang w:val="en-US" w:eastAsia="zh-CN"/>
        </w:rPr>
        <w:t>项目</w:t>
      </w:r>
    </w:p>
    <w:p>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库尔勒市林业和草原局</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库尔勒市林业和草原局</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乃比江·艾尔肯</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28</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7"/>
          <w:rFonts w:hint="default" w:ascii="Times New Roman" w:hAnsi="Times New Roman" w:eastAsia="黑体" w:cs="Times New Roman"/>
          <w:b w:val="0"/>
          <w:spacing w:val="-4"/>
          <w:sz w:val="32"/>
          <w:szCs w:val="32"/>
        </w:rPr>
      </w:pPr>
    </w:p>
    <w:p>
      <w:pPr>
        <w:spacing w:line="56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一、基本情况</w:t>
      </w:r>
    </w:p>
    <w:p>
      <w:pPr>
        <w:spacing w:line="560" w:lineRule="exact"/>
        <w:ind w:firstLine="643" w:firstLineChars="200"/>
        <w:rPr>
          <w:rFonts w:hint="eastAsia" w:ascii="方正楷体_GBK" w:hAnsi="方正楷体_GBK" w:eastAsia="方正楷体_GBK" w:cs="方正楷体_GBK"/>
          <w:b/>
          <w:bCs/>
          <w:sz w:val="32"/>
          <w:szCs w:val="32"/>
        </w:rPr>
      </w:pPr>
      <w:r>
        <w:rPr>
          <w:rFonts w:hint="eastAsia" w:ascii="方正楷体_GBK" w:hAnsi="方正楷体_GBK" w:eastAsia="方正楷体_GBK" w:cs="方正楷体_GBK"/>
          <w:b/>
          <w:bCs/>
          <w:sz w:val="32"/>
          <w:szCs w:val="32"/>
        </w:rPr>
        <w:t>（一）项目概况</w:t>
      </w:r>
    </w:p>
    <w:p>
      <w:pPr>
        <w:spacing w:line="560" w:lineRule="exact"/>
        <w:ind w:firstLine="643" w:firstLineChars="2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1</w:t>
      </w:r>
      <w:r>
        <w:rPr>
          <w:rFonts w:hint="eastAsia" w:ascii="方正仿宋_GBK" w:hAnsi="方正仿宋_GBK" w:eastAsia="方正仿宋_GBK" w:cs="方正仿宋_GBK"/>
          <w:b/>
          <w:bCs/>
          <w:sz w:val="32"/>
          <w:szCs w:val="32"/>
          <w:lang w:val="en-US" w:eastAsia="zh-CN"/>
        </w:rPr>
        <w:t>.</w:t>
      </w:r>
      <w:r>
        <w:rPr>
          <w:rFonts w:hint="eastAsia" w:ascii="方正仿宋_GBK" w:hAnsi="方正仿宋_GBK" w:eastAsia="方正仿宋_GBK" w:cs="方正仿宋_GBK"/>
          <w:b/>
          <w:bCs/>
          <w:sz w:val="32"/>
          <w:szCs w:val="32"/>
        </w:rPr>
        <w:t>项目背景</w:t>
      </w:r>
    </w:p>
    <w:p>
      <w:pPr>
        <w:spacing w:line="560" w:lineRule="exact"/>
        <w:ind w:firstLine="640" w:firstLineChars="20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按照《国家级公益林区划界定办法》将国家级公益林保护等级调整为二个级别，属于林地保护等级一级范围内的国家级公益林，划分为一级国家级公益林，一级国家级公益林以外的，划分为二级国家级公益林。库尔勒市国家级公益林面积为165.44万亩，全部为二级国家级公益林。</w:t>
      </w:r>
    </w:p>
    <w:p>
      <w:pPr>
        <w:spacing w:line="560" w:lineRule="exact"/>
        <w:ind w:firstLine="640" w:firstLineChars="20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库尔勒市国家级公益林主要分布在孔雀河两岸、塔里木河中游段支流拉依河沿岸的河阶地、河滩地与普惠、琼阿拉、库尔楚等广大地区的冲积、洪积扇荒漠平原地带和霍拉山区。</w:t>
      </w:r>
    </w:p>
    <w:p>
      <w:pPr>
        <w:spacing w:line="560" w:lineRule="exact"/>
        <w:ind w:firstLine="64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方正仿宋_GBK" w:cs="Times New Roman"/>
          <w:sz w:val="32"/>
          <w:szCs w:val="32"/>
          <w:highlight w:val="none"/>
          <w:lang w:val="en-US" w:eastAsia="zh-CN"/>
        </w:rPr>
        <w:t>为科学利用、生态为民，提升国家级公益林管护水平，协调推进林草资源保护与利用，守护绿水青山，做大金山银山，森林资源持续增加，开展本项目。</w:t>
      </w:r>
    </w:p>
    <w:p>
      <w:pPr>
        <w:pStyle w:val="11"/>
        <w:numPr>
          <w:ilvl w:val="0"/>
          <w:numId w:val="0"/>
        </w:numPr>
        <w:spacing w:before="0" w:after="0" w:line="560" w:lineRule="exact"/>
        <w:ind w:firstLine="643" w:firstLineChars="200"/>
        <w:jc w:val="both"/>
        <w:rPr>
          <w:rFonts w:hint="eastAsia" w:ascii="方正仿宋_GBK" w:hAnsi="方正仿宋_GBK" w:eastAsia="方正仿宋_GBK" w:cs="方正仿宋_GBK"/>
          <w:kern w:val="2"/>
        </w:rPr>
      </w:pPr>
      <w:r>
        <w:rPr>
          <w:rFonts w:hint="eastAsia" w:ascii="方正仿宋_GBK" w:hAnsi="方正仿宋_GBK" w:eastAsia="方正仿宋_GBK" w:cs="方正仿宋_GBK"/>
          <w:kern w:val="2"/>
          <w:lang w:val="en-US" w:eastAsia="zh-CN"/>
        </w:rPr>
        <w:t>2.</w:t>
      </w:r>
      <w:r>
        <w:rPr>
          <w:rFonts w:hint="eastAsia" w:ascii="方正仿宋_GBK" w:hAnsi="方正仿宋_GBK" w:eastAsia="方正仿宋_GBK" w:cs="方正仿宋_GBK"/>
          <w:kern w:val="2"/>
        </w:rPr>
        <w:t>项目主要内容：</w:t>
      </w:r>
    </w:p>
    <w:p>
      <w:pPr>
        <w:spacing w:line="560" w:lineRule="exact"/>
        <w:ind w:firstLine="640" w:firstLineChars="200"/>
        <w:rPr>
          <w:rFonts w:hint="default" w:ascii="Times New Roman" w:hAnsi="Times New Roman" w:eastAsia="方正仿宋_GBK" w:cs="Times New Roman"/>
          <w:sz w:val="32"/>
          <w:szCs w:val="32"/>
          <w:highlight w:val="none"/>
          <w:lang w:val="en-US" w:eastAsia="zh-CN"/>
        </w:rPr>
      </w:pPr>
      <w:r>
        <w:rPr>
          <w:rFonts w:hint="default" w:ascii="方正仿宋_GBK" w:hAnsi="方正仿宋_GBK" w:eastAsia="方正仿宋_GBK" w:cs="方正仿宋_GBK"/>
          <w:sz w:val="32"/>
          <w:szCs w:val="32"/>
          <w:highlight w:val="none"/>
          <w:lang w:val="en-US" w:eastAsia="zh-CN"/>
        </w:rPr>
        <w:t>项目主要内容：对库尔勒</w:t>
      </w:r>
      <w:r>
        <w:rPr>
          <w:rFonts w:hint="default" w:ascii="Times New Roman" w:hAnsi="Times New Roman" w:eastAsia="方正仿宋_GBK" w:cs="Times New Roman"/>
          <w:sz w:val="32"/>
          <w:szCs w:val="32"/>
          <w:highlight w:val="none"/>
          <w:lang w:val="en-US" w:eastAsia="zh-CN"/>
        </w:rPr>
        <w:t>市165.44万亩国家级公益林实施资源保护管理，保障国家级公益林管护站正常运转，支付2024年全年115名管护员工资和管护站日常运行支出</w:t>
      </w:r>
      <w:r>
        <w:rPr>
          <w:rFonts w:hint="eastAsia"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保障15个管护站的巡护物资及</w:t>
      </w:r>
      <w:r>
        <w:rPr>
          <w:rFonts w:hint="default" w:ascii="Times New Roman" w:hAnsi="Times New Roman" w:eastAsia="方正仿宋_GBK" w:cs="Times New Roman"/>
          <w:sz w:val="32"/>
          <w:szCs w:val="32"/>
          <w:highlight w:val="none"/>
          <w:lang w:val="en-US" w:eastAsia="zh-CN"/>
        </w:rPr>
        <w:t>应急分队运行</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对森林防火应急分队配套防火设备并进行日常培训、宣传</w:t>
      </w:r>
      <w:r>
        <w:rPr>
          <w:rFonts w:hint="eastAsia" w:eastAsia="方正仿宋_GBK" w:cs="Times New Roman"/>
          <w:sz w:val="32"/>
          <w:szCs w:val="32"/>
          <w:highlight w:val="none"/>
          <w:lang w:val="en-US" w:eastAsia="zh-CN"/>
        </w:rPr>
        <w:t>；在林区建设</w:t>
      </w:r>
      <w:r>
        <w:rPr>
          <w:rFonts w:hint="eastAsia" w:ascii="Times New Roman" w:hAnsi="Times New Roman" w:eastAsia="方正仿宋_GBK" w:cs="Times New Roman"/>
          <w:sz w:val="32"/>
          <w:szCs w:val="32"/>
          <w:highlight w:val="none"/>
          <w:lang w:val="en-US" w:eastAsia="zh-CN"/>
        </w:rPr>
        <w:t>“以水灭火”储水罐；</w:t>
      </w:r>
      <w:r>
        <w:rPr>
          <w:rFonts w:hint="eastAsia" w:eastAsia="方正仿宋_GBK" w:cs="Times New Roman"/>
          <w:sz w:val="32"/>
          <w:szCs w:val="32"/>
          <w:highlight w:val="none"/>
          <w:lang w:val="en-US" w:eastAsia="zh-CN"/>
        </w:rPr>
        <w:t>购置</w:t>
      </w:r>
      <w:r>
        <w:rPr>
          <w:rFonts w:hint="eastAsia" w:ascii="Times New Roman" w:hAnsi="Times New Roman" w:eastAsia="方正仿宋_GBK" w:cs="Times New Roman"/>
          <w:sz w:val="32"/>
          <w:szCs w:val="32"/>
          <w:highlight w:val="none"/>
          <w:lang w:val="en-US" w:eastAsia="zh-CN"/>
        </w:rPr>
        <w:t>森林防火无人机巡护</w:t>
      </w:r>
      <w:r>
        <w:rPr>
          <w:rFonts w:hint="eastAsia" w:eastAsia="方正仿宋_GBK" w:cs="Times New Roman"/>
          <w:sz w:val="32"/>
          <w:szCs w:val="32"/>
          <w:highlight w:val="none"/>
          <w:lang w:val="en-US" w:eastAsia="zh-CN"/>
        </w:rPr>
        <w:t>服务，开展无人机巡护</w:t>
      </w:r>
      <w:r>
        <w:rPr>
          <w:rFonts w:hint="eastAsia" w:ascii="Times New Roman" w:hAnsi="Times New Roman" w:eastAsia="方正仿宋_GBK" w:cs="Times New Roman"/>
          <w:sz w:val="32"/>
          <w:szCs w:val="32"/>
          <w:highlight w:val="none"/>
          <w:lang w:val="en-US" w:eastAsia="zh-CN"/>
        </w:rPr>
        <w:t>；防火储备物资能力提升</w:t>
      </w:r>
      <w:r>
        <w:rPr>
          <w:rFonts w:hint="eastAsia" w:eastAsia="方正仿宋_GBK" w:cs="Times New Roman"/>
          <w:sz w:val="32"/>
          <w:szCs w:val="32"/>
          <w:highlight w:val="none"/>
          <w:lang w:val="en-US" w:eastAsia="zh-CN"/>
        </w:rPr>
        <w:t>，购置防灭火设备和人员装备</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对2万亩</w:t>
      </w:r>
      <w:r>
        <w:rPr>
          <w:rFonts w:hint="eastAsia" w:eastAsia="方正仿宋_GBK" w:cs="Times New Roman"/>
          <w:sz w:val="32"/>
          <w:szCs w:val="32"/>
          <w:highlight w:val="none"/>
          <w:lang w:val="en-US" w:eastAsia="zh-CN"/>
        </w:rPr>
        <w:t>国有</w:t>
      </w:r>
      <w:r>
        <w:rPr>
          <w:rFonts w:hint="default" w:ascii="Times New Roman" w:hAnsi="Times New Roman" w:eastAsia="方正仿宋_GBK" w:cs="Times New Roman"/>
          <w:sz w:val="32"/>
          <w:szCs w:val="32"/>
          <w:highlight w:val="none"/>
          <w:lang w:val="en-US" w:eastAsia="zh-CN"/>
        </w:rPr>
        <w:t>林地进行修枝、林地清理、</w:t>
      </w:r>
      <w:r>
        <w:rPr>
          <w:rFonts w:hint="eastAsia" w:ascii="Times New Roman" w:hAnsi="Times New Roman" w:eastAsia="方正仿宋_GBK" w:cs="Times New Roman"/>
          <w:sz w:val="32"/>
          <w:szCs w:val="32"/>
          <w:highlight w:val="none"/>
          <w:lang w:val="en-US" w:eastAsia="zh-CN"/>
        </w:rPr>
        <w:t>剩余物处理、病虫害防治</w:t>
      </w:r>
      <w:r>
        <w:rPr>
          <w:rFonts w:hint="eastAsia" w:eastAsia="方正仿宋_GBK" w:cs="Times New Roman"/>
          <w:sz w:val="32"/>
          <w:szCs w:val="32"/>
          <w:highlight w:val="none"/>
          <w:lang w:val="en-US" w:eastAsia="zh-CN"/>
        </w:rPr>
        <w:t>等抚育工作</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对5万亩天然林进行</w:t>
      </w:r>
      <w:r>
        <w:rPr>
          <w:rFonts w:hint="eastAsia" w:eastAsia="方正仿宋_GBK" w:cs="Times New Roman"/>
          <w:sz w:val="32"/>
          <w:szCs w:val="32"/>
          <w:highlight w:val="none"/>
          <w:lang w:val="en-US" w:eastAsia="zh-CN"/>
        </w:rPr>
        <w:t>综合生态修复</w:t>
      </w:r>
      <w:r>
        <w:rPr>
          <w:rFonts w:hint="default" w:ascii="Times New Roman" w:hAnsi="Times New Roman" w:eastAsia="方正仿宋_GBK" w:cs="Times New Roman"/>
          <w:sz w:val="32"/>
          <w:szCs w:val="32"/>
          <w:highlight w:val="none"/>
          <w:lang w:val="en-US" w:eastAsia="zh-CN"/>
        </w:rPr>
        <w:t>引洪灌溉，</w:t>
      </w:r>
      <w:r>
        <w:rPr>
          <w:rFonts w:hint="eastAsia" w:ascii="Times New Roman" w:hAnsi="Times New Roman" w:eastAsia="方正仿宋_GBK" w:cs="Times New Roman"/>
          <w:sz w:val="32"/>
          <w:szCs w:val="32"/>
          <w:highlight w:val="none"/>
          <w:lang w:val="en-US" w:eastAsia="zh-CN"/>
        </w:rPr>
        <w:t>对20万亩胡杨林开展春尺蠖飞机防治</w:t>
      </w:r>
      <w:r>
        <w:rPr>
          <w:rFonts w:hint="eastAsia" w:eastAsia="方正仿宋_GBK" w:cs="Times New Roman"/>
          <w:sz w:val="32"/>
          <w:szCs w:val="32"/>
          <w:highlight w:val="none"/>
          <w:lang w:val="en-US" w:eastAsia="zh-CN"/>
        </w:rPr>
        <w:t>；15个管护站的巡护物资做好能力提升保障工作</w:t>
      </w:r>
      <w:r>
        <w:rPr>
          <w:rFonts w:hint="eastAsia" w:ascii="Times New Roman" w:hAnsi="Times New Roman" w:eastAsia="方正仿宋_GBK" w:cs="Times New Roman"/>
          <w:sz w:val="32"/>
          <w:szCs w:val="32"/>
          <w:highlight w:val="none"/>
          <w:lang w:val="en-US" w:eastAsia="zh-CN"/>
        </w:rPr>
        <w:t>；编制新一轮林地保护利用规划</w:t>
      </w:r>
      <w:r>
        <w:rPr>
          <w:rFonts w:hint="eastAsia"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对公益林区生态修复空间评估</w:t>
      </w:r>
      <w:r>
        <w:rPr>
          <w:rFonts w:hint="default" w:ascii="Times New Roman" w:hAnsi="Times New Roman" w:eastAsia="方正仿宋_GBK" w:cs="Times New Roman"/>
          <w:sz w:val="32"/>
          <w:szCs w:val="32"/>
          <w:highlight w:val="none"/>
          <w:lang w:val="en-US" w:eastAsia="zh-CN"/>
        </w:rPr>
        <w:t>。</w:t>
      </w:r>
    </w:p>
    <w:p>
      <w:pPr>
        <w:spacing w:line="560" w:lineRule="exact"/>
        <w:ind w:firstLine="640" w:firstLineChars="200"/>
        <w:rPr>
          <w:rFonts w:hint="default"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项目实施情况：</w:t>
      </w:r>
      <w:r>
        <w:rPr>
          <w:rFonts w:hint="eastAsia" w:eastAsia="方正仿宋_GBK" w:cs="Times New Roman"/>
          <w:sz w:val="32"/>
          <w:szCs w:val="32"/>
          <w:highlight w:val="none"/>
          <w:lang w:val="en-US" w:eastAsia="zh-CN"/>
        </w:rPr>
        <w:t>持续加强保护</w:t>
      </w:r>
      <w:r>
        <w:rPr>
          <w:rFonts w:hint="default" w:ascii="方正仿宋_GBK" w:hAnsi="方正仿宋_GBK" w:eastAsia="方正仿宋_GBK" w:cs="方正仿宋_GBK"/>
          <w:sz w:val="32"/>
          <w:szCs w:val="32"/>
          <w:highlight w:val="none"/>
          <w:lang w:val="en-US" w:eastAsia="zh-CN"/>
        </w:rPr>
        <w:t>库尔勒</w:t>
      </w:r>
      <w:r>
        <w:rPr>
          <w:rFonts w:hint="default" w:ascii="Times New Roman" w:hAnsi="Times New Roman" w:eastAsia="方正仿宋_GBK" w:cs="Times New Roman"/>
          <w:sz w:val="32"/>
          <w:szCs w:val="32"/>
          <w:highlight w:val="none"/>
          <w:lang w:val="en-US" w:eastAsia="zh-CN"/>
        </w:rPr>
        <w:t>市165.44万亩国家级公益林</w:t>
      </w:r>
      <w:r>
        <w:rPr>
          <w:rFonts w:hint="eastAsia" w:eastAsia="方正仿宋_GBK" w:cs="Times New Roman"/>
          <w:sz w:val="32"/>
          <w:szCs w:val="32"/>
          <w:highlight w:val="none"/>
          <w:lang w:val="en-US" w:eastAsia="zh-CN"/>
        </w:rPr>
        <w:t>巡护及管理工作，按月足额发放115名管护人员工资、社保和公积金，按时支付管护站日常水电费和车辆燃油及维护费；保障15个管护站的巡护物资，为管护站安装净水机，修缮围墙和大门，更换太阳能发电设施，为应急分队配备必要的消防设备并进行技能培训，在林区建设</w:t>
      </w:r>
      <w:r>
        <w:rPr>
          <w:rFonts w:hint="eastAsia" w:ascii="Times New Roman" w:hAnsi="Times New Roman" w:eastAsia="方正仿宋_GBK" w:cs="Times New Roman"/>
          <w:sz w:val="32"/>
          <w:szCs w:val="32"/>
          <w:highlight w:val="none"/>
          <w:lang w:val="en-US" w:eastAsia="zh-CN"/>
        </w:rPr>
        <w:t>以水灭火储水罐</w:t>
      </w:r>
      <w:r>
        <w:rPr>
          <w:rFonts w:hint="eastAsia" w:eastAsia="方正仿宋_GBK" w:cs="Times New Roman"/>
          <w:sz w:val="32"/>
          <w:szCs w:val="32"/>
          <w:highlight w:val="none"/>
          <w:lang w:val="en-US" w:eastAsia="zh-CN"/>
        </w:rPr>
        <w:t>，购买并完成森林防火无人机服务，巡林能力得到有效提升。完成2万亩的国有林森林抚育工作，完成5万亩综合生态修复天然林引洪灌溉工作，完成14.82万亩胡杨林春尺蠖飞防工作。</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2474.45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2474.45</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中央林业草原生态保护恢复资金</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2474.45</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2474.45</w:t>
      </w:r>
      <w:r>
        <w:rPr>
          <w:rFonts w:hint="default" w:ascii="Times New Roman" w:hAnsi="Times New Roman" w:eastAsia="仿宋_GB2312" w:cs="Times New Roman"/>
          <w:color w:val="auto"/>
          <w:sz w:val="32"/>
          <w:szCs w:val="32"/>
          <w:highlight w:val="none"/>
          <w:lang w:val="en-US" w:eastAsia="zh-CN"/>
        </w:rPr>
        <w:t>万元，全年执行数</w:t>
      </w:r>
      <w:r>
        <w:rPr>
          <w:rFonts w:hint="eastAsia" w:eastAsia="仿宋_GB2312" w:cs="Times New Roman"/>
          <w:color w:val="auto"/>
          <w:sz w:val="32"/>
          <w:szCs w:val="32"/>
          <w:highlight w:val="none"/>
          <w:lang w:val="en-US" w:eastAsia="zh-CN"/>
        </w:rPr>
        <w:t>1908.41</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77.12</w:t>
      </w:r>
      <w:r>
        <w:rPr>
          <w:rFonts w:hint="default" w:ascii="Times New Roman" w:hAnsi="Times New Roman" w:eastAsia="仿宋_GB2312" w:cs="Times New Roman"/>
          <w:color w:val="auto"/>
          <w:sz w:val="32"/>
          <w:szCs w:val="32"/>
          <w:highlight w:val="none"/>
          <w:lang w:val="en-US" w:eastAsia="zh-CN"/>
        </w:rPr>
        <w:t>%，主要用于：</w:t>
      </w:r>
      <w:r>
        <w:rPr>
          <w:rFonts w:hint="eastAsia" w:eastAsia="仿宋_GB2312" w:cs="Times New Roman"/>
          <w:color w:val="auto"/>
          <w:sz w:val="32"/>
          <w:szCs w:val="32"/>
          <w:highlight w:val="none"/>
          <w:lang w:val="en-US" w:eastAsia="zh-CN"/>
        </w:rPr>
        <w:t>库尔勒</w:t>
      </w:r>
      <w:r>
        <w:rPr>
          <w:rFonts w:hint="default" w:ascii="Times New Roman" w:hAnsi="Times New Roman" w:eastAsia="仿宋_GB2312" w:cs="Times New Roman"/>
          <w:color w:val="auto"/>
          <w:sz w:val="32"/>
          <w:szCs w:val="32"/>
          <w:highlight w:val="none"/>
          <w:lang w:val="en-US" w:eastAsia="zh-CN"/>
        </w:rPr>
        <w:t>国有国家级公益林管护165.44万亩</w:t>
      </w:r>
      <w:r>
        <w:rPr>
          <w:rFonts w:hint="eastAsia" w:eastAsia="仿宋_GB2312" w:cs="Times New Roman"/>
          <w:color w:val="auto"/>
          <w:sz w:val="32"/>
          <w:szCs w:val="32"/>
          <w:highlight w:val="none"/>
          <w:lang w:val="en-US" w:eastAsia="zh-CN"/>
        </w:rPr>
        <w:t>日常管护和管理支出，国有国家级公益林管护成本主要用于直接管护支出包括管护人员劳务报酬和日常管护管理支出1429.12万元，</w:t>
      </w:r>
      <w:bookmarkStart w:id="0" w:name="OLE_LINK1"/>
      <w:r>
        <w:rPr>
          <w:rFonts w:hint="eastAsia" w:eastAsia="方正仿宋_GBK" w:cs="Times New Roman"/>
          <w:color w:val="auto"/>
          <w:sz w:val="32"/>
          <w:szCs w:val="32"/>
          <w:highlight w:val="none"/>
          <w:lang w:val="en-US" w:eastAsia="zh-CN"/>
        </w:rPr>
        <w:t>国有林</w:t>
      </w:r>
      <w:r>
        <w:rPr>
          <w:rFonts w:hint="eastAsia" w:eastAsia="仿宋_GB2312" w:cs="Times New Roman"/>
          <w:color w:val="auto"/>
          <w:sz w:val="32"/>
          <w:szCs w:val="32"/>
          <w:highlight w:val="none"/>
          <w:lang w:val="en-US" w:eastAsia="zh-CN"/>
        </w:rPr>
        <w:t>森林抚育2万亩支出255万元，</w:t>
      </w:r>
      <w:r>
        <w:rPr>
          <w:rFonts w:hint="eastAsia" w:eastAsia="方正仿宋_GBK" w:cs="Times New Roman"/>
          <w:color w:val="auto"/>
          <w:sz w:val="32"/>
          <w:szCs w:val="32"/>
          <w:highlight w:val="none"/>
          <w:lang w:val="en-US" w:eastAsia="zh-CN"/>
        </w:rPr>
        <w:t>综合生态修复天然林5万亩</w:t>
      </w:r>
      <w:r>
        <w:rPr>
          <w:rFonts w:hint="eastAsia" w:eastAsia="仿宋_GB2312" w:cs="Times New Roman"/>
          <w:color w:val="auto"/>
          <w:sz w:val="32"/>
          <w:szCs w:val="32"/>
          <w:highlight w:val="none"/>
          <w:lang w:val="en-US" w:eastAsia="zh-CN"/>
        </w:rPr>
        <w:t>引洪灌溉支出45.53万元，</w:t>
      </w:r>
      <w:r>
        <w:rPr>
          <w:rFonts w:hint="eastAsia" w:eastAsia="方正仿宋_GBK" w:cs="Times New Roman"/>
          <w:color w:val="auto"/>
          <w:sz w:val="32"/>
          <w:szCs w:val="32"/>
          <w:highlight w:val="none"/>
          <w:lang w:val="en-US" w:eastAsia="zh-CN"/>
        </w:rPr>
        <w:t>胡杨林春尺蠖</w:t>
      </w:r>
      <w:r>
        <w:rPr>
          <w:rFonts w:hint="eastAsia" w:eastAsia="仿宋_GB2312" w:cs="Times New Roman"/>
          <w:color w:val="auto"/>
          <w:sz w:val="32"/>
          <w:szCs w:val="32"/>
          <w:highlight w:val="none"/>
          <w:lang w:val="en-US" w:eastAsia="zh-CN"/>
        </w:rPr>
        <w:t>飞机防治</w:t>
      </w:r>
      <w:bookmarkEnd w:id="0"/>
      <w:r>
        <w:rPr>
          <w:rFonts w:hint="eastAsia" w:eastAsia="仿宋_GB2312" w:cs="Times New Roman"/>
          <w:color w:val="auto"/>
          <w:sz w:val="32"/>
          <w:szCs w:val="32"/>
          <w:highlight w:val="none"/>
          <w:lang w:val="en-US" w:eastAsia="zh-CN"/>
        </w:rPr>
        <w:t>14.82万亩支出60万元，15个管护站太阳能发电设备新建及维护更新、净水机、煤改电等管护站能力提升118.76万元</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sz w:val="32"/>
          <w:szCs w:val="32"/>
        </w:rPr>
        <w:t>总体目标</w:t>
      </w:r>
    </w:p>
    <w:p>
      <w:pPr>
        <w:spacing w:line="560" w:lineRule="exact"/>
        <w:ind w:firstLine="640" w:firstLineChars="20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目标1：国有国家级公益林管护面积165.44万亩、保障14个管护站能力提升，国有林综合生态修复5万亩、国有林抚育面积2万亩、胡杨林春尺蠖飞机防治面积20万亩。</w:t>
      </w:r>
    </w:p>
    <w:p>
      <w:pPr>
        <w:spacing w:line="560" w:lineRule="exact"/>
        <w:ind w:firstLine="640" w:firstLineChars="20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目标2：通过项目的实施，国有林（国家级公益林）管护提供岗位数115人，森林系统生态效益发挥明显。</w:t>
      </w:r>
    </w:p>
    <w:p>
      <w:pPr>
        <w:numPr>
          <w:ilvl w:val="0"/>
          <w:numId w:val="0"/>
        </w:numPr>
        <w:spacing w:line="56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阶段性目标</w:t>
      </w:r>
    </w:p>
    <w:p>
      <w:pPr>
        <w:numPr>
          <w:ilvl w:val="0"/>
          <w:numId w:val="0"/>
        </w:numPr>
        <w:spacing w:line="560" w:lineRule="exact"/>
        <w:ind w:firstLine="640"/>
        <w:rPr>
          <w:rFonts w:hint="default" w:eastAsia="仿宋_GB2312" w:cs="Times New Roman"/>
          <w:sz w:val="32"/>
          <w:szCs w:val="32"/>
          <w:lang w:val="en-US" w:eastAsia="zh-CN"/>
        </w:rPr>
      </w:pPr>
      <w:r>
        <w:rPr>
          <w:rFonts w:hint="eastAsia" w:eastAsia="仿宋_GB2312" w:cs="Times New Roman"/>
          <w:sz w:val="32"/>
          <w:szCs w:val="32"/>
          <w:lang w:val="en-US" w:eastAsia="zh-CN"/>
        </w:rPr>
        <w:t>第一季度：</w:t>
      </w:r>
      <w:bookmarkStart w:id="1" w:name="OLE_LINK2"/>
      <w:r>
        <w:rPr>
          <w:rFonts w:hint="eastAsia" w:eastAsia="仿宋_GB2312" w:cs="Times New Roman"/>
          <w:sz w:val="32"/>
          <w:szCs w:val="32"/>
          <w:lang w:val="en-US" w:eastAsia="zh-CN"/>
        </w:rPr>
        <w:t>计划取得巴州林业和草原局的批复文件，完成第一季度管护人员工资的发放、社保公积金的缴纳，管护人员每日对管护责任区进行巡护；对需要招投标的各项目进行招投标准备工作，需要政府采购的项目进行采购。</w:t>
      </w:r>
      <w:bookmarkEnd w:id="1"/>
    </w:p>
    <w:p>
      <w:pPr>
        <w:numPr>
          <w:ilvl w:val="0"/>
          <w:numId w:val="0"/>
        </w:numPr>
        <w:spacing w:line="560" w:lineRule="exact"/>
        <w:ind w:firstLine="640"/>
        <w:rPr>
          <w:rFonts w:hint="default" w:eastAsia="仿宋_GB2312" w:cs="Times New Roman"/>
          <w:sz w:val="32"/>
          <w:szCs w:val="32"/>
          <w:lang w:val="en-US" w:eastAsia="zh-CN"/>
        </w:rPr>
      </w:pPr>
      <w:r>
        <w:rPr>
          <w:rFonts w:hint="eastAsia" w:eastAsia="仿宋_GB2312" w:cs="Times New Roman"/>
          <w:sz w:val="32"/>
          <w:szCs w:val="32"/>
          <w:lang w:val="en-US" w:eastAsia="zh-CN"/>
        </w:rPr>
        <w:t>第二季度：</w:t>
      </w:r>
      <w:bookmarkStart w:id="2" w:name="OLE_LINK3"/>
      <w:r>
        <w:rPr>
          <w:rFonts w:hint="eastAsia" w:eastAsia="仿宋_GB2312" w:cs="Times New Roman"/>
          <w:sz w:val="32"/>
          <w:szCs w:val="32"/>
          <w:lang w:val="en-US" w:eastAsia="zh-CN"/>
        </w:rPr>
        <w:t>计划完成第二季度管护人员工资的发放、社保公积金的缴纳，管护人员每日对管护责任区进行巡护；对各项目进行开标、确定施工合同，对</w:t>
      </w:r>
      <w:r>
        <w:rPr>
          <w:rFonts w:hint="default" w:ascii="Times New Roman" w:hAnsi="Times New Roman" w:eastAsia="方正仿宋_GBK" w:cs="Times New Roman"/>
          <w:sz w:val="32"/>
          <w:szCs w:val="32"/>
          <w:highlight w:val="none"/>
          <w:lang w:val="en-US" w:eastAsia="zh-CN"/>
        </w:rPr>
        <w:t>国有林</w:t>
      </w:r>
      <w:r>
        <w:rPr>
          <w:rFonts w:hint="eastAsia" w:eastAsia="仿宋_GB2312" w:cs="Times New Roman"/>
          <w:sz w:val="32"/>
          <w:szCs w:val="32"/>
          <w:lang w:val="en-US" w:eastAsia="zh-CN"/>
        </w:rPr>
        <w:t>森林抚育、</w:t>
      </w:r>
      <w:r>
        <w:rPr>
          <w:rFonts w:hint="default" w:ascii="Times New Roman" w:hAnsi="Times New Roman" w:eastAsia="方正仿宋_GBK" w:cs="Times New Roman"/>
          <w:sz w:val="32"/>
          <w:szCs w:val="32"/>
          <w:highlight w:val="none"/>
          <w:lang w:val="en-US" w:eastAsia="zh-CN"/>
        </w:rPr>
        <w:t>国有林综合生态修复</w:t>
      </w:r>
      <w:r>
        <w:rPr>
          <w:rFonts w:hint="eastAsia" w:eastAsia="仿宋_GB2312" w:cs="Times New Roman"/>
          <w:sz w:val="32"/>
          <w:szCs w:val="32"/>
          <w:lang w:val="en-US" w:eastAsia="zh-CN"/>
        </w:rPr>
        <w:t>引洪灌溉、</w:t>
      </w:r>
      <w:r>
        <w:rPr>
          <w:rFonts w:hint="default" w:ascii="Times New Roman" w:hAnsi="Times New Roman" w:eastAsia="方正仿宋_GBK" w:cs="Times New Roman"/>
          <w:sz w:val="32"/>
          <w:szCs w:val="32"/>
          <w:highlight w:val="none"/>
          <w:lang w:val="en-US" w:eastAsia="zh-CN"/>
        </w:rPr>
        <w:t>胡杨林春尺蠖飞机防治</w:t>
      </w:r>
      <w:r>
        <w:rPr>
          <w:rFonts w:hint="eastAsia" w:eastAsia="仿宋_GB2312" w:cs="Times New Roman"/>
          <w:sz w:val="32"/>
          <w:szCs w:val="32"/>
          <w:lang w:val="en-US" w:eastAsia="zh-CN"/>
        </w:rPr>
        <w:t>、</w:t>
      </w:r>
      <w:r>
        <w:rPr>
          <w:rFonts w:hint="default" w:ascii="Times New Roman" w:hAnsi="Times New Roman" w:eastAsia="方正仿宋_GBK" w:cs="Times New Roman"/>
          <w:sz w:val="32"/>
          <w:szCs w:val="32"/>
          <w:highlight w:val="none"/>
          <w:lang w:val="en-US" w:eastAsia="zh-CN"/>
        </w:rPr>
        <w:t>国家级公益林管护站建设</w:t>
      </w:r>
      <w:r>
        <w:rPr>
          <w:rFonts w:hint="eastAsia" w:eastAsia="仿宋_GB2312" w:cs="Times New Roman"/>
          <w:sz w:val="32"/>
          <w:szCs w:val="32"/>
          <w:lang w:val="en-US" w:eastAsia="zh-CN"/>
        </w:rPr>
        <w:t>等日常管护及管理项目按计划实施，对管护站、应急分队日常运行相关事项进行采购、支付。</w:t>
      </w:r>
      <w:bookmarkEnd w:id="2"/>
    </w:p>
    <w:p>
      <w:pPr>
        <w:numPr>
          <w:ilvl w:val="0"/>
          <w:numId w:val="0"/>
        </w:numPr>
        <w:spacing w:line="560" w:lineRule="exact"/>
        <w:ind w:firstLine="640"/>
        <w:rPr>
          <w:rFonts w:hint="eastAsia" w:eastAsia="仿宋_GB2312" w:cs="Times New Roman"/>
          <w:sz w:val="32"/>
          <w:szCs w:val="32"/>
          <w:lang w:val="en-US" w:eastAsia="zh-CN"/>
        </w:rPr>
      </w:pPr>
      <w:r>
        <w:rPr>
          <w:rFonts w:hint="eastAsia" w:eastAsia="仿宋_GB2312" w:cs="Times New Roman"/>
          <w:sz w:val="32"/>
          <w:szCs w:val="32"/>
          <w:lang w:val="en-US" w:eastAsia="zh-CN"/>
        </w:rPr>
        <w:t>第三季度：</w:t>
      </w:r>
      <w:bookmarkStart w:id="3" w:name="OLE_LINK4"/>
      <w:r>
        <w:rPr>
          <w:rFonts w:hint="eastAsia" w:eastAsia="仿宋_GB2312" w:cs="Times New Roman"/>
          <w:sz w:val="32"/>
          <w:szCs w:val="32"/>
          <w:lang w:val="en-US" w:eastAsia="zh-CN"/>
        </w:rPr>
        <w:t>计划完成第三季度管护人员工资的发放、社保公积金的缴纳，管护人员每日对管护责任区进行巡护；对</w:t>
      </w:r>
      <w:r>
        <w:rPr>
          <w:rFonts w:hint="default" w:ascii="Times New Roman" w:hAnsi="Times New Roman" w:eastAsia="方正仿宋_GBK" w:cs="Times New Roman"/>
          <w:sz w:val="32"/>
          <w:szCs w:val="32"/>
          <w:highlight w:val="none"/>
          <w:lang w:val="en-US" w:eastAsia="zh-CN"/>
        </w:rPr>
        <w:t>国有林</w:t>
      </w:r>
      <w:r>
        <w:rPr>
          <w:rFonts w:hint="eastAsia" w:eastAsia="仿宋_GB2312" w:cs="Times New Roman"/>
          <w:sz w:val="32"/>
          <w:szCs w:val="32"/>
          <w:lang w:val="en-US" w:eastAsia="zh-CN"/>
        </w:rPr>
        <w:t>森林抚育、</w:t>
      </w:r>
      <w:r>
        <w:rPr>
          <w:rFonts w:hint="default" w:ascii="Times New Roman" w:hAnsi="Times New Roman" w:eastAsia="方正仿宋_GBK" w:cs="Times New Roman"/>
          <w:sz w:val="32"/>
          <w:szCs w:val="32"/>
          <w:highlight w:val="none"/>
          <w:lang w:val="en-US" w:eastAsia="zh-CN"/>
        </w:rPr>
        <w:t>国有林综合生态修复</w:t>
      </w:r>
      <w:r>
        <w:rPr>
          <w:rFonts w:hint="eastAsia" w:eastAsia="仿宋_GB2312" w:cs="Times New Roman"/>
          <w:sz w:val="32"/>
          <w:szCs w:val="32"/>
          <w:lang w:val="en-US" w:eastAsia="zh-CN"/>
        </w:rPr>
        <w:t>引洪灌溉、</w:t>
      </w:r>
      <w:r>
        <w:rPr>
          <w:rFonts w:hint="default" w:ascii="Times New Roman" w:hAnsi="Times New Roman" w:eastAsia="方正仿宋_GBK" w:cs="Times New Roman"/>
          <w:sz w:val="32"/>
          <w:szCs w:val="32"/>
          <w:highlight w:val="none"/>
          <w:lang w:val="en-US" w:eastAsia="zh-CN"/>
        </w:rPr>
        <w:t>胡杨林春尺蠖飞机防治</w:t>
      </w:r>
      <w:r>
        <w:rPr>
          <w:rFonts w:hint="eastAsia" w:eastAsia="仿宋_GB2312" w:cs="Times New Roman"/>
          <w:sz w:val="32"/>
          <w:szCs w:val="32"/>
          <w:lang w:val="en-US" w:eastAsia="zh-CN"/>
        </w:rPr>
        <w:t>、</w:t>
      </w:r>
      <w:r>
        <w:rPr>
          <w:rFonts w:hint="default" w:ascii="Times New Roman" w:hAnsi="Times New Roman" w:eastAsia="方正仿宋_GBK" w:cs="Times New Roman"/>
          <w:sz w:val="32"/>
          <w:szCs w:val="32"/>
          <w:highlight w:val="none"/>
          <w:lang w:val="en-US" w:eastAsia="zh-CN"/>
        </w:rPr>
        <w:t>国家级公益林管护站建设</w:t>
      </w:r>
      <w:r>
        <w:rPr>
          <w:rFonts w:hint="eastAsia" w:eastAsia="仿宋_GB2312" w:cs="Times New Roman"/>
          <w:sz w:val="32"/>
          <w:szCs w:val="32"/>
          <w:lang w:val="en-US" w:eastAsia="zh-CN"/>
        </w:rPr>
        <w:t>等项目进行进度、竣工验收，按计划支付相关费用，对管护站、应急分队日常运行相关事项进行采购、支付。</w:t>
      </w:r>
      <w:bookmarkEnd w:id="3"/>
    </w:p>
    <w:p>
      <w:pPr>
        <w:numPr>
          <w:ilvl w:val="0"/>
          <w:numId w:val="0"/>
        </w:numPr>
        <w:spacing w:line="560" w:lineRule="exact"/>
        <w:ind w:firstLine="640"/>
        <w:rPr>
          <w:rFonts w:hint="default" w:eastAsia="仿宋_GB2312" w:cs="Times New Roman"/>
          <w:sz w:val="32"/>
          <w:szCs w:val="32"/>
          <w:lang w:val="en-US" w:eastAsia="zh-CN"/>
        </w:rPr>
      </w:pPr>
      <w:r>
        <w:rPr>
          <w:rFonts w:hint="eastAsia" w:eastAsia="仿宋_GB2312" w:cs="Times New Roman"/>
          <w:sz w:val="32"/>
          <w:szCs w:val="32"/>
          <w:lang w:val="en-US" w:eastAsia="zh-CN"/>
        </w:rPr>
        <w:t>第四季度：计划完成第四季度管护人员工资的发放、社保公积金的缴纳，管护人员每日对管护责任区进行巡护；对已完成的项目进行竣工验收，并按计划支付相关费用，对管护站日常运行管理相关事项进行支付。</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Times New Roman" w:hAnsi="Times New Roman" w:eastAsia="仿宋_GB2312" w:cs="Times New Roman"/>
          <w:sz w:val="32"/>
          <w:szCs w:val="32"/>
          <w:highlight w:val="none"/>
          <w:lang w:val="en-US" w:eastAsia="zh-CN"/>
        </w:rPr>
        <w:t>本单位特成立该项目领导小组，根据《新疆维吾尔自治区林业和草原生态保护恢复资金管理实施办法》《新疆维吾尔自治区林业改革发展资金管理实施细则》《库尔勒市林业和草原局项目验收管理制度》、《库尔勒市林草局项目管理制度》《库尔勒市林草局项目领导小组会议日常管理办法》《库尔勒市林业和草原局办公用品与项目工程采购管理制度及流程》《国家级公益林管理办法》（</w:t>
      </w:r>
      <w:r>
        <w:rPr>
          <w:rFonts w:hint="eastAsia" w:eastAsia="仿宋_GB2312" w:cs="Times New Roman"/>
          <w:sz w:val="32"/>
          <w:szCs w:val="32"/>
          <w:highlight w:val="none"/>
          <w:lang w:val="en-US" w:eastAsia="zh-CN"/>
        </w:rPr>
        <w:t>新</w:t>
      </w:r>
      <w:r>
        <w:rPr>
          <w:rFonts w:hint="eastAsia" w:ascii="Times New Roman" w:hAnsi="Times New Roman" w:eastAsia="仿宋_GB2312" w:cs="Times New Roman"/>
          <w:sz w:val="32"/>
          <w:szCs w:val="32"/>
          <w:highlight w:val="none"/>
          <w:lang w:val="en-US" w:eastAsia="zh-CN"/>
        </w:rPr>
        <w:t>林资发〔2017〕34号）《新疆维吾尔自治区国家级公益林管护办法》（新林规〔2021〕3号）《新疆维吾尔自治区国家级公益林管护质量检查办法》（新林规〔2021〕4号）《关于提前下达2024年中央财政林业草原生态保护恢复资金建设任务的通知》（新林规字〔2023〕212号）</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把控项目各环节工作质量。通过完整的绩效评价，可以了解不同区域公益林保护的实际需求和资金使用效益，将有限的资金、人力等资源合理分配到最需要和最能产生生态效益的地方，避免资源浪费，提高生态保护的整体效率。</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数据收集</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收集方法：采用地面调查与遥感监测相结合的方式。地面调查由专业人员通过样地实测、问卷调查等获取实地数据；遥感监测利用卫星遥感影像等技术手段，获取森林资源的宏观信息。</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 xml:space="preserve"> 数据来源：包括林业部门的资源档案、统计报表，以及科研机构的监测数据、实地调查数据等。同时，还可收集气象、水文等相关部门的资料，以辅助分析生态效益。</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质量控制：制定统一的数据收集标准和规范，对调查人员进行培训，确保数据收集的一致性和准确性。</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数据分析</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 xml:space="preserve"> 相关性分析：分析不同指标之间的相关性，找出影响绩效的关键因素，为进一步的评价和决策提供依据。</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综合评价分析：运用层次分析法、综合指数法等方法，对各项指标进行综合评价，得出国家级公益林区的绩效评价结果。</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趋势分析：通过对不同时期的数据进行对比分析，了解公益林保护修复的发展趋势，评估保护措施的长期效果。</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通过科学的数据收集与分析，能够为国家级公益林区绩效评价提供准确、可靠的依据，为林业草原生态保护恢复工作提供有力支持。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（1）评估生态保护成效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公益林的生态指标进行评价，如森林郁闭度、生物多样性指数、涵养水源量等，准确了解公益林在生态保护方面取得的成效，判断其是否有效发挥了保持水土、涵养水源、维护生物多样性等生态功能，为生态保护政策的调整和完善提供科学依据。</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衡量资金使用效益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对公益林建设和保护资金的投入、使用及管理情况进行评估，考察资金是否合理分配、及时到位，是否存在浪费或挪用等问题，以提高资金使用效率，确保有限的资金能够最大程度地发挥作用，实现生态效益和经济效益的最大化。</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促进管理水平提升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绩效评价能够发现公益林管理过程中存在的问题，如管护合同签订与执行、资源档案管理、森林经营方案实施等方面的不足，从而有针对性地改进管理措施，加强制度建设，提高公益林的管理水平和保护质量。</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保障社会公共利益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国家级公益林关系到社会公众的生态福祉，通过绩效评价，能够向社会公开公益林的保护和发展状况，接受公众监督，保障公众的知情权和参与权，同时也有助于增强公众的生态保护意识，促进全社会共同参与生态保护事业。</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为政策决策提供依据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绩效评价结果能够为林业草原部门及相关政府决策部门制定和调整公益林保护政策、规划及投入计划提供重要参考，使政策更加科学合理、符合实际，更好地推动国家级公益林区的可持续发展，实现生态、经济和社会的协调发展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绩效评价的对象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本项目预算绩效评价报告的评价对象是2024年中央林业草原生态保护恢复资金的通知（森林保护修复-国家级公益林区</w:t>
      </w:r>
      <w:r>
        <w:rPr>
          <w:rFonts w:hint="eastAsia" w:ascii="Times New Roman" w:hAnsi="Times New Roman"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及其预算执行情况。该项目由</w:t>
      </w:r>
      <w:r>
        <w:rPr>
          <w:rFonts w:hint="eastAsia" w:ascii="Times New Roman" w:hAnsi="Times New Roman" w:eastAsia="仿宋_GB2312" w:cs="Times New Roman"/>
          <w:sz w:val="32"/>
          <w:szCs w:val="32"/>
          <w:highlight w:val="none"/>
          <w:lang w:val="en-US" w:eastAsia="zh-CN"/>
        </w:rPr>
        <w:t>库尔勒市林业和草原局</w:t>
      </w:r>
      <w:r>
        <w:rPr>
          <w:rFonts w:hint="default" w:ascii="Times New Roman" w:hAnsi="Times New Roman" w:eastAsia="仿宋_GB2312" w:cs="Times New Roman"/>
          <w:sz w:val="32"/>
          <w:szCs w:val="32"/>
          <w:highlight w:val="none"/>
        </w:rPr>
        <w:t>负责实施，旨在</w:t>
      </w:r>
      <w:r>
        <w:rPr>
          <w:rFonts w:hint="default" w:ascii="Times New Roman" w:hAnsi="Times New Roman" w:eastAsia="仿宋_GB2312" w:cs="Times New Roman"/>
          <w:sz w:val="32"/>
          <w:szCs w:val="32"/>
          <w:highlight w:val="none"/>
          <w:lang w:val="en-US" w:eastAsia="zh-CN"/>
        </w:rPr>
        <w:t>提升国家级公益林管护水平，协调推进林草资源保护与利用，守护绿水青山，做大金山银山，持续增加森林资源，增强生态服务功能</w:t>
      </w:r>
      <w:r>
        <w:rPr>
          <w:rFonts w:hint="default" w:ascii="Times New Roman" w:hAnsi="Times New Roman" w:eastAsia="仿宋_GB2312" w:cs="Times New Roman"/>
          <w:sz w:val="32"/>
          <w:szCs w:val="32"/>
          <w:highlight w:val="none"/>
        </w:rPr>
        <w:t>。项目预算涵盖从</w:t>
      </w:r>
      <w:r>
        <w:rPr>
          <w:rFonts w:hint="eastAsia" w:ascii="Times New Roman" w:hAnsi="Times New Roman" w:eastAsia="仿宋_GB2312" w:cs="Times New Roman"/>
          <w:sz w:val="32"/>
          <w:szCs w:val="32"/>
          <w:highlight w:val="none"/>
          <w:lang w:val="en-US" w:eastAsia="zh-CN"/>
        </w:rPr>
        <w:t>2024年1月1日</w:t>
      </w:r>
      <w:r>
        <w:rPr>
          <w:rFonts w:hint="default" w:ascii="Times New Roman" w:hAnsi="Times New Roman" w:eastAsia="仿宋_GB2312" w:cs="Times New Roman"/>
          <w:sz w:val="32"/>
          <w:szCs w:val="32"/>
          <w:highlight w:val="none"/>
        </w:rPr>
        <w:t>至</w:t>
      </w:r>
      <w:r>
        <w:rPr>
          <w:rFonts w:hint="eastAsia" w:ascii="Times New Roman" w:hAnsi="Times New Roman" w:eastAsia="仿宋_GB2312" w:cs="Times New Roman"/>
          <w:sz w:val="32"/>
          <w:szCs w:val="32"/>
          <w:highlight w:val="none"/>
          <w:lang w:val="en-US" w:eastAsia="zh-CN"/>
        </w:rPr>
        <w:t>2024年12月31日</w:t>
      </w:r>
      <w:r>
        <w:rPr>
          <w:rFonts w:hint="default" w:ascii="Times New Roman" w:hAnsi="Times New Roman" w:eastAsia="仿宋_GB2312" w:cs="Times New Roman"/>
          <w:sz w:val="32"/>
          <w:szCs w:val="32"/>
          <w:highlight w:val="none"/>
        </w:rPr>
        <w:t>的全部资金投入与支出，涉及资金总额为</w:t>
      </w:r>
      <w:r>
        <w:rPr>
          <w:rFonts w:hint="eastAsia" w:ascii="Times New Roman" w:hAnsi="Times New Roman" w:eastAsia="仿宋_GB2312" w:cs="Times New Roman"/>
          <w:sz w:val="32"/>
          <w:szCs w:val="32"/>
          <w:highlight w:val="none"/>
          <w:lang w:val="en-US" w:eastAsia="zh-CN"/>
        </w:rPr>
        <w:t>2474.45</w:t>
      </w:r>
      <w:r>
        <w:rPr>
          <w:rFonts w:hint="default" w:ascii="Times New Roman" w:hAnsi="Times New Roman" w:eastAsia="仿宋_GB2312" w:cs="Times New Roman"/>
          <w:sz w:val="32"/>
          <w:szCs w:val="32"/>
          <w:highlight w:val="none"/>
          <w:lang w:val="en-US" w:eastAsia="zh-CN"/>
        </w:rPr>
        <w:t>万</w:t>
      </w:r>
      <w:r>
        <w:rPr>
          <w:rFonts w:hint="default" w:ascii="Times New Roman" w:hAnsi="Times New Roman" w:eastAsia="仿宋_GB2312" w:cs="Times New Roman"/>
          <w:sz w:val="32"/>
          <w:szCs w:val="32"/>
          <w:highlight w:val="none"/>
        </w:rPr>
        <w:t>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公益林资源本身：包括森林的面积、蓄积量、郁闭度、林分结构、树种组成等，评估其数量和质量的变化情况，以及是否达到了保护和培育的目标。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保护和管理措施：涵盖管护队伍建设、管护制度执行、森林防火、病虫害防治、林地保护、禁牧限牧等方面，考查各项措施的落实情况及其有效性。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资金使用情况：中央对国家级公益林的财政投入，包括资金的到位率、使用率、使用合规性等，确保资金合理分配和有效利用。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生态、社会效益：生态效益方面，关注公益林在涵养水源、保持水土、固碳释氧、维护生物多样性等方面的表现；社会效益方面，考量其对周边</w:t>
      </w:r>
      <w:r>
        <w:rPr>
          <w:rFonts w:hint="eastAsia" w:eastAsia="仿宋_GB2312" w:cs="Times New Roman"/>
          <w:sz w:val="32"/>
          <w:szCs w:val="32"/>
          <w:highlight w:val="none"/>
          <w:lang w:eastAsia="zh-CN"/>
        </w:rPr>
        <w:t>林区</w:t>
      </w:r>
      <w:r>
        <w:rPr>
          <w:rFonts w:hint="default" w:ascii="Times New Roman" w:hAnsi="Times New Roman" w:eastAsia="仿宋_GB2312" w:cs="Times New Roman"/>
          <w:sz w:val="32"/>
          <w:szCs w:val="32"/>
          <w:highlight w:val="none"/>
        </w:rPr>
        <w:t>就业、生态发展、居民生活质量改善等的</w:t>
      </w:r>
      <w:r>
        <w:rPr>
          <w:rFonts w:hint="eastAsia" w:eastAsia="仿宋_GB2312" w:cs="Times New Roman"/>
          <w:sz w:val="32"/>
          <w:szCs w:val="32"/>
          <w:highlight w:val="none"/>
          <w:lang w:eastAsia="zh-CN"/>
        </w:rPr>
        <w:t>影响。</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社会影响：考察项目对社会等方面的综合影响。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highlight w:val="none"/>
        </w:rPr>
        <w:t>（</w:t>
      </w:r>
      <w:r>
        <w:rPr>
          <w:rFonts w:hint="default" w:ascii="Times New Roman" w:hAnsi="Times New Roman" w:eastAsia="楷体_GB2312" w:cs="Times New Roman"/>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w:t>
      </w:r>
      <w:r>
        <w:rPr>
          <w:rFonts w:hint="default" w:ascii="Times New Roman" w:hAnsi="Times New Roman" w:eastAsia="仿宋_GB2312" w:cs="Times New Roman"/>
          <w:b w:val="0"/>
          <w:bCs w:val="0"/>
          <w:color w:val="auto"/>
          <w:spacing w:val="17"/>
          <w:kern w:val="2"/>
          <w:highlight w:val="none"/>
        </w:rPr>
        <w:t>60分以下为差。</w:t>
      </w:r>
    </w:p>
    <w:p>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eastAsia" w:eastAsia="仿宋_GB2312" w:cs="Times New Roman"/>
          <w:color w:val="auto"/>
          <w:spacing w:val="17"/>
          <w:sz w:val="32"/>
          <w:szCs w:val="32"/>
          <w:highlight w:val="none"/>
          <w:lang w:eastAsia="zh-CN"/>
        </w:rPr>
        <w:t>本</w:t>
      </w:r>
      <w:r>
        <w:rPr>
          <w:rFonts w:hint="default" w:ascii="Times New Roman" w:hAnsi="Times New Roman" w:eastAsia="仿宋_GB2312" w:cs="Times New Roman"/>
          <w:color w:val="auto"/>
          <w:spacing w:val="17"/>
          <w:sz w:val="32"/>
          <w:szCs w:val="32"/>
          <w:highlight w:val="none"/>
        </w:rPr>
        <w:t>次项目支出绩效采用了成本效益分析法</w:t>
      </w:r>
      <w:r>
        <w:rPr>
          <w:rFonts w:hint="eastAsia"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因素分析法</w:t>
      </w:r>
      <w:r>
        <w:rPr>
          <w:rFonts w:hint="eastAsia" w:eastAsia="仿宋_GB2312" w:cs="Times New Roman"/>
          <w:color w:val="auto"/>
          <w:spacing w:val="17"/>
          <w:sz w:val="32"/>
          <w:szCs w:val="32"/>
          <w:highlight w:val="none"/>
          <w:lang w:eastAsia="zh-CN"/>
        </w:rPr>
        <w:t>和</w:t>
      </w:r>
      <w:r>
        <w:rPr>
          <w:rFonts w:hint="default" w:ascii="Times New Roman" w:hAnsi="Times New Roman" w:eastAsia="仿宋_GB2312" w:cs="Times New Roman"/>
          <w:color w:val="auto"/>
          <w:spacing w:val="17"/>
          <w:sz w:val="32"/>
          <w:szCs w:val="32"/>
          <w:highlight w:val="none"/>
        </w:rPr>
        <w:t>公众评判法，原因是</w:t>
      </w:r>
      <w:r>
        <w:rPr>
          <w:rFonts w:hint="eastAsia" w:eastAsia="仿宋_GB2312" w:cs="Times New Roman"/>
          <w:color w:val="auto"/>
          <w:spacing w:val="17"/>
          <w:sz w:val="32"/>
          <w:szCs w:val="32"/>
          <w:highlight w:val="none"/>
          <w:lang w:eastAsia="zh-CN"/>
        </w:rPr>
        <w:t>本次项目</w:t>
      </w:r>
      <w:r>
        <w:rPr>
          <w:rFonts w:hint="default" w:ascii="Times New Roman" w:hAnsi="Times New Roman" w:eastAsia="仿宋_GB2312" w:cs="Times New Roman"/>
          <w:color w:val="auto"/>
          <w:spacing w:val="17"/>
          <w:sz w:val="32"/>
          <w:szCs w:val="32"/>
          <w:highlight w:val="none"/>
        </w:rPr>
        <w:t>有定性指标又有定量指标，本次项目总成本在</w:t>
      </w:r>
      <w:r>
        <w:rPr>
          <w:rFonts w:hint="eastAsia" w:eastAsia="仿宋_GB2312" w:cs="Times New Roman"/>
          <w:color w:val="auto"/>
          <w:spacing w:val="17"/>
          <w:sz w:val="32"/>
          <w:szCs w:val="32"/>
          <w:highlight w:val="none"/>
          <w:lang w:val="en-US" w:eastAsia="zh-CN"/>
        </w:rPr>
        <w:t>2474.45</w:t>
      </w:r>
      <w:r>
        <w:rPr>
          <w:rFonts w:hint="default" w:ascii="Times New Roman" w:hAnsi="Times New Roman" w:eastAsia="仿宋_GB2312" w:cs="Times New Roman"/>
          <w:color w:val="auto"/>
          <w:spacing w:val="17"/>
          <w:sz w:val="32"/>
          <w:szCs w:val="32"/>
          <w:highlight w:val="none"/>
        </w:rPr>
        <w:t>万元，</w:t>
      </w:r>
      <w:r>
        <w:rPr>
          <w:rFonts w:hint="eastAsia" w:eastAsia="仿宋_GB2312" w:cs="Times New Roman"/>
          <w:color w:val="auto"/>
          <w:spacing w:val="17"/>
          <w:sz w:val="32"/>
          <w:szCs w:val="32"/>
          <w:highlight w:val="none"/>
          <w:lang w:eastAsia="zh-CN"/>
        </w:rPr>
        <w:t>主要</w:t>
      </w:r>
      <w:r>
        <w:rPr>
          <w:rFonts w:hint="default" w:ascii="Times New Roman" w:hAnsi="Times New Roman" w:eastAsia="仿宋_GB2312" w:cs="Times New Roman"/>
          <w:color w:val="auto"/>
          <w:spacing w:val="17"/>
          <w:sz w:val="32"/>
          <w:szCs w:val="32"/>
          <w:highlight w:val="none"/>
        </w:rPr>
        <w:t>在</w:t>
      </w:r>
      <w:r>
        <w:rPr>
          <w:rFonts w:hint="eastAsia" w:eastAsia="仿宋_GB2312" w:cs="Times New Roman"/>
          <w:color w:val="auto"/>
          <w:spacing w:val="17"/>
          <w:sz w:val="32"/>
          <w:szCs w:val="32"/>
          <w:highlight w:val="none"/>
          <w:lang w:eastAsia="zh-CN"/>
        </w:rPr>
        <w:t>数量指标、经济成本指标及社会效益指标</w:t>
      </w:r>
      <w:r>
        <w:rPr>
          <w:rFonts w:hint="default" w:ascii="Times New Roman" w:hAnsi="Times New Roman" w:eastAsia="仿宋_GB2312" w:cs="Times New Roman"/>
          <w:color w:val="auto"/>
          <w:spacing w:val="17"/>
          <w:sz w:val="32"/>
          <w:szCs w:val="32"/>
          <w:highlight w:val="none"/>
        </w:rPr>
        <w:t>，根据</w:t>
      </w:r>
      <w:r>
        <w:rPr>
          <w:rFonts w:hint="eastAsia" w:eastAsia="仿宋_GB2312" w:cs="Times New Roman"/>
          <w:color w:val="auto"/>
          <w:spacing w:val="17"/>
          <w:sz w:val="32"/>
          <w:szCs w:val="32"/>
          <w:highlight w:val="none"/>
          <w:lang w:eastAsia="zh-CN"/>
        </w:rPr>
        <w:t>项目</w:t>
      </w:r>
      <w:r>
        <w:rPr>
          <w:rFonts w:hint="default" w:ascii="Times New Roman" w:hAnsi="Times New Roman" w:eastAsia="仿宋_GB2312" w:cs="Times New Roman"/>
          <w:color w:val="auto"/>
          <w:spacing w:val="17"/>
          <w:sz w:val="32"/>
          <w:szCs w:val="32"/>
          <w:highlight w:val="none"/>
        </w:rPr>
        <w:t>其支出的实际</w:t>
      </w:r>
      <w:r>
        <w:rPr>
          <w:rFonts w:hint="eastAsia" w:eastAsia="仿宋_GB2312" w:cs="Times New Roman"/>
          <w:color w:val="auto"/>
          <w:spacing w:val="17"/>
          <w:sz w:val="32"/>
          <w:szCs w:val="32"/>
          <w:highlight w:val="none"/>
          <w:lang w:eastAsia="zh-CN"/>
        </w:rPr>
        <w:t>验收</w:t>
      </w:r>
      <w:r>
        <w:rPr>
          <w:rFonts w:hint="default" w:ascii="Times New Roman" w:hAnsi="Times New Roman" w:eastAsia="仿宋_GB2312" w:cs="Times New Roman"/>
          <w:color w:val="auto"/>
          <w:spacing w:val="17"/>
          <w:sz w:val="32"/>
          <w:szCs w:val="32"/>
          <w:highlight w:val="none"/>
        </w:rPr>
        <w:t>情况与设定目标进行分析，得出最终结果；同时也综合分析年初设定目标与指标完成情况的对比，得出支出完成情况及项目所产生的</w:t>
      </w:r>
      <w:r>
        <w:rPr>
          <w:rFonts w:hint="eastAsia" w:ascii="Times New Roman" w:hAnsi="Times New Roman" w:eastAsia="仿宋_GB2312" w:cs="Times New Roman"/>
          <w:color w:val="auto"/>
          <w:spacing w:val="17"/>
          <w:sz w:val="32"/>
          <w:szCs w:val="32"/>
          <w:highlight w:val="none"/>
          <w:lang w:eastAsia="zh-CN"/>
        </w:rPr>
        <w:t>社会</w:t>
      </w:r>
      <w:r>
        <w:rPr>
          <w:rFonts w:hint="default" w:ascii="Times New Roman" w:hAnsi="Times New Roman" w:eastAsia="仿宋_GB2312" w:cs="Times New Roman"/>
          <w:color w:val="auto"/>
          <w:spacing w:val="17"/>
          <w:sz w:val="32"/>
          <w:szCs w:val="32"/>
          <w:highlight w:val="none"/>
        </w:rPr>
        <w:t>效益。</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4</w:t>
      </w:r>
      <w:r>
        <w:rPr>
          <w:rFonts w:hint="default" w:ascii="Times New Roman" w:hAnsi="Times New Roman" w:eastAsia="仿宋_GB2312" w:cs="Times New Roman"/>
          <w:color w:val="auto"/>
          <w:spacing w:val="17"/>
          <w:sz w:val="32"/>
          <w:szCs w:val="32"/>
          <w:highlight w:val="none"/>
          <w:lang w:val="en-US" w:eastAsia="zh-CN"/>
        </w:rPr>
        <w:t>.</w:t>
      </w:r>
      <w:r>
        <w:rPr>
          <w:rFonts w:hint="default" w:ascii="Times New Roman" w:hAnsi="Times New Roman" w:eastAsia="仿宋_GB2312" w:cs="Times New Roman"/>
          <w:color w:val="auto"/>
          <w:spacing w:val="17"/>
          <w:sz w:val="32"/>
          <w:szCs w:val="32"/>
          <w:highlight w:val="none"/>
        </w:rPr>
        <w:t>评价标准</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w:t>
      </w:r>
    </w:p>
    <w:p>
      <w:pPr>
        <w:spacing w:line="560" w:lineRule="exact"/>
        <w:ind w:firstLine="708" w:firstLineChars="200"/>
        <w:rPr>
          <w:rFonts w:hint="default" w:ascii="Times New Roman" w:hAnsi="Times New Roman" w:eastAsia="仿宋_GB2312" w:cs="Times New Roman"/>
          <w:b w:val="0"/>
          <w:bCs w:val="0"/>
          <w:color w:val="auto"/>
          <w:highlight w:val="yellow"/>
          <w:lang w:eastAsia="zh-CN"/>
        </w:rPr>
      </w:pPr>
      <w:r>
        <w:rPr>
          <w:rFonts w:hint="default" w:ascii="Times New Roman" w:hAnsi="Times New Roman" w:eastAsia="仿宋_GB2312" w:cs="Times New Roman"/>
          <w:color w:val="auto"/>
          <w:spacing w:val="17"/>
          <w:sz w:val="32"/>
          <w:szCs w:val="32"/>
          <w:highlight w:val="none"/>
        </w:rPr>
        <w:t>本次评价主要采用了计划标准，原因是本次项目的资金来源为中央林业草原生态保护恢复资金，计划标准以预先设定的项目目标、任务和预算为依据，确保资金使用与政策规划保持一致</w:t>
      </w:r>
      <w:r>
        <w:rPr>
          <w:rFonts w:hint="eastAsia"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计划与实际的差异分析能为后续政策优化提供依据。如多次出现计划目标过高或过低，可推动资源配置标准的科学化调整。</w:t>
      </w:r>
    </w:p>
    <w:p>
      <w:pPr>
        <w:pStyle w:val="11"/>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在项目绩效评价工作启动之初，成立了专门项目领导小组，</w:t>
      </w:r>
      <w:r>
        <w:rPr>
          <w:rFonts w:hint="eastAsia" w:ascii="Times New Roman" w:hAnsi="Times New Roman" w:eastAsia="仿宋_GB2312" w:cs="Times New Roman"/>
          <w:sz w:val="32"/>
          <w:szCs w:val="32"/>
          <w:highlight w:val="none"/>
          <w:lang w:val="en-US" w:eastAsia="zh-CN"/>
        </w:rPr>
        <w:t>具体分工为：</w:t>
      </w:r>
      <w:r>
        <w:rPr>
          <w:rFonts w:hint="eastAsia" w:eastAsia="仿宋_GB2312" w:cs="Times New Roman"/>
          <w:sz w:val="32"/>
          <w:szCs w:val="32"/>
          <w:highlight w:val="none"/>
          <w:lang w:val="en-US" w:eastAsia="zh-CN"/>
        </w:rPr>
        <w:t>项目负责领导乃比江·艾尔肯，分管</w:t>
      </w:r>
      <w:r>
        <w:rPr>
          <w:rFonts w:hint="eastAsia" w:ascii="Times New Roman" w:hAnsi="Times New Roman" w:eastAsia="仿宋_GB2312" w:cs="Times New Roman"/>
          <w:sz w:val="32"/>
          <w:szCs w:val="32"/>
          <w:highlight w:val="none"/>
          <w:lang w:val="en-US" w:eastAsia="zh-CN"/>
        </w:rPr>
        <w:t>项目负责人阚后继，职责为项目整体规划与协调，确保项目按时推进，项目实施人员为克热木·牙生，以及</w:t>
      </w:r>
      <w:r>
        <w:rPr>
          <w:rFonts w:hint="default" w:ascii="Times New Roman" w:hAnsi="Times New Roman" w:eastAsia="仿宋_GB2312" w:cs="Times New Roman"/>
          <w:sz w:val="32"/>
          <w:szCs w:val="32"/>
          <w:highlight w:val="none"/>
          <w:lang w:val="en-US" w:eastAsia="zh-CN"/>
        </w:rPr>
        <w:t>项目管理专业人员及相关领域技术骨干组成，</w:t>
      </w:r>
      <w:r>
        <w:rPr>
          <w:rFonts w:hint="eastAsia" w:ascii="Times New Roman" w:hAnsi="Times New Roman" w:eastAsia="仿宋_GB2312" w:cs="Times New Roman"/>
          <w:sz w:val="32"/>
          <w:szCs w:val="32"/>
          <w:highlight w:val="none"/>
          <w:lang w:val="en-US" w:eastAsia="zh-CN"/>
        </w:rPr>
        <w:t>职责为审核项目实施方案，负责项目区管护人员管理、项目招投标申报、物资采购、发放、验收等，项目监管及技术指导、项目档案资料收集整理等工作，</w:t>
      </w:r>
      <w:r>
        <w:rPr>
          <w:rFonts w:hint="default" w:ascii="Times New Roman" w:hAnsi="Times New Roman" w:eastAsia="仿宋_GB2312" w:cs="Times New Roman"/>
          <w:sz w:val="32"/>
          <w:szCs w:val="32"/>
          <w:highlight w:val="none"/>
          <w:lang w:val="en-US" w:eastAsia="zh-CN"/>
        </w:rPr>
        <w:t>确保从多角度、全方位对项目绩效进行评价。同时，明确了评价工作的目标、范围、重点及时间安排，制定了详细的工作计</w:t>
      </w:r>
      <w:r>
        <w:rPr>
          <w:rFonts w:hint="default" w:ascii="Times New Roman" w:hAnsi="Times New Roman" w:eastAsia="仿宋_GB2312" w:cs="Times New Roman"/>
          <w:sz w:val="32"/>
          <w:szCs w:val="32"/>
          <w:highlight w:val="none"/>
        </w:rPr>
        <w:t>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w:t>
      </w:r>
      <w:r>
        <w:rPr>
          <w:rFonts w:hint="eastAsia" w:eastAsia="仿宋_GB2312" w:cs="Times New Roman"/>
          <w:color w:val="000000"/>
          <w:spacing w:val="17"/>
          <w:sz w:val="32"/>
          <w:szCs w:val="32"/>
          <w:highlight w:val="none"/>
          <w:lang w:eastAsia="zh-CN"/>
        </w:rPr>
        <w:t>方面</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广泛收集与项目相关的各类数据，包括财务报表、项目文档、业务数据等。在数据收集过程中，收集森林抚育项目批复文件、作业设计方案、施工图纸，明确抚育区域边界、抚育方式（修枝、</w:t>
      </w:r>
      <w:r>
        <w:rPr>
          <w:rFonts w:hint="default" w:ascii="Times New Roman" w:hAnsi="Times New Roman" w:eastAsia="方正仿宋_GBK" w:cs="Times New Roman"/>
          <w:color w:val="auto"/>
          <w:sz w:val="32"/>
          <w:szCs w:val="32"/>
          <w:lang w:val="en-US" w:eastAsia="zh-CN"/>
        </w:rPr>
        <w:t>林地清理、抚育</w:t>
      </w:r>
      <w:r>
        <w:rPr>
          <w:rFonts w:hint="eastAsia" w:ascii="Times New Roman" w:hAnsi="Times New Roman" w:eastAsia="方正仿宋_GBK" w:cs="Times New Roman"/>
          <w:color w:val="auto"/>
          <w:sz w:val="32"/>
          <w:szCs w:val="32"/>
          <w:lang w:val="en-US" w:eastAsia="zh-CN"/>
        </w:rPr>
        <w:t>剩余物处理、病虫害防治</w:t>
      </w:r>
      <w:r>
        <w:rPr>
          <w:rFonts w:hint="default" w:ascii="Times New Roman" w:hAnsi="Times New Roman" w:eastAsia="仿宋_GB2312" w:cs="Times New Roman"/>
          <w:sz w:val="32"/>
          <w:szCs w:val="32"/>
          <w:highlight w:val="none"/>
          <w:lang w:eastAsia="zh-CN"/>
        </w:rPr>
        <w:t>等）技术标准及时间计划。按日期记录每日作业面积、累计完成面积，确保与计划进度匹配。</w:t>
      </w:r>
      <w:r>
        <w:rPr>
          <w:rFonts w:hint="default" w:eastAsia="方正仿宋_GBK" w:cs="Times New Roman"/>
          <w:color w:val="auto"/>
          <w:sz w:val="32"/>
          <w:szCs w:val="32"/>
          <w:lang w:val="en-US" w:eastAsia="zh-CN"/>
        </w:rPr>
        <w:t>监测样地和对照样地共计15组30个</w:t>
      </w:r>
      <w:r>
        <w:rPr>
          <w:rFonts w:hint="default" w:ascii="Times New Roman" w:hAnsi="Times New Roman" w:eastAsia="仿宋_GB2312" w:cs="Times New Roman"/>
          <w:sz w:val="32"/>
          <w:szCs w:val="32"/>
          <w:highlight w:val="none"/>
          <w:lang w:eastAsia="zh-CN"/>
        </w:rPr>
        <w:t>，调查株数密度、郁闭度、平均胸径、平均树高、龄组结构、树种组成等指标，对比抚育前后变化。对收集到的数据进行了系统的整理与分类，为后续的数据分析提供了有力支持。</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对比抚育前后的株数密度、郁闭度、树种组成、龄组结构等数据，评估林分健康程度。例如，若间伐后郁闭度从0.8降至0.6，且树种多样性提升，说明林分通风透光条件改善，降低了病虫害风险。通过对各项绩效指标的实际完成情况与预期目标进行对比，分析平均胸径、树高的增长率，判断抚育是否促进林木生长。若抚育后3年，目标树种平均胸径年增长1.2cm（高于抚育前0.8cm），表明抚育有效释放了生长空间。统计林下植被（草本、灌木）物种数、盖度的变化。如抚育后样方内物种数从8种增至12种，说明生态环境得到改善。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本项目的综合评价基于对项目各方面绩效的深入分析与评估。从项目目标的达成情况来看，2024年中央林业草原生态保护恢复资金的通知（森林保护修复-国家级公益林区）</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国家级公益林管护</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国有林综合生态修复、国有林森林抚育</w:t>
      </w:r>
      <w:r>
        <w:rPr>
          <w:rFonts w:hint="default" w:ascii="Times New Roman" w:hAnsi="Times New Roman" w:eastAsia="仿宋_GB2312" w:cs="Times New Roman"/>
          <w:color w:val="auto"/>
          <w:sz w:val="32"/>
          <w:szCs w:val="32"/>
          <w:highlight w:val="none"/>
        </w:rPr>
        <w:t>等方面表现出色，达到了预期的标准与要求。同</w:t>
      </w:r>
      <w:r>
        <w:rPr>
          <w:rFonts w:hint="default" w:ascii="Times New Roman" w:hAnsi="Times New Roman" w:eastAsia="仿宋_GB2312" w:cs="Times New Roman"/>
          <w:sz w:val="32"/>
          <w:szCs w:val="32"/>
          <w:highlight w:val="none"/>
        </w:rPr>
        <w:t>时，项目也在</w:t>
      </w:r>
      <w:r>
        <w:rPr>
          <w:rFonts w:hint="eastAsia" w:eastAsia="仿宋_GB2312" w:cs="Times New Roman"/>
          <w:sz w:val="32"/>
          <w:szCs w:val="32"/>
          <w:highlight w:val="none"/>
          <w:lang w:val="en-US" w:eastAsia="zh-CN"/>
        </w:rPr>
        <w:t>管护能站力提升上</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val="en-US" w:eastAsia="zh-CN"/>
        </w:rPr>
        <w:t>国有林综合生态修复、国有林森林抚育、</w:t>
      </w:r>
      <w:r>
        <w:rPr>
          <w:rFonts w:hint="default" w:ascii="Times New Roman" w:hAnsi="Times New Roman" w:eastAsia="方正仿宋_GBK" w:cs="Times New Roman"/>
          <w:sz w:val="32"/>
          <w:szCs w:val="32"/>
          <w:highlight w:val="none"/>
          <w:lang w:val="en-US" w:eastAsia="zh-CN"/>
        </w:rPr>
        <w:t>国家级公益林管护站</w:t>
      </w:r>
      <w:r>
        <w:rPr>
          <w:rFonts w:hint="eastAsia" w:eastAsia="方正仿宋_GBK" w:cs="Times New Roman"/>
          <w:sz w:val="32"/>
          <w:szCs w:val="32"/>
          <w:highlight w:val="none"/>
          <w:lang w:val="en-US" w:eastAsia="zh-CN"/>
        </w:rPr>
        <w:t>能力提升</w:t>
      </w:r>
      <w:r>
        <w:rPr>
          <w:rFonts w:hint="default" w:ascii="Times New Roman" w:hAnsi="Times New Roman" w:eastAsia="仿宋_GB2312" w:cs="Times New Roman"/>
          <w:sz w:val="32"/>
          <w:szCs w:val="32"/>
          <w:highlight w:val="none"/>
        </w:rPr>
        <w:t>等。</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库尔勒市林业和草原局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从项目效益的角度来看，本项目实现了预期的社会效益等方面产生了积极的影响。具体而言，</w:t>
      </w:r>
      <w:r>
        <w:rPr>
          <w:rFonts w:hint="eastAsia" w:ascii="Times New Roman" w:hAnsi="Times New Roman" w:eastAsia="仿宋_GB2312" w:cs="Times New Roman"/>
          <w:sz w:val="32"/>
          <w:szCs w:val="32"/>
          <w:highlight w:val="none"/>
          <w:lang w:val="en-US" w:eastAsia="zh-CN"/>
        </w:rPr>
        <w:t>社会效益：聘用115名管护人员，提高当地就业率</w:t>
      </w:r>
      <w:r>
        <w:rPr>
          <w:rFonts w:hint="default" w:ascii="Times New Roman" w:hAnsi="Times New Roman" w:eastAsia="仿宋_GB2312" w:cs="Times New Roman"/>
          <w:sz w:val="32"/>
          <w:szCs w:val="32"/>
          <w:highlight w:val="none"/>
        </w:rPr>
        <w:t>等方面的提升，为项目的利益相关者带来了实实在在的利益。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综上所述，2024年中央林业草原生态保护恢复资金的通知（森林保护修复-国家级公益林区）</w:t>
      </w:r>
      <w:r>
        <w:rPr>
          <w:rFonts w:hint="eastAsia" w:ascii="Times New Roman" w:hAnsi="Times New Roman"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95</w:t>
      </w:r>
      <w:r>
        <w:rPr>
          <w:rFonts w:hint="default" w:ascii="Times New Roman" w:hAnsi="Times New Roman" w:eastAsia="仿宋_GB2312" w:cs="Times New Roman"/>
          <w:b w:val="0"/>
          <w:bCs w:val="0"/>
          <w:highlight w:val="none"/>
        </w:rPr>
        <w:t>分，属于“</w:t>
      </w:r>
      <w:r>
        <w:rPr>
          <w:rFonts w:hint="eastAsia" w:ascii="Times New Roman" w:hAnsi="Times New Roman" w:eastAsia="仿宋_GB2312" w:cs="Times New Roman"/>
          <w:b w:val="0"/>
          <w:bCs w:val="0"/>
          <w:highlight w:val="none"/>
          <w:lang w:eastAsia="zh-CN"/>
        </w:rPr>
        <w:t>优</w:t>
      </w:r>
      <w:r>
        <w:rPr>
          <w:rFonts w:hint="default" w:ascii="Times New Roman" w:hAnsi="Times New Roman" w:eastAsia="仿宋_GB2312" w:cs="Times New Roman"/>
          <w:b w:val="0"/>
          <w:bCs w:val="0"/>
          <w:highlight w:val="none"/>
        </w:rPr>
        <w:t xml:space="preserve">”。其中，项目决策类指标权重为20分，得分为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35</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87.5</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95</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1"/>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keepNext w:val="0"/>
        <w:keepLines w:val="0"/>
        <w:widowControl/>
        <w:suppressLineNumbers w:val="0"/>
        <w:jc w:val="lef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w:t>
      </w:r>
      <w:r>
        <w:rPr>
          <w:rFonts w:hint="eastAsia" w:eastAsia="仿宋_GB2312" w:cs="Times New Roman"/>
          <w:sz w:val="32"/>
          <w:szCs w:val="32"/>
          <w:lang w:val="en-US" w:eastAsia="zh-CN"/>
        </w:rPr>
        <w:t>项目立项符合国家相关法律法规及发展政策，符合行业规划要求，根据</w:t>
      </w:r>
      <w:r>
        <w:rPr>
          <w:rFonts w:hint="eastAsia" w:ascii="Times New Roman" w:hAnsi="Times New Roman" w:eastAsia="仿宋_GB2312" w:cs="Times New Roman"/>
          <w:sz w:val="32"/>
          <w:szCs w:val="32"/>
          <w:lang w:val="en-US" w:eastAsia="zh-CN"/>
        </w:rPr>
        <w:t>《中华人民共和国森林法》《中华人民共和国森林法实施条例》等法律法规，对森林资源的保护与管理做出了严格规定，国家级公益林作为重点保护对象，必须依法进行建设与管理。这些法律法规为公益林的立项、保护、经营等提供了坚实的法律依据和保障，确保各项工作有法可依、有序推进</w:t>
      </w:r>
      <w:r>
        <w:rPr>
          <w:rFonts w:hint="default" w:ascii="Times New Roman" w:hAnsi="Times New Roman" w:eastAsia="仿宋_GB2312" w:cs="Times New Roman"/>
          <w:sz w:val="32"/>
          <w:szCs w:val="32"/>
          <w:lang w:val="en-US" w:eastAsia="zh-CN"/>
        </w:rPr>
        <w:t>。本项目与部门内部其他相关项目不重复。</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eastAsia" w:ascii="Times New Roman" w:hAnsi="Times New Roman" w:eastAsia="仿宋_GB2312" w:cs="Times New Roman"/>
          <w:sz w:val="32"/>
          <w:szCs w:val="32"/>
          <w:lang w:val="en-US" w:eastAsia="zh-CN"/>
        </w:rPr>
        <w:t>根据</w:t>
      </w:r>
      <w:r>
        <w:rPr>
          <w:rFonts w:hint="default" w:ascii="Times New Roman" w:hAnsi="Times New Roman" w:eastAsia="仿宋_GB2312" w:cs="Times New Roman"/>
          <w:sz w:val="32"/>
          <w:szCs w:val="32"/>
          <w:lang w:val="en-US" w:eastAsia="zh-CN"/>
        </w:rPr>
        <w:t xml:space="preserve">自治区财政厅《关于提前下达 2024 </w:t>
      </w:r>
      <w:r>
        <w:rPr>
          <w:rFonts w:hint="eastAsia" w:ascii="Times New Roman" w:hAnsi="Times New Roman" w:eastAsia="仿宋_GB2312" w:cs="Times New Roman"/>
          <w:sz w:val="32"/>
          <w:szCs w:val="32"/>
          <w:lang w:val="en-US" w:eastAsia="zh-CN"/>
        </w:rPr>
        <w:t>年中央林业草原生态保护恢复资金的通知》（新财资环[</w:t>
      </w:r>
      <w:r>
        <w:rPr>
          <w:rFonts w:hint="default" w:ascii="Times New Roman" w:hAnsi="Times New Roman" w:eastAsia="仿宋_GB2312" w:cs="Times New Roman"/>
          <w:sz w:val="32"/>
          <w:szCs w:val="32"/>
          <w:lang w:val="en-US" w:eastAsia="zh-CN"/>
        </w:rPr>
        <w:t>2023</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 xml:space="preserve"> 126</w:t>
      </w:r>
      <w:r>
        <w:rPr>
          <w:rFonts w:hint="eastAsia" w:ascii="Times New Roman" w:hAnsi="Times New Roman" w:eastAsia="仿宋_GB2312" w:cs="Times New Roman"/>
          <w:sz w:val="32"/>
          <w:szCs w:val="32"/>
          <w:lang w:val="en-US" w:eastAsia="zh-CN"/>
        </w:rPr>
        <w:t>号），《关于提前下达2024年中央财政林业草原生态保护恢复资金建设任务的通知》（新林规字〔2023〕212号）</w:t>
      </w:r>
      <w:r>
        <w:rPr>
          <w:rFonts w:hint="default" w:ascii="Times New Roman" w:hAnsi="Times New Roman" w:eastAsia="仿宋_GB2312" w:cs="Times New Roman"/>
          <w:sz w:val="32"/>
          <w:szCs w:val="32"/>
          <w:lang w:val="en-US" w:eastAsia="zh-CN"/>
        </w:rPr>
        <w:t>经过与</w:t>
      </w:r>
      <w:r>
        <w:rPr>
          <w:rFonts w:hint="eastAsia" w:ascii="Times New Roman" w:hAnsi="Times New Roman" w:eastAsia="仿宋_GB2312" w:cs="Times New Roman"/>
          <w:sz w:val="32"/>
          <w:szCs w:val="32"/>
          <w:lang w:val="en-US" w:eastAsia="zh-CN"/>
        </w:rPr>
        <w:t>党组会议</w:t>
      </w:r>
      <w:r>
        <w:rPr>
          <w:rFonts w:hint="default" w:ascii="Times New Roman" w:hAnsi="Times New Roman" w:eastAsia="仿宋_GB2312" w:cs="Times New Roman"/>
          <w:sz w:val="32"/>
          <w:szCs w:val="32"/>
          <w:lang w:val="en-US" w:eastAsia="zh-CN"/>
        </w:rPr>
        <w:t>确定经费预算计划，确定最终</w:t>
      </w:r>
      <w:r>
        <w:rPr>
          <w:rFonts w:hint="eastAsia" w:eastAsia="仿宋_GB2312" w:cs="Times New Roman"/>
          <w:sz w:val="32"/>
          <w:szCs w:val="32"/>
          <w:lang w:val="en-US" w:eastAsia="zh-CN"/>
        </w:rPr>
        <w:t>项目实施方案，</w:t>
      </w:r>
      <w:r>
        <w:rPr>
          <w:rFonts w:hint="default" w:ascii="Times New Roman" w:hAnsi="Times New Roman" w:eastAsia="仿宋_GB2312" w:cs="Times New Roman"/>
          <w:sz w:val="32"/>
          <w:szCs w:val="32"/>
          <w:lang w:val="en-US" w:eastAsia="zh-CN"/>
        </w:rPr>
        <w:t>根据</w:t>
      </w:r>
      <w:r>
        <w:rPr>
          <w:rFonts w:hint="eastAsia" w:eastAsia="仿宋_GB2312" w:cs="Times New Roman"/>
          <w:sz w:val="32"/>
          <w:szCs w:val="32"/>
          <w:lang w:val="en-US" w:eastAsia="zh-CN"/>
        </w:rPr>
        <w:t>实施方案及批复</w:t>
      </w:r>
      <w:r>
        <w:rPr>
          <w:rFonts w:hint="default" w:ascii="Times New Roman" w:hAnsi="Times New Roman" w:eastAsia="仿宋_GB2312" w:cs="Times New Roman"/>
          <w:sz w:val="32"/>
          <w:szCs w:val="32"/>
          <w:lang w:val="en-US" w:eastAsia="zh-CN"/>
        </w:rPr>
        <w:t>编制工作计划和经费预算项目的审批文件、材料符合相关要求。</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1"/>
        <w:numPr>
          <w:ilvl w:val="0"/>
          <w:numId w:val="5"/>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2474.45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1908.41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77.12</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w:t>
      </w:r>
      <w:r>
        <w:rPr>
          <w:rFonts w:hint="eastAsia" w:ascii="Times New Roman" w:hAnsi="Times New Roman" w:eastAsia="仿宋_GB2312" w:cs="Times New Roman"/>
          <w:sz w:val="32"/>
          <w:szCs w:val="32"/>
          <w:highlight w:val="none"/>
          <w:lang w:val="en-US" w:eastAsia="zh-CN"/>
        </w:rPr>
        <w:t>《关于印发&lt;新疆维吾尔自治区林业改革发展资金管理实施细则&gt;的通知》（新财建〔2019〕90号）要求</w:t>
      </w:r>
      <w:r>
        <w:rPr>
          <w:rFonts w:hint="default" w:ascii="Times New Roman" w:hAnsi="Times New Roman" w:eastAsia="仿宋_GB2312" w:cs="Times New Roman"/>
          <w:sz w:val="32"/>
          <w:szCs w:val="32"/>
          <w:highlight w:val="none"/>
          <w:lang w:eastAsia="zh-CN"/>
        </w:rPr>
        <w:t>与</w:t>
      </w:r>
      <w:r>
        <w:rPr>
          <w:rFonts w:hint="eastAsia" w:eastAsia="仿宋_GB2312" w:cs="Times New Roman"/>
          <w:sz w:val="32"/>
          <w:szCs w:val="32"/>
          <w:highlight w:val="none"/>
          <w:lang w:eastAsia="zh-CN"/>
        </w:rPr>
        <w:t>我局内部</w:t>
      </w:r>
      <w:r>
        <w:rPr>
          <w:rFonts w:hint="default" w:ascii="Times New Roman" w:hAnsi="Times New Roman" w:eastAsia="仿宋_GB2312" w:cs="Times New Roman"/>
          <w:sz w:val="32"/>
          <w:szCs w:val="32"/>
          <w:highlight w:val="none"/>
          <w:lang w:eastAsia="zh-CN"/>
        </w:rPr>
        <w:t>财务制度，确保了资金的合规性与安全性。在资金使用过程中，我们建立了完善的财务管理体系，资金使用坚持专款专用的原则，确保了项目资金不被挪用或截留。同时，我们还加强了对资金使用的审计与监督，定期对财务收支进行自查与自纠，及时发现并纠正可能存在的问题</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本项目健全的管理制度体系，为项目的实施提供了坚实的制度保障。</w:t>
      </w:r>
      <w:r>
        <w:rPr>
          <w:rFonts w:hint="eastAsia" w:ascii="Times New Roman" w:hAnsi="Times New Roman" w:eastAsia="仿宋_GB2312" w:cs="Times New Roman"/>
          <w:sz w:val="32"/>
          <w:szCs w:val="32"/>
          <w:highlight w:val="none"/>
          <w:lang w:eastAsia="zh-CN"/>
        </w:rPr>
        <w:t>项目全周期管理：建立从项目申报、审批、实施到验收的全流程管理制度，规范项目立项标准与申报程序，加强项目实施过程中的进度、质量、资金使用监管，严格项目验收标准与流程，确保项目规范实施。</w:t>
      </w:r>
    </w:p>
    <w:p>
      <w:pPr>
        <w:ind w:firstLine="640" w:firstLineChars="200"/>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绩效跟踪监控：运用信息化手段，绩效</w:t>
      </w:r>
      <w:r>
        <w:rPr>
          <w:rFonts w:hint="eastAsia" w:eastAsia="仿宋_GB2312" w:cs="Times New Roman"/>
          <w:sz w:val="32"/>
          <w:szCs w:val="32"/>
          <w:highlight w:val="none"/>
          <w:lang w:eastAsia="zh-CN"/>
        </w:rPr>
        <w:t>绩效平台</w:t>
      </w:r>
      <w:r>
        <w:rPr>
          <w:rFonts w:hint="eastAsia" w:ascii="Times New Roman" w:hAnsi="Times New Roman" w:eastAsia="仿宋_GB2312" w:cs="Times New Roman"/>
          <w:sz w:val="32"/>
          <w:szCs w:val="32"/>
          <w:highlight w:val="none"/>
          <w:lang w:eastAsia="zh-CN"/>
        </w:rPr>
        <w:t>跟踪管理平台，对项目资金使用进度、资源管护成效、生态指标变化等进行实时监测。定期开展绩效运行监控分析，对偏离绩效目标的项目及时预警并采取纠偏措施，保障项目按计划推进。</w:t>
      </w:r>
    </w:p>
    <w:p>
      <w:pPr>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管理制度的健全性不仅体现在制度的完善上，还体现在制度的执行与监督上。我们建立了有效的监督机制与反馈机制，对项目的实施情况进行定期检查与评估，及时发现并纠正可能存在的问题。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Style w:val="13"/>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12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35</w:t>
      </w:r>
      <w:r>
        <w:rPr>
          <w:rFonts w:hint="default" w:ascii="Times New Roman" w:hAnsi="Times New Roman" w:eastAsia="仿宋_GB2312" w:cs="Times New Roman"/>
          <w:sz w:val="32"/>
          <w:szCs w:val="32"/>
          <w:highlight w:val="none"/>
          <w:lang w:val="en-US" w:eastAsia="zh-CN"/>
        </w:rPr>
        <w:t>分</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得分率为</w:t>
      </w:r>
      <w:r>
        <w:rPr>
          <w:rFonts w:hint="eastAsia" w:eastAsia="仿宋_GB2312" w:cs="Times New Roman"/>
          <w:sz w:val="32"/>
          <w:szCs w:val="32"/>
          <w:highlight w:val="none"/>
          <w:lang w:val="en-US" w:eastAsia="zh-CN"/>
        </w:rPr>
        <w:t>87.5</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指标1：国有国家级公益林管护面积，指标值：</w:t>
      </w:r>
      <w:r>
        <w:rPr>
          <w:rFonts w:hint="eastAsia" w:eastAsia="仿宋_GB2312" w:cs="Times New Roman"/>
          <w:sz w:val="32"/>
          <w:szCs w:val="32"/>
          <w:highlight w:val="none"/>
          <w:lang w:val="en-US" w:eastAsia="zh-CN"/>
        </w:rPr>
        <w:t>165.44万亩</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165.44万亩</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：国有林综合生态修复面积，指标值：</w:t>
      </w:r>
      <w:r>
        <w:rPr>
          <w:rFonts w:hint="eastAsia" w:eastAsia="仿宋_GB2312" w:cs="Times New Roman"/>
          <w:sz w:val="32"/>
          <w:szCs w:val="32"/>
          <w:highlight w:val="none"/>
          <w:lang w:val="en-US" w:eastAsia="zh-CN"/>
        </w:rPr>
        <w:t>5万亩</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5万亩</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：国有林抚育面积，指标值：</w:t>
      </w:r>
      <w:r>
        <w:rPr>
          <w:rFonts w:hint="eastAsia" w:eastAsia="仿宋_GB2312" w:cs="Times New Roman"/>
          <w:sz w:val="32"/>
          <w:szCs w:val="32"/>
          <w:highlight w:val="none"/>
          <w:lang w:val="en-US" w:eastAsia="zh-CN"/>
        </w:rPr>
        <w:t>2万亩</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2万亩</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：胡杨林春尺蠖飞机防治面积，指标值：</w:t>
      </w:r>
      <w:r>
        <w:rPr>
          <w:rFonts w:hint="eastAsia" w:eastAsia="仿宋_GB2312" w:cs="Times New Roman"/>
          <w:sz w:val="32"/>
          <w:szCs w:val="32"/>
          <w:highlight w:val="none"/>
          <w:lang w:val="en-US" w:eastAsia="zh-CN"/>
        </w:rPr>
        <w:t>20万亩</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14.82万亩</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74.1</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2025年4月胡杨林春尺蠖飞机防治完成任务后验收，验收合格后完善支付手续。整改措施：抓紧办理资金支付相关手续。</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：管护站能力提升，指标值：</w:t>
      </w:r>
      <w:r>
        <w:rPr>
          <w:rFonts w:hint="eastAsia" w:eastAsia="仿宋_GB2312" w:cs="Times New Roman"/>
          <w:sz w:val="32"/>
          <w:szCs w:val="32"/>
          <w:highlight w:val="none"/>
          <w:lang w:val="en-US" w:eastAsia="zh-CN"/>
        </w:rPr>
        <w:t>14个管护站</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15个管护站</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107.14</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为保障管护站的日常运行工作，方便日常巡护，启用原有暂停的管护站1个。整改措施：做好管护站的日常管理工作，保障管护站的正常运行。</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此项权重分值为10分，得分为9分。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：项目实施合格率，指标值：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96.25%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96.25</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偏差原因：2025年4月胡杨林春尺蠖飞机防治完成任务后验收，验收合格后完善支付手续。整改措施：抓紧办理资金支付相关手续。</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此项权重分值为10分，得分为9分。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：任务完成及时率，指标值：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96.25%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96.25</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偏差原因：2025年4月胡杨林春尺蠖飞机防治完成任务后验收，验收合格后完善支付手续。整改措施：抓紧办理资金支付相关手续。</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此项权重分值为10分，得分为9分。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：国有国家级公益林管护成本，指标值：</w:t>
      </w:r>
      <w:r>
        <w:rPr>
          <w:rFonts w:hint="eastAsia" w:eastAsia="仿宋_GB2312" w:cs="Times New Roman"/>
          <w:sz w:val="32"/>
          <w:szCs w:val="32"/>
          <w:highlight w:val="none"/>
          <w:lang w:val="en-US" w:eastAsia="zh-CN"/>
        </w:rPr>
        <w:t>&lt;=10元/亩</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&lt;=8.64元/亩</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86.38</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偏差原因：抓紧时间验收公益林管理项目的支出，验收合格后完善支付手续。整改措施：抓紧办理资金支付相关手续。</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：国有林综合生态修复成本，指标值：</w:t>
      </w:r>
      <w:r>
        <w:rPr>
          <w:rFonts w:hint="eastAsia" w:eastAsia="仿宋_GB2312" w:cs="Times New Roman"/>
          <w:sz w:val="32"/>
          <w:szCs w:val="32"/>
          <w:highlight w:val="none"/>
          <w:lang w:val="en-US" w:eastAsia="zh-CN"/>
        </w:rPr>
        <w:t>&lt;=14元/亩</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&lt;=9.11元/亩</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65.07</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偏差原因：竣工验收审计结算后完善支付手续。整改措施：抓紧办理资金支付相关手续。</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：国有林抚育成本，指标值：</w:t>
      </w:r>
      <w:r>
        <w:rPr>
          <w:rFonts w:hint="eastAsia" w:eastAsia="仿宋_GB2312" w:cs="Times New Roman"/>
          <w:sz w:val="32"/>
          <w:szCs w:val="32"/>
          <w:highlight w:val="none"/>
          <w:lang w:val="en-US" w:eastAsia="zh-CN"/>
        </w:rPr>
        <w:t>&lt;=200元/亩</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127.5元/亩</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63.75</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偏差原因：竣工验收审计结算后完善支付手续。整改措施：抓紧办理资金支付相关手续。</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：胡杨林春尺蠖飞机防治成本，指标值：</w:t>
      </w:r>
      <w:r>
        <w:rPr>
          <w:rFonts w:hint="eastAsia" w:eastAsia="仿宋_GB2312" w:cs="Times New Roman"/>
          <w:sz w:val="32"/>
          <w:szCs w:val="32"/>
          <w:highlight w:val="none"/>
          <w:lang w:val="en-US" w:eastAsia="zh-CN"/>
        </w:rPr>
        <w:t>&lt;=7元/亩</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&lt;=3元/亩</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42.86</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偏差原因：2025年4月胡杨林春尺蠖飞机防治完成任务后验收，验收合格后完善支付手续。整改措施：抓紧办理资金支付相关手续。</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：每个管护站能力提升保障经费，指标值：</w:t>
      </w:r>
      <w:r>
        <w:rPr>
          <w:rFonts w:hint="eastAsia" w:eastAsia="仿宋_GB2312" w:cs="Times New Roman"/>
          <w:sz w:val="32"/>
          <w:szCs w:val="32"/>
          <w:highlight w:val="none"/>
          <w:lang w:val="en-US" w:eastAsia="zh-CN"/>
        </w:rPr>
        <w:t>&lt;=15.35万元/站</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&lt;=8.64万元/站</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56.29</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偏差原因：抓紧时间验收各管护站保障能力提升设施设备，验收合格后完善支付手续。整改措施：抓紧办理资金支付相关手续</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此项权重分值为10分，得分为8分。</w:t>
      </w:r>
    </w:p>
    <w:p>
      <w:pPr>
        <w:pStyle w:val="13"/>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w:t>
      </w:r>
      <w:r>
        <w:rPr>
          <w:rFonts w:hint="default" w:ascii="Times New Roman" w:hAnsi="Times New Roman" w:eastAsia="仿宋_GB2312" w:cs="Times New Roman"/>
          <w:sz w:val="32"/>
          <w:szCs w:val="32"/>
          <w:lang w:val="en-US" w:eastAsia="zh-CN"/>
        </w:rPr>
        <w:t>益指标及满意度指标完成情况如下：</w:t>
      </w:r>
    </w:p>
    <w:p>
      <w:pPr>
        <w:numPr>
          <w:ilvl w:val="0"/>
          <w:numId w:val="6"/>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：国有林（国家级公益林）管护提供岗位数，指标值：</w:t>
      </w:r>
      <w:r>
        <w:rPr>
          <w:rFonts w:hint="eastAsia" w:eastAsia="仿宋_GB2312" w:cs="Times New Roman"/>
          <w:sz w:val="32"/>
          <w:szCs w:val="32"/>
          <w:highlight w:val="none"/>
          <w:lang w:val="en-US" w:eastAsia="zh-CN"/>
        </w:rPr>
        <w:t>&gt;=115人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115人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：林区职工满意度，指标值：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105.26</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提供保障管护岗位115人，林区职工对于现岗位工作及待遇很满意。整改措施：下一年度调整满意度指标。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此项权重分值为20分，得分为20分。</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20"/>
        <w:spacing w:line="560" w:lineRule="exact"/>
        <w:ind w:firstLine="640"/>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kern w:val="0"/>
          <w:sz w:val="36"/>
          <w:szCs w:val="36"/>
          <w:highlight w:val="none"/>
        </w:rPr>
        <w:t>中央林业草原生态保护恢复资金（森林保护修复-国家级公益林区）</w:t>
      </w:r>
      <w:r>
        <w:rPr>
          <w:rFonts w:hint="eastAsia" w:eastAsia="仿宋_GB2312" w:cs="Times New Roman"/>
          <w:color w:val="auto"/>
          <w:kern w:val="0"/>
          <w:sz w:val="36"/>
          <w:szCs w:val="36"/>
          <w:highlight w:val="none"/>
          <w:lang w:val="en-US" w:eastAsia="zh-CN"/>
        </w:rPr>
        <w:t>项目</w:t>
      </w:r>
      <w:r>
        <w:rPr>
          <w:rFonts w:hint="default" w:ascii="Times New Roman" w:hAnsi="Times New Roman" w:eastAsia="方正仿宋_GBK" w:cs="Times New Roman"/>
          <w:color w:val="auto"/>
          <w:sz w:val="32"/>
          <w:szCs w:val="32"/>
          <w:highlight w:val="none"/>
        </w:rPr>
        <w:t>项目年初预算</w:t>
      </w:r>
      <w:r>
        <w:rPr>
          <w:rFonts w:hint="eastAsia" w:eastAsia="方正仿宋_GBK" w:cs="Times New Roman"/>
          <w:color w:val="auto"/>
          <w:sz w:val="32"/>
          <w:szCs w:val="32"/>
          <w:highlight w:val="none"/>
          <w:lang w:val="en-US" w:eastAsia="zh-CN"/>
        </w:rPr>
        <w:t>2474.45</w:t>
      </w:r>
      <w:r>
        <w:rPr>
          <w:rFonts w:hint="default" w:ascii="Times New Roman" w:hAnsi="Times New Roman" w:eastAsia="方正仿宋_GBK" w:cs="Times New Roman"/>
          <w:color w:val="auto"/>
          <w:sz w:val="32"/>
          <w:szCs w:val="32"/>
          <w:highlight w:val="none"/>
        </w:rPr>
        <w:t>万元，全年预算</w:t>
      </w:r>
      <w:r>
        <w:rPr>
          <w:rFonts w:hint="eastAsia" w:eastAsia="方正仿宋_GBK" w:cs="Times New Roman"/>
          <w:color w:val="auto"/>
          <w:sz w:val="32"/>
          <w:szCs w:val="32"/>
          <w:highlight w:val="none"/>
          <w:lang w:val="en-US" w:eastAsia="zh-CN"/>
        </w:rPr>
        <w:t>2474.45</w:t>
      </w:r>
      <w:r>
        <w:rPr>
          <w:rFonts w:hint="default" w:ascii="Times New Roman" w:hAnsi="Times New Roman" w:eastAsia="方正仿宋_GBK" w:cs="Times New Roman"/>
          <w:color w:val="auto"/>
          <w:sz w:val="32"/>
          <w:szCs w:val="32"/>
          <w:highlight w:val="none"/>
        </w:rPr>
        <w:t>万元，实际支出</w:t>
      </w:r>
      <w:r>
        <w:rPr>
          <w:rFonts w:hint="eastAsia" w:eastAsia="方正仿宋_GBK" w:cs="Times New Roman"/>
          <w:color w:val="auto"/>
          <w:sz w:val="32"/>
          <w:szCs w:val="32"/>
          <w:highlight w:val="none"/>
          <w:lang w:val="en-US" w:eastAsia="zh-CN"/>
        </w:rPr>
        <w:t>1908.41</w:t>
      </w:r>
      <w:r>
        <w:rPr>
          <w:rFonts w:hint="default" w:ascii="Times New Roman" w:hAnsi="Times New Roman" w:eastAsia="方正仿宋_GBK" w:cs="Times New Roman"/>
          <w:color w:val="auto"/>
          <w:sz w:val="32"/>
          <w:szCs w:val="32"/>
          <w:highlight w:val="none"/>
        </w:rPr>
        <w:t>万元，预算执行率为</w:t>
      </w:r>
      <w:r>
        <w:rPr>
          <w:rFonts w:hint="eastAsia" w:eastAsia="方正仿宋_GBK" w:cs="Times New Roman"/>
          <w:color w:val="auto"/>
          <w:sz w:val="32"/>
          <w:szCs w:val="32"/>
          <w:highlight w:val="none"/>
          <w:lang w:val="en-US" w:eastAsia="zh-CN"/>
        </w:rPr>
        <w:t>77.12</w:t>
      </w:r>
      <w:r>
        <w:rPr>
          <w:rFonts w:hint="default" w:ascii="Times New Roman" w:hAnsi="Times New Roman" w:eastAsia="方正仿宋_GBK" w:cs="Times New Roman"/>
          <w:color w:val="auto"/>
          <w:sz w:val="32"/>
          <w:szCs w:val="32"/>
          <w:highlight w:val="none"/>
        </w:rPr>
        <w:t>%，项目绩效指标总体完成率为</w:t>
      </w:r>
      <w:r>
        <w:rPr>
          <w:rFonts w:hint="eastAsia" w:eastAsia="方正仿宋_GBK" w:cs="Times New Roman"/>
          <w:color w:val="auto"/>
          <w:sz w:val="32"/>
          <w:szCs w:val="32"/>
          <w:highlight w:val="none"/>
          <w:lang w:val="en-US" w:eastAsia="zh-CN"/>
        </w:rPr>
        <w:t>85.03</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Hans"/>
        </w:rPr>
        <w:t>总体</w:t>
      </w:r>
      <w:r>
        <w:rPr>
          <w:rFonts w:hint="default" w:ascii="Times New Roman" w:hAnsi="Times New Roman" w:eastAsia="方正仿宋_GBK" w:cs="Times New Roman"/>
          <w:color w:val="auto"/>
          <w:sz w:val="32"/>
          <w:szCs w:val="32"/>
          <w:highlight w:val="none"/>
        </w:rPr>
        <w:t>偏差率为</w:t>
      </w:r>
      <w:r>
        <w:rPr>
          <w:rFonts w:hint="eastAsia" w:eastAsia="方正仿宋_GBK" w:cs="Times New Roman"/>
          <w:color w:val="auto"/>
          <w:sz w:val="32"/>
          <w:szCs w:val="32"/>
          <w:highlight w:val="none"/>
          <w:lang w:val="en-US" w:eastAsia="zh-CN"/>
        </w:rPr>
        <w:t>7.91</w:t>
      </w:r>
      <w:r>
        <w:rPr>
          <w:rFonts w:hint="default" w:ascii="Times New Roman" w:hAnsi="Times New Roman" w:eastAsia="方正仿宋_GBK" w:cs="Times New Roman"/>
          <w:color w:val="auto"/>
          <w:sz w:val="32"/>
          <w:szCs w:val="32"/>
          <w:highlight w:val="none"/>
        </w:rPr>
        <w:t>%</w:t>
      </w:r>
      <w:r>
        <w:rPr>
          <w:rFonts w:hint="eastAsia" w:ascii="Times New Roman" w:hAnsi="Times New Roman" w:cs="Times New Roman"/>
          <w:color w:val="auto"/>
          <w:highlight w:val="none"/>
          <w:lang w:eastAsia="zh-CN"/>
        </w:rPr>
        <w:t>，</w:t>
      </w:r>
      <w:r>
        <w:rPr>
          <w:rFonts w:hint="default" w:ascii="Times New Roman" w:hAnsi="Times New Roman" w:eastAsia="方正仿宋_GBK" w:cs="Times New Roman"/>
          <w:color w:val="auto"/>
          <w:sz w:val="32"/>
          <w:szCs w:val="32"/>
          <w:highlight w:val="none"/>
          <w:lang w:eastAsia="zh-Hans"/>
        </w:rPr>
        <w:t>偏差</w:t>
      </w:r>
      <w:r>
        <w:rPr>
          <w:rFonts w:hint="default" w:ascii="Times New Roman" w:hAnsi="Times New Roman" w:eastAsia="方正仿宋_GBK" w:cs="Times New Roman"/>
          <w:color w:val="auto"/>
          <w:sz w:val="32"/>
          <w:szCs w:val="32"/>
          <w:highlight w:val="none"/>
        </w:rPr>
        <w:t>原因</w:t>
      </w:r>
      <w:r>
        <w:rPr>
          <w:rFonts w:hint="eastAsia"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val="en-US" w:eastAsia="zh-CN"/>
        </w:rPr>
        <w:t>胡杨林春尺蠖飞机防治</w:t>
      </w:r>
      <w:r>
        <w:rPr>
          <w:rFonts w:hint="eastAsia" w:eastAsia="方正仿宋_GBK" w:cs="Times New Roman"/>
          <w:color w:val="auto"/>
          <w:sz w:val="32"/>
          <w:szCs w:val="32"/>
          <w:highlight w:val="none"/>
          <w:lang w:val="en-US" w:eastAsia="zh-CN"/>
        </w:rPr>
        <w:t>任务未完成，国有林综合生态修复和国有林抚育项目已竣工，计划进行审计结算和财务决算，</w:t>
      </w:r>
      <w:r>
        <w:rPr>
          <w:rFonts w:hint="default" w:ascii="Times New Roman" w:hAnsi="Times New Roman" w:eastAsia="方正仿宋_GBK" w:cs="Times New Roman"/>
          <w:color w:val="auto"/>
          <w:sz w:val="32"/>
          <w:szCs w:val="32"/>
          <w:highlight w:val="none"/>
          <w:lang w:eastAsia="zh-Hans"/>
        </w:rPr>
        <w:t>改进</w:t>
      </w:r>
      <w:r>
        <w:rPr>
          <w:rFonts w:hint="default" w:ascii="Times New Roman" w:hAnsi="Times New Roman" w:eastAsia="方正仿宋_GBK" w:cs="Times New Roman"/>
          <w:color w:val="auto"/>
          <w:sz w:val="32"/>
          <w:szCs w:val="32"/>
          <w:highlight w:val="none"/>
        </w:rPr>
        <w:t>措施</w:t>
      </w:r>
      <w:r>
        <w:rPr>
          <w:rFonts w:hint="eastAsia" w:eastAsia="方正仿宋_GBK" w:cs="Times New Roman"/>
          <w:color w:val="auto"/>
          <w:sz w:val="32"/>
          <w:szCs w:val="32"/>
          <w:highlight w:val="none"/>
          <w:lang w:val="en-US" w:eastAsia="zh-CN"/>
        </w:rPr>
        <w:t>：审计结算和财务决算</w:t>
      </w:r>
      <w:r>
        <w:rPr>
          <w:rFonts w:hint="default" w:ascii="Times New Roman" w:hAnsi="Times New Roman" w:eastAsia="方正仿宋_GBK" w:cs="Times New Roman"/>
          <w:color w:val="auto"/>
          <w:sz w:val="32"/>
          <w:szCs w:val="32"/>
          <w:highlight w:val="none"/>
          <w:lang w:val="en-US" w:eastAsia="zh-CN"/>
        </w:rPr>
        <w:t>后完善支付手续。抓紧办理资金支付相关手续</w:t>
      </w:r>
      <w:r>
        <w:rPr>
          <w:rFonts w:hint="default" w:ascii="Times New Roman" w:hAnsi="Times New Roman" w:eastAsia="方正仿宋_GBK" w:cs="Times New Roman"/>
          <w:color w:val="auto"/>
          <w:sz w:val="32"/>
          <w:szCs w:val="32"/>
          <w:highlight w:val="none"/>
        </w:rPr>
        <w:t>。</w:t>
      </w:r>
    </w:p>
    <w:p>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7"/>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val="en-US" w:eastAsia="zh-CN"/>
        </w:rPr>
        <w:t>主要体现为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w:t>
      </w:r>
      <w:r>
        <w:rPr>
          <w:rFonts w:hint="eastAsia" w:eastAsia="仿宋_GB2312" w:cs="Times New Roman"/>
          <w:sz w:val="32"/>
          <w:szCs w:val="32"/>
          <w:highlight w:val="none"/>
          <w:lang w:val="en-US" w:eastAsia="zh-CN"/>
        </w:rPr>
        <w:t>项目等</w:t>
      </w:r>
      <w:r>
        <w:rPr>
          <w:rFonts w:hint="default" w:ascii="Times New Roman" w:hAnsi="Times New Roman" w:eastAsia="仿宋_GB2312" w:cs="Times New Roman"/>
          <w:sz w:val="32"/>
          <w:szCs w:val="32"/>
          <w:highlight w:val="none"/>
          <w:lang w:val="en-US" w:eastAsia="zh-CN"/>
        </w:rPr>
        <w:t>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.进一步规范项目建设的程序。项目前期做好可行性研究报告，更加细化实施方案，严格执行资金管理办法和财政资金管理制度，严格按照项目实施方案、招投标管理办法等稳步推进工作。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.进一步完善项目评价过程中有关数据和资料的收集、整理、审核及分析。项目启动时同步做好档案的归纳与整理，及时整理、收集、汇总，健全档案资料</w:t>
      </w:r>
      <w:r>
        <w:rPr>
          <w:rFonts w:hint="default" w:ascii="Times New Roman" w:hAnsi="Times New Roman" w:eastAsia="仿宋_GB2312" w:cs="Times New Roman"/>
          <w:sz w:val="36"/>
          <w:szCs w:val="32"/>
        </w:rPr>
        <w:t>。</w:t>
      </w:r>
      <w:r>
        <w:rPr>
          <w:rFonts w:hint="default" w:ascii="Times New Roman" w:hAnsi="Times New Roman" w:eastAsia="仿宋_GB2312" w:cs="Times New Roman"/>
          <w:sz w:val="32"/>
          <w:szCs w:val="32"/>
          <w:highlight w:val="none"/>
          <w:lang w:val="en-US" w:eastAsia="zh-CN"/>
        </w:rPr>
        <w:t>进一步加强对绩效管理工作的组织领导，提高对预算绩效管理工作重要性的认识</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4" w:name="page8"/>
      <w:bookmarkEnd w:id="4"/>
      <w:r>
        <w:rPr>
          <w:rFonts w:hint="default" w:ascii="Times New Roman" w:hAnsi="Times New Roman" w:eastAsia="黑体" w:cs="Times New Roman"/>
          <w:sz w:val="32"/>
          <w:szCs w:val="32"/>
        </w:rPr>
        <w:t>明的问题</w:t>
      </w:r>
    </w:p>
    <w:p>
      <w:pPr>
        <w:pStyle w:val="14"/>
        <w:spacing w:after="0" w:line="560" w:lineRule="exact"/>
        <w:ind w:left="0" w:leftChars="0" w:firstLine="64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Hans"/>
        </w:rPr>
        <w:t>本项目无其他需说明的问题。</w:t>
      </w: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b/>
          <w:bCs/>
          <w:sz w:val="28"/>
          <w:szCs w:val="40"/>
        </w:rPr>
      </w:pPr>
      <w:bookmarkStart w:id="5" w:name="_Toc26499_WPSOffice_Level2"/>
      <w:bookmarkStart w:id="6" w:name="_Toc30064_WPSOffice_Level1"/>
      <w:r>
        <w:rPr>
          <w:rFonts w:hint="eastAsia" w:ascii="仿宋_GB2312" w:hAnsi="仿宋_GB2312" w:eastAsia="仿宋_GB2312" w:cs="仿宋_GB2312"/>
          <w:b/>
          <w:bCs/>
          <w:sz w:val="28"/>
          <w:szCs w:val="40"/>
          <w:lang w:val="en-US" w:eastAsia="zh-CN"/>
        </w:rPr>
        <w:t>2024年中央林业草原生态保护恢复资金的通知（森林保护修复-国家级公益林区）</w:t>
      </w:r>
      <w:r>
        <w:rPr>
          <w:rFonts w:hint="eastAsia" w:ascii="仿宋_GB2312" w:hAnsi="仿宋_GB2312" w:eastAsia="仿宋_GB2312" w:cs="仿宋_GB2312"/>
          <w:b/>
          <w:bCs/>
          <w:sz w:val="28"/>
          <w:szCs w:val="40"/>
        </w:rPr>
        <w:t>项目绩效评价指标体系及</w:t>
      </w:r>
    </w:p>
    <w:p>
      <w:pPr>
        <w:pStyle w:val="20"/>
        <w:ind w:firstLine="562"/>
        <w:jc w:val="center"/>
        <w:rPr>
          <w:rFonts w:hint="eastAsia" w:ascii="仿宋_GB2312" w:hAnsi="仿宋_GB2312" w:eastAsia="仿宋_GB2312" w:cs="仿宋_GB2312"/>
          <w:sz w:val="28"/>
          <w:szCs w:val="40"/>
        </w:rPr>
      </w:pPr>
      <w:r>
        <w:rPr>
          <w:rFonts w:hint="eastAsia" w:ascii="仿宋_GB2312" w:hAnsi="仿宋_GB2312" w:eastAsia="仿宋_GB2312" w:cs="仿宋_GB2312"/>
          <w:b/>
          <w:bCs/>
          <w:sz w:val="28"/>
          <w:szCs w:val="40"/>
        </w:rPr>
        <w:t>综合评分表</w:t>
      </w:r>
      <w:bookmarkEnd w:id="5"/>
      <w:bookmarkEnd w:id="6"/>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rPr>
          <w:rFonts w:hint="default" w:ascii="Times New Roman" w:hAnsi="Times New Roman" w:cs="Times New Roman"/>
        </w:rPr>
      </w:pPr>
      <w:r>
        <w:rPr>
          <w:rFonts w:hint="default" w:ascii="Times New Roman" w:hAnsi="Times New Roman" w:cs="Times New Roman"/>
        </w:rPr>
        <w:object>
          <v:shape id="_x0000_i1032" o:spt="75" type="#_x0000_t75" style="height:458.65pt;width:697.05pt;" o:ole="t" filled="f" o:preferrelative="t" stroked="f" coordsize="21600,21600">
            <v:path/>
            <v:fill on="f" focussize="0,0"/>
            <v:stroke on="f"/>
            <v:imagedata r:id="rId6" o:title=""/>
            <o:lock v:ext="edit" aspectratio="f"/>
            <w10:wrap type="none"/>
            <w10:anchorlock/>
          </v:shape>
          <o:OLEObject Type="Embed" ProgID="Excel.Sheet.12" ShapeID="_x0000_i1032" DrawAspect="Content" ObjectID="_1468075725" r:id="rId5">
            <o:LockedField>false</o:LockedField>
          </o:OLEObject>
        </w:object>
      </w:r>
    </w:p>
    <w:p>
      <w:pPr>
        <w:rPr>
          <w:rFonts w:hint="default" w:ascii="Times New Roman" w:hAnsi="Times New Roman" w:cs="Times New Roman"/>
        </w:rPr>
      </w:pPr>
      <w:r>
        <w:rPr>
          <w:rFonts w:hint="default" w:ascii="Times New Roman" w:hAnsi="Times New Roman" w:cs="Times New Roman"/>
        </w:rPr>
        <w:object>
          <v:shape id="_x0000_i1033" o:spt="75" type="#_x0000_t75" style="height:287.65pt;width:697.05pt;" o:ole="t" filled="f" o:preferrelative="t" stroked="f" coordsize="21600,21600">
            <v:path/>
            <v:fill on="f" focussize="0,0"/>
            <v:stroke on="f"/>
            <v:imagedata r:id="rId8" o:title=""/>
            <o:lock v:ext="edit" aspectratio="f"/>
            <w10:wrap type="none"/>
            <w10:anchorlock/>
          </v:shape>
          <o:OLEObject Type="Embed" ProgID="Excel.Sheet.12" ShapeID="_x0000_i1033" DrawAspect="Content" ObjectID="_1468075726" r:id="rId7">
            <o:LockedField>false</o:LockedField>
          </o:OLEObject>
        </w:object>
      </w:r>
      <w:bookmarkStart w:id="7" w:name="_GoBack"/>
      <w:bookmarkEnd w:id="7"/>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abstractNum w:abstractNumId="5">
    <w:nsid w:val="72C9B7EF"/>
    <w:multiLevelType w:val="singleLevel"/>
    <w:tmpl w:val="72C9B7EF"/>
    <w:lvl w:ilvl="0" w:tentative="0">
      <w:start w:val="2"/>
      <w:numFmt w:val="decimal"/>
      <w:suff w:val="nothing"/>
      <w:lvlText w:val="（%1）"/>
      <w:lvlJc w:val="left"/>
    </w:lvl>
  </w:abstractNum>
  <w:abstractNum w:abstractNumId="6">
    <w:nsid w:val="78CD7CBC"/>
    <w:multiLevelType w:val="singleLevel"/>
    <w:tmpl w:val="78CD7CBC"/>
    <w:lvl w:ilvl="0" w:tentative="0">
      <w:start w:val="1"/>
      <w:numFmt w:val="decimal"/>
      <w:lvlText w:val="%1."/>
      <w:lvlJc w:val="left"/>
      <w:pPr>
        <w:tabs>
          <w:tab w:val="left" w:pos="312"/>
        </w:tabs>
      </w:pPr>
    </w:lvl>
  </w:abstractNum>
  <w:num w:numId="1">
    <w:abstractNumId w:val="5"/>
  </w:num>
  <w:num w:numId="2">
    <w:abstractNumId w:val="0"/>
  </w:num>
  <w:num w:numId="3">
    <w:abstractNumId w:val="3"/>
  </w:num>
  <w:num w:numId="4">
    <w:abstractNumId w:val="2"/>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DhhZjQ3YWJiYzJkODA2MTlmMmVlZjg5YTNjMTIifQ=="/>
  </w:docVars>
  <w:rsids>
    <w:rsidRoot w:val="FF6C4049"/>
    <w:rsid w:val="006F7242"/>
    <w:rsid w:val="007B168A"/>
    <w:rsid w:val="008B2CFE"/>
    <w:rsid w:val="00B82D31"/>
    <w:rsid w:val="00CA5BA7"/>
    <w:rsid w:val="00F26FF6"/>
    <w:rsid w:val="01610122"/>
    <w:rsid w:val="02304E91"/>
    <w:rsid w:val="02510197"/>
    <w:rsid w:val="0275707B"/>
    <w:rsid w:val="02A80798"/>
    <w:rsid w:val="02D12ECD"/>
    <w:rsid w:val="03CB0E1D"/>
    <w:rsid w:val="03DF0FDD"/>
    <w:rsid w:val="03EC461B"/>
    <w:rsid w:val="0461077D"/>
    <w:rsid w:val="06061281"/>
    <w:rsid w:val="06A65624"/>
    <w:rsid w:val="07315B18"/>
    <w:rsid w:val="07397B77"/>
    <w:rsid w:val="078F5CB9"/>
    <w:rsid w:val="0AB14D38"/>
    <w:rsid w:val="0AD007F3"/>
    <w:rsid w:val="0B7A5A38"/>
    <w:rsid w:val="0BB85EC7"/>
    <w:rsid w:val="0D675CE1"/>
    <w:rsid w:val="0E3149DC"/>
    <w:rsid w:val="0E3C619F"/>
    <w:rsid w:val="0E5050B5"/>
    <w:rsid w:val="0E9F3FC6"/>
    <w:rsid w:val="0EEA1732"/>
    <w:rsid w:val="100F38EC"/>
    <w:rsid w:val="10C06A3C"/>
    <w:rsid w:val="10CC1579"/>
    <w:rsid w:val="11170296"/>
    <w:rsid w:val="12C66037"/>
    <w:rsid w:val="12CD1ABC"/>
    <w:rsid w:val="13471461"/>
    <w:rsid w:val="134B0E3F"/>
    <w:rsid w:val="13B90F01"/>
    <w:rsid w:val="14E03B55"/>
    <w:rsid w:val="14E83163"/>
    <w:rsid w:val="155E4C4D"/>
    <w:rsid w:val="15DC5411"/>
    <w:rsid w:val="16D80F2F"/>
    <w:rsid w:val="17334345"/>
    <w:rsid w:val="175913B3"/>
    <w:rsid w:val="179E6C57"/>
    <w:rsid w:val="181066D2"/>
    <w:rsid w:val="192B4E46"/>
    <w:rsid w:val="195C4E1A"/>
    <w:rsid w:val="1A1912E5"/>
    <w:rsid w:val="1C671E73"/>
    <w:rsid w:val="1D005792"/>
    <w:rsid w:val="1D322C47"/>
    <w:rsid w:val="1DB55680"/>
    <w:rsid w:val="1DD32370"/>
    <w:rsid w:val="1E247951"/>
    <w:rsid w:val="1E791C47"/>
    <w:rsid w:val="1F7D25E5"/>
    <w:rsid w:val="1FCC0554"/>
    <w:rsid w:val="1FD24F80"/>
    <w:rsid w:val="20F302FB"/>
    <w:rsid w:val="212F211F"/>
    <w:rsid w:val="21800A2B"/>
    <w:rsid w:val="228B2795"/>
    <w:rsid w:val="230950FD"/>
    <w:rsid w:val="23616034"/>
    <w:rsid w:val="23696C97"/>
    <w:rsid w:val="23AE195D"/>
    <w:rsid w:val="23C97859"/>
    <w:rsid w:val="241854DE"/>
    <w:rsid w:val="24480FA2"/>
    <w:rsid w:val="246D2191"/>
    <w:rsid w:val="247E3D0C"/>
    <w:rsid w:val="249444AA"/>
    <w:rsid w:val="25003B65"/>
    <w:rsid w:val="25227A45"/>
    <w:rsid w:val="25495C0E"/>
    <w:rsid w:val="256132AE"/>
    <w:rsid w:val="259E4A39"/>
    <w:rsid w:val="25A07D27"/>
    <w:rsid w:val="25ED6ADA"/>
    <w:rsid w:val="25F25A90"/>
    <w:rsid w:val="26AC3A6A"/>
    <w:rsid w:val="26DB5721"/>
    <w:rsid w:val="278B5EF8"/>
    <w:rsid w:val="2A7C433D"/>
    <w:rsid w:val="2B9D7E25"/>
    <w:rsid w:val="2BEE6B6E"/>
    <w:rsid w:val="2C1C6AF3"/>
    <w:rsid w:val="2C6B3D4E"/>
    <w:rsid w:val="2C6F7C46"/>
    <w:rsid w:val="2C7C7A3B"/>
    <w:rsid w:val="2D1B3B7E"/>
    <w:rsid w:val="2D9B7664"/>
    <w:rsid w:val="2EBA25CD"/>
    <w:rsid w:val="2EE02535"/>
    <w:rsid w:val="2F364819"/>
    <w:rsid w:val="2FD63906"/>
    <w:rsid w:val="30174B30"/>
    <w:rsid w:val="30B6512B"/>
    <w:rsid w:val="3132752D"/>
    <w:rsid w:val="32203F2E"/>
    <w:rsid w:val="32744E8A"/>
    <w:rsid w:val="328F4642"/>
    <w:rsid w:val="32B148F8"/>
    <w:rsid w:val="33205CAC"/>
    <w:rsid w:val="33CF1534"/>
    <w:rsid w:val="34DD4AB3"/>
    <w:rsid w:val="35525C62"/>
    <w:rsid w:val="35B30007"/>
    <w:rsid w:val="37215DAE"/>
    <w:rsid w:val="37CA07FD"/>
    <w:rsid w:val="38CA40DD"/>
    <w:rsid w:val="395F2B56"/>
    <w:rsid w:val="3A364EF6"/>
    <w:rsid w:val="3BBA0580"/>
    <w:rsid w:val="3BECE841"/>
    <w:rsid w:val="3BF522B2"/>
    <w:rsid w:val="3CDE204C"/>
    <w:rsid w:val="3D363C36"/>
    <w:rsid w:val="3D574E41"/>
    <w:rsid w:val="3E5816FD"/>
    <w:rsid w:val="3E9C3F6D"/>
    <w:rsid w:val="3F1B26DB"/>
    <w:rsid w:val="3F996218"/>
    <w:rsid w:val="3FB13D8F"/>
    <w:rsid w:val="3FF7797D"/>
    <w:rsid w:val="401F4E55"/>
    <w:rsid w:val="40324B79"/>
    <w:rsid w:val="409304F3"/>
    <w:rsid w:val="40F4352C"/>
    <w:rsid w:val="41092BBA"/>
    <w:rsid w:val="414404C4"/>
    <w:rsid w:val="419F6ED1"/>
    <w:rsid w:val="4401274E"/>
    <w:rsid w:val="444F125F"/>
    <w:rsid w:val="44B85878"/>
    <w:rsid w:val="44F1767E"/>
    <w:rsid w:val="4560469D"/>
    <w:rsid w:val="46690BD8"/>
    <w:rsid w:val="467230E5"/>
    <w:rsid w:val="474F3E2E"/>
    <w:rsid w:val="47B05A58"/>
    <w:rsid w:val="47D239BC"/>
    <w:rsid w:val="49AA2C67"/>
    <w:rsid w:val="49F70BF1"/>
    <w:rsid w:val="4A69271A"/>
    <w:rsid w:val="4B3D4237"/>
    <w:rsid w:val="4B4340EE"/>
    <w:rsid w:val="4B76646D"/>
    <w:rsid w:val="4C0C708C"/>
    <w:rsid w:val="4C2A43E6"/>
    <w:rsid w:val="4C983FC5"/>
    <w:rsid w:val="4C9C1135"/>
    <w:rsid w:val="503D507A"/>
    <w:rsid w:val="51581307"/>
    <w:rsid w:val="5193757B"/>
    <w:rsid w:val="51FA74D0"/>
    <w:rsid w:val="5221500A"/>
    <w:rsid w:val="529160FB"/>
    <w:rsid w:val="52AA4A52"/>
    <w:rsid w:val="53394ECF"/>
    <w:rsid w:val="53F31F3E"/>
    <w:rsid w:val="5423625E"/>
    <w:rsid w:val="557158AD"/>
    <w:rsid w:val="56460F02"/>
    <w:rsid w:val="572C44D0"/>
    <w:rsid w:val="57BB54D0"/>
    <w:rsid w:val="589E1755"/>
    <w:rsid w:val="59031796"/>
    <w:rsid w:val="594D1A95"/>
    <w:rsid w:val="59943D66"/>
    <w:rsid w:val="59E051FD"/>
    <w:rsid w:val="59E6355E"/>
    <w:rsid w:val="5A1929D2"/>
    <w:rsid w:val="5B194F56"/>
    <w:rsid w:val="5B4B11B6"/>
    <w:rsid w:val="5B821531"/>
    <w:rsid w:val="5BFF6039"/>
    <w:rsid w:val="5C0628D0"/>
    <w:rsid w:val="5CDD32FF"/>
    <w:rsid w:val="5D76A616"/>
    <w:rsid w:val="5D7F20B9"/>
    <w:rsid w:val="5DAC7D0E"/>
    <w:rsid w:val="5F98B5AF"/>
    <w:rsid w:val="5FFE8511"/>
    <w:rsid w:val="5FFEACE2"/>
    <w:rsid w:val="609D5BF6"/>
    <w:rsid w:val="61073070"/>
    <w:rsid w:val="61A5377A"/>
    <w:rsid w:val="61B9080E"/>
    <w:rsid w:val="61DF3FED"/>
    <w:rsid w:val="620F07D7"/>
    <w:rsid w:val="62306C2E"/>
    <w:rsid w:val="623B5542"/>
    <w:rsid w:val="631A2E0E"/>
    <w:rsid w:val="632E0D88"/>
    <w:rsid w:val="63BA141C"/>
    <w:rsid w:val="63E03A44"/>
    <w:rsid w:val="642B176B"/>
    <w:rsid w:val="643EE26D"/>
    <w:rsid w:val="656019A0"/>
    <w:rsid w:val="657A649A"/>
    <w:rsid w:val="65F242EE"/>
    <w:rsid w:val="66592199"/>
    <w:rsid w:val="666D7E19"/>
    <w:rsid w:val="66835ED0"/>
    <w:rsid w:val="670D769A"/>
    <w:rsid w:val="68376930"/>
    <w:rsid w:val="687D6363"/>
    <w:rsid w:val="68A11BB6"/>
    <w:rsid w:val="68F91E38"/>
    <w:rsid w:val="69B47F77"/>
    <w:rsid w:val="69F95205"/>
    <w:rsid w:val="6A0223CF"/>
    <w:rsid w:val="6A60700C"/>
    <w:rsid w:val="6B3158B9"/>
    <w:rsid w:val="6B735753"/>
    <w:rsid w:val="6BA02A3F"/>
    <w:rsid w:val="6C003EE5"/>
    <w:rsid w:val="6C1E5A53"/>
    <w:rsid w:val="6E1B45FE"/>
    <w:rsid w:val="6E3F1D9C"/>
    <w:rsid w:val="6F5C41AC"/>
    <w:rsid w:val="6F812501"/>
    <w:rsid w:val="6F8253B8"/>
    <w:rsid w:val="6FAF6C78"/>
    <w:rsid w:val="70F34C47"/>
    <w:rsid w:val="71014289"/>
    <w:rsid w:val="716167CC"/>
    <w:rsid w:val="718A7AD1"/>
    <w:rsid w:val="71D40E9A"/>
    <w:rsid w:val="725060F4"/>
    <w:rsid w:val="72702731"/>
    <w:rsid w:val="72A44BC2"/>
    <w:rsid w:val="7317C656"/>
    <w:rsid w:val="734ED73F"/>
    <w:rsid w:val="73C82B32"/>
    <w:rsid w:val="73CE54AA"/>
    <w:rsid w:val="73F94DAE"/>
    <w:rsid w:val="74220495"/>
    <w:rsid w:val="747D1B6F"/>
    <w:rsid w:val="749E5641"/>
    <w:rsid w:val="751B6F22"/>
    <w:rsid w:val="75376EE8"/>
    <w:rsid w:val="756D37FE"/>
    <w:rsid w:val="76271066"/>
    <w:rsid w:val="76610B37"/>
    <w:rsid w:val="768B5279"/>
    <w:rsid w:val="76CE50BB"/>
    <w:rsid w:val="77E51FD5"/>
    <w:rsid w:val="77FD8BE9"/>
    <w:rsid w:val="78000AED"/>
    <w:rsid w:val="79A9BD3F"/>
    <w:rsid w:val="79E56204"/>
    <w:rsid w:val="7AF83CA4"/>
    <w:rsid w:val="7B702BF6"/>
    <w:rsid w:val="7B776F12"/>
    <w:rsid w:val="7BFFFDD0"/>
    <w:rsid w:val="7C336E5F"/>
    <w:rsid w:val="7C8D4919"/>
    <w:rsid w:val="7D637428"/>
    <w:rsid w:val="7D7A5F86"/>
    <w:rsid w:val="7E4B683A"/>
    <w:rsid w:val="7E581AE9"/>
    <w:rsid w:val="7E5E656D"/>
    <w:rsid w:val="7E8F2BCB"/>
    <w:rsid w:val="7E921F90"/>
    <w:rsid w:val="7EEF7AC4"/>
    <w:rsid w:val="7F3218C6"/>
    <w:rsid w:val="7F33729E"/>
    <w:rsid w:val="7F37BB4E"/>
    <w:rsid w:val="7F9F4A5E"/>
    <w:rsid w:val="7FA43959"/>
    <w:rsid w:val="7FEF918E"/>
    <w:rsid w:val="7FF4FB6F"/>
    <w:rsid w:val="7FF7FF27"/>
    <w:rsid w:val="7FFD74DB"/>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等线 Light" w:hAnsi="等线 Light" w:eastAsia="等线 Light" w:cs="Times New Roman"/>
      <w:b/>
      <w:bCs/>
      <w:sz w:val="32"/>
      <w:szCs w:val="32"/>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33</Pages>
  <Words>11845</Words>
  <Characters>12281</Characters>
  <Lines>58</Lines>
  <Paragraphs>16</Paragraphs>
  <TotalTime>3</TotalTime>
  <ScaleCrop>false</ScaleCrop>
  <LinksUpToDate>false</LinksUpToDate>
  <CharactersWithSpaces>12292</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2025-04-29T04:03:00Z</cp:lastPrinted>
  <dcterms:modified xsi:type="dcterms:W3CDTF">2025-05-07T09:34:32Z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4DAD0664562D4C79B51B52A9509A2C9D_13</vt:lpwstr>
  </property>
  <property fmtid="{D5CDD505-2E9C-101B-9397-08002B2CF9AE}" pid="4" name="KSOTemplateDocerSaveRecord">
    <vt:lpwstr>eyJoZGlkIjoiMjU1ZDY2NjdjYTMyZmJkMWIwZWI5YjUzZjMxNjY4ZmMifQ==</vt:lpwstr>
  </property>
</Properties>
</file>