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库尔勒市林业和草原局</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负责林业和草原及其生态保护修复的监督管理；贯彻执行国家、自治区、自治州关于林业和草原的法律、法规和方针、政策，拟订林业和草原及其生态保护修复的政策、规划、标准并组织实施，组织开展森林、草原、湿地、荒漠和陆生野生动植物资源动态监测与评价。（二）组织林业和草原生态保护修复及造林绿化工作；组织实施林业和草原重点生态保护修复工程，指导公益林和商品林的培育、指导、监督全民义务植树、城乡绿化工作；指导林业和草原有害生物防治、检疫工作；承担林业和草原应对气候变化相关工作。（三）负责森林、草原、湿地资源的监督管理；组织编制并监督执行森林采伐限额；负责林地管理，拟定林地保护利用规划并组织实施，指导国家级公益林管理工作，管理国有林区的国有森林资源；负责草原禁牧、草畜平衡和草原生态修复治理工作，监督管理草原的开发利用；负责湿地生态保护修复工作，拟订湿地保护规划和相关地方标准，监督管理湿地的开发利用。（四）负责监督管理荒漠化防治工作；拟订防沙治沙及沙化土地封禁保护区建设规划、相关地方标准和技术规程并监督实施，监督管理沙化土地的开发利用，组织沙尘暴灾害预防预报和应急处置。（五）负责陆生野生动植物资源监督管理；组织开展陆生野生动植物资源调查，指导陆生野生动植物救护繁育、栖息地恢复发展及野生动物疫源疫病监测、防控、应急处置。监督管理陆生野生动植物猎捕或采集、驯养繁殖或培植、经营利用，按分工监督管理野生动植物进出口。（六）负责监督管理各类自然保护地。拟订各类自然保护地规划和相关地方标准；负责国家公园、自然保护区、风景名胜区、地质公园，森林公园等规划、建设和特许经营等工作；负责直接行使所有权内的自然保护地的自然资源资产管理和国土以及国土空间用途管制；组织审核世界自然遗产的申报，会同有关部门审核世界自然与文化双重遗产的申报；负责生物多样性保护相关工作。（七）负责推进林业和草原改革相关工作；拟订集体林权制度、国有林场、草原等重大改革意见并监督实施；拟订农村林业发展、维护林业经营者合法权益的政策措施，指导农村林地承包经营工作；开展退耕（牧）还林还草，负责天然林保护工作。（八）拟订林业和草原资源优化配置及木材利用政策，拟订相关林业产业地方标准并监督实施，组织、指导林产品质量监督，指导生态扶贫相关工作。（九）指导国有林场基本建设和发展，组织林木种子、草种种质资源普查，组织建立种质资源库，负责良种选育推广，管理林木种苗、草种生产经营行为，监管林木种苗、草种质量；监督管理林业和草原生物种质资源、转基因生物安全、植物新品种保护。（十）指导森林公安工作，监督管理森林公安队伍，指导林业重大违法案件的查处。负责相关行政执法监管工作，指导林区社会治安治理工作。（十一）负责落实综合防灾减灾规划相关要求，组织编制森林和草原火灾防治规划和防护标准并指导实施，指导开展林业和草原防火巡护，火源管理、防火设施建设等工作；组织指导国有林场林区和草原开展宣传教育、监测预警、督促检查等防火工作。（十二）监督管理林业和草原资金和国有资产，提出林业草原预算内投资、库尔勒市财政性资金安排建议，按规定权限，审核规划内和年度计划内投资项目；参与拟订林业和草原经济调节政策，组织实施林业和草原生态补偿工作。（十三）负责林业和草原科技、教育及外事工作，指导林业和草原人才队伍建设，组织实施林业和草原国际交流与合作事务，承担湿地、防治荒漠化等国际公约履约工作。（十四）完成市委、市人民政府交办的其他任务。（十五）职能转变。市林业和草原局要切实加大生态系统保护力度，实施重要生态系统保护和修复工程，加强森林、草原、湿地监督管理的统筹协调，大力推进国土绿化，保障国家生态安全。加快建立以国家公园为主体的自然保护地体系，统一推进各类自然保护地的清理规范和归并整合。</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库尔勒市林业和草原局2024年度，实有人数84人，其中：在职人员32人，减少5人；离休人员0人，较上年无变化；退休人员52人，增加6人。</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库尔勒市林业和草原局无下属预算单位，下设3个，分别是：生态科、政务科、综合办公室。</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2024年度收入总计6,744.13万元，其中：本年收入合计6,744.13万元，使用非财政拨款结余（含专用结余）0.00万元，年初结转和结余0.00万元。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2024年度支出总计6,744.13万元，其中：本年支出合计6,744.13万元，结余分配0.00万元，年末结转和结余0.00万元。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收入支出总体与上年相比，增加843.82万元，增长14.30%，主要原因是：正常增加考核工资、退休六人，职业年金拨付资金增加。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本年收入6,744.13万元，其中：财政拨款收入6,744.13万元,占100.00%；上级补助收入0.00万元,占0.00%；事业收入0.00万元，占0.00%；经营收入0.00万元,占0.00%；附属单位上缴收入0.00万元，占0.00%；其他收入0.00万元，占0.00%。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本年支出6,744.13万元，其中：基本支出669.63万元，占9.93%；项目支出6,074.50万元，占90.07%；上缴上级支出0.00万元，占0.00%；经营支出0.00万元，占0.00%；对附属单位补助支出0.00万元，占0.00%。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6,744.13万元，其中：年初财政拨款结转和结余0.00万元，本年财政拨款收入6,744.13万元。财政拨款支出总计6,744.13万元，其中：年末财政拨款结转和结余0.00万元，本年财政拨款支出6,744.13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843.82万元，增长14.30%，主要原因是：正常增加考核工资、退休六人，职业年金拨付资金增加。与年初预算相比，年初预算数6,295.74万元，决算数6,744.13万元，预决算差异率7.12%，主要原因是：正常增加考核工资、退休六人，职业年金拨付资金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3,858.41万元，占本年支出合计的57.21%。与上年相比，减少232.33万元，下降5.68%，主要原因是：上年安排林业有害生物防治项目、本年没有安排原因本年减少收支。与年初预算相比，年初预算数4,295.74万元，决算数3,858.41万元，预决算差异率-10.18%，主要原因是：本年有未完工项目。</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一般公共服务支出（类）3.86万元，占0.10%。</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节能环保支出（类）2,384.97万元，占61.81%。</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农林水支出（类）1,469.58万元，占38.09%。</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一般公共服务支出（类）组织事务（款）其他组织事务支出（项）：支出决算数为3.86万元，比上年决算增加3.86万元，增长100.00%，主要原因是：年末安排上年收回的“为民办实事”工作经费。</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教育支出（类）进修及培训（款）培训支出（项）：支出决算数为0.00万元，比上年决算减少2.58万元，下降100.00%，主要原因是：本年没有发生培训业务。</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节能环保支出（类）自然生态保护（款）生态保护（项）：支出决算数为354.48万元，比上年决算增加353.48万元，增长35,348.00%，主要原因是：2024年增加资源保护项目资金。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节能环保支出（类）自然生态保护（款）生物及物种资源保护（项）：支出决算数为32.28万元，比上年决算增加26.28万元，增长438.00%，主要原因是：本年新增加森林资源管护项目</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节能环保支出（类）自然生态保护（款）草原生态修复治理（项）：支出决算数为36.00万元，比上年决算增加34.00万元，增长1,700.00%，主要原因是：本年新增加草原生态修复治理项目</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节能环保支出（类）自然生态保护（款）其他自然生态保护支出（项）：支出决算数为1.40万元，比上年决算减少2.60万元，下降65.00%，主要原因是：本年没有新实施森林抚育项目。</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节能环保支出（类）森林保护修复（款）森林管护（项）：支出决算数为1,908.41万元，比上年决算增加1,179.86万元，增长161.95%，主要原因是：森林生态效益补偿资金今年调整科目为森林管护资金。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节能环保支出（类）退耕还林还草（款）退耕现金（项）：支出决算数为0.00万元，比上年决算减少420.47万元，下降100.00%，主要原因是：退耕还林、退耕现金项目实施完毕，没有新增此项目。</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节能环保支出（类）退耕还林还草（款）其他退耕还林还草支出（项）：支出决算数为0.00万元，比上年决算减少32.80万元，下降100.00%，主要原因是：退耕还林还草项目实施完毕，没有新增此类项目。</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节能环保支出（类）风沙荒漠治理（款）其他风沙荒漠治理支出（项）：支出决算数为52.40万元，比上年决算增加52.40万元，增长100.00%，主要原因是：本年新安排上级专项其他风沙荒漠治理项目。</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节能环保支出（类）其他节能环保支出（款）其他节能环保支出（项）：支出决算数为0.00万元，比上年决算减少262.84万元，下降100.00%，主要原因是：往年其他节能环保支出项目实施完毕，没有新增加此类项目。</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农林水支出（类）林业和草原（款）行政运行（项）：支出决算数为669.63万元，比上年决算减少43.32万元，下降6.08%，主要原因是：退休6人，人员经费减少。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农林水支出（类）林业和草原（款）森林资源培育（项）：支出决算数为137.39万元，比上年决算减少106.43万元，下降43.65%，主要原因是：往年森林资源培育项目实施完毕，没有新增加此类项目。</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农林水支出（类）林业和草原（款）森林生态效益补偿（项）：支出决算数为109.48万元，比上年决算减少0.34万元，下降0.31%，主要原因是：护林员人数减少1人、项目资金支付的人员经费减少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农林水支出（类）林业和草原（款）动植物保护（项）：支出决算数为11.00万元，比上年决算增加8.93万元，增长431.40%，主要原因是：2024年新增加野生动植物保护项目。</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农林水支出（类）林业和草原（款）林业草原防灾减灾（项）：支出决算数为9.37万元，比上年决算增加7.20万元，增长331.80%，主要原因是：2024年新增加无人机飞防项目。</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农林水支出（类）林业和草原（款）草原管理（项）：支出决算数为8.98万元，比上年决算增加6.98万元，增长349.00%，主要原因是：2024年新增加上级拨入草原管理工作经费项目。</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农林水支出（类）林业和草原（款）退耕还林还草（项）：支出决算数为409.01万元，比上年决算增加409.01万元，增长100.00%，主要原因是：本年新增加退耕还林还草延长补助项目。</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农林水支出（类）林业和草原（款）其他林业和草原支出（项）：支出决算数为114.72万元，比上年决算减少1,442.95万元，下降92.64%，主要原因是：往年项目实施完毕、本年没有安排此类项目。</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669.63万元，其中：人员经费636.11万元，包括：基本工资、津贴补贴、奖金、机关事业单位基本养老保险缴费、职业年金缴费、职工基本医疗保险缴费、公务员医疗补助缴费、其他社会保障缴费、住房公积金、医疗费、退休费和生活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33.53万元，包括：办公费、印刷费、手续费、水费、电费、邮电费、取暖费、物业管理费、差旅费、维修（护）费、培训费、专用材料费、工会经费、福利费、公务用车运行维护费、其他交通费用和其他商品和服务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2024年度政府性基金预算财政拨款收入总计2,885.72万元，其中：年初结转和结余0.00万元，本年收入2,885.72万元。政府性基金预算财政拨款支出总计2,885.72万元，其中：年末结转和结余0.00万元，本年支出2,885.72万元。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政府性基金预算财政拨款收入支出总体与上年相比，增加1,076.15万元，增长59.47%，主要原因是：今年实施三北防护林中央预算项目。与年初预算相比，年初预算数2,000.00万元，决算数2,885.72万元，预决算差异率44.29%，主要原因是：本年实施上级专项-三北防护林中央预算项目。</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政府性基金预算财政拨款支出2,885.72万元。</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节能环保支出（类）超长期特别国债安排的支出（款）“三北”工程建设（项）：支出决算数为108.13万元，比上年决算增加108.13万元，增长100.00%，主要原因是：本年实施上级专项-三北防护林中央预算项目。</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城乡社区支出（类）国有土地使用权出让收入安排的支出（款）农业生产发展支出（项）：支出决算数为98.75万元，比上年决算增加98.75万元，增长100.00%，主要原因是：本年新增加中央预算安排香梨产业发展资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城乡社区支出（类）国有土地使用权出让收入安排的支出（款）农业农村生态环境支出（项）：支出决算数为2,678.84万元，比上年决算增加1,019.27万元，增长61.42%，主要原因是：本年中央预算安排荒漠化管理项目资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城乡社区支出（类）国有土地使用权出让收入安排的支出（款）其他国有土地使用权出让收入安排的支出（项）：支出决算数为0.00万元，比上年决算减少150.00万元，下降100.00%，主要原因是：上年实施香梨标准化示范项目，本年没有安排。</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2.40万元，与上年相比无变化，主要原因是：预决算编制合理、没有增加三公经费业务。其中：因公出国（境）费支出0.00万元,占0.00%，与上年相比无变化，主要原因是：​预决算编制合理、没有发生因公出国业务​；公务用车购置及运行维护费支出2.40万元，占100.00%，与上年相比无变化，主要原因是：​预决算编制合理、没有增加车辆经费支出​；公务接待费支出0.00万元，占0.00%，与上年相比无变化，主要原因是：​预决算编制合理、没有发生公务接待业务​。</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因公出国（境）费支出0.00万元，开支内容包括公事出国出差支出。单位全年安排的因公出国（境）团组0个，因公出国（境）0人次。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2.40万元，其中：公务用车购置费0.00万元，公务用车运行维护费2.40万元。公务用车运行维护费开支内容包括车辆保险费、燃油费、维修费等。公务用车购置数0辆，公务用车保有量9辆。国有资产占用情况中固定资产车辆9辆，与公务用车保有量差异原因是：没有新购车辆，往年车辆数没有变化。</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公务接待费0.00万元，开支内容包括上级部门调查工作人员伙食费等支出。单位全年安排的国内公务接待0批次，0人次。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2.40万元，决算数2.40万元，预决算差异率0.00%，主要原因是：​预决算编制合理、没有增加三公经费业务​。其中：因公出国（境）费全年预算数0.00万元，决算数0.00万元，预决算差异率0.00%，主要原因是：没有发生因公出差出国业务。公务用车购置费全年预算数0.00万元，决算数0.00万元，预决算差异率0.00%，主要原因是：没有新购入车辆。公务用车运行维护费全年预算数2.40万元，决算数2.40万元，预决算差异率0.00%，主要原因是：严格控制车辆修理等支出。公务接待费全年预算数0.00万元，决算数0.00万元，预决算差异率0.00%，主要原因是：没有发生公务接待业务。</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2024年度库尔勒市林业和草原局单位机关运行经费支出33.53万元，比上年减少4.05万元，下降10.78%，主要原因是：严格控制公用经费支出。</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2024年度政府采购支出总额1,893.62万元，其中：政府采购货物支出150.48万元、政府采购工程支出401.55万元、政府采购服务支出1,341.59万元。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授予中小企业合同金额1,825.60万元，占政府采购支出总额的96.41%，其中：授予小微企业合同金额1,825.60万元，占政府采购支出总额的96.41%。</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3,648.91平方米，价值602.07万元。车辆9辆，价值145.87万元，其中：副部（省）级及以上领导用车0辆、主要负责人用车0辆、机要通信用车0辆、应急保障用车0辆、执法执勤用车0辆、特种专业技术用车1辆、离退休干部服务用车0辆、其他用车8辆，其他用车主要是：草原巡护、胡杨林管护、打药防控车;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根据预算绩效管理要求，本单位2024年度预算绩效管理形成整体支出绩效自评表1个，全年预算总额6,295.74万元，实际执行总额6,744.13万元；预算绩效评价项目9个，全年预算数</w:t>
      </w:r>
      <w:r>
        <w:rPr>
          <w:rFonts w:hint="eastAsia" w:ascii="仿宋_GB2312" w:eastAsia="仿宋_GB2312"/>
          <w:b w:val="0"/>
          <w:sz w:val="32"/>
          <w:szCs w:val="32"/>
          <w:lang w:val="en-US" w:eastAsia="zh-CN"/>
        </w:rPr>
        <w:t>4</w:t>
      </w:r>
      <w:r>
        <w:rPr>
          <w:rFonts w:ascii="仿宋_GB2312" w:eastAsia="仿宋_GB2312"/>
          <w:b w:val="0"/>
          <w:sz w:val="32"/>
          <w:szCs w:val="32"/>
        </w:rPr>
        <w:t>,</w:t>
      </w:r>
      <w:r>
        <w:rPr>
          <w:rFonts w:hint="eastAsia" w:ascii="仿宋_GB2312" w:eastAsia="仿宋_GB2312"/>
          <w:b w:val="0"/>
          <w:sz w:val="32"/>
          <w:szCs w:val="32"/>
          <w:lang w:val="en-US" w:eastAsia="zh-CN"/>
        </w:rPr>
        <w:t>052</w:t>
      </w:r>
      <w:r>
        <w:rPr>
          <w:rFonts w:ascii="仿宋_GB2312" w:eastAsia="仿宋_GB2312"/>
          <w:b w:val="0"/>
          <w:sz w:val="32"/>
          <w:szCs w:val="32"/>
        </w:rPr>
        <w:t>.</w:t>
      </w:r>
      <w:r>
        <w:rPr>
          <w:rFonts w:hint="eastAsia" w:ascii="仿宋_GB2312" w:eastAsia="仿宋_GB2312"/>
          <w:b w:val="0"/>
          <w:sz w:val="32"/>
          <w:szCs w:val="32"/>
          <w:lang w:val="en-US" w:eastAsia="zh-CN"/>
        </w:rPr>
        <w:t>92</w:t>
      </w:r>
      <w:r>
        <w:rPr>
          <w:rFonts w:ascii="仿宋_GB2312" w:eastAsia="仿宋_GB2312"/>
          <w:b w:val="0"/>
          <w:sz w:val="32"/>
          <w:szCs w:val="32"/>
        </w:rPr>
        <w:t>万元，全年执行数</w:t>
      </w:r>
      <w:r>
        <w:rPr>
          <w:rFonts w:hint="eastAsia" w:ascii="仿宋_GB2312" w:eastAsia="仿宋_GB2312"/>
          <w:b w:val="0"/>
          <w:sz w:val="32"/>
          <w:szCs w:val="32"/>
          <w:lang w:val="en-US" w:eastAsia="zh-CN"/>
        </w:rPr>
        <w:t>2</w:t>
      </w:r>
      <w:r>
        <w:rPr>
          <w:rFonts w:ascii="仿宋_GB2312" w:eastAsia="仿宋_GB2312"/>
          <w:b w:val="0"/>
          <w:sz w:val="32"/>
          <w:szCs w:val="32"/>
        </w:rPr>
        <w:t>,</w:t>
      </w:r>
      <w:r>
        <w:rPr>
          <w:rFonts w:hint="eastAsia" w:ascii="仿宋_GB2312" w:eastAsia="仿宋_GB2312"/>
          <w:b w:val="0"/>
          <w:sz w:val="32"/>
          <w:szCs w:val="32"/>
          <w:lang w:val="en-US" w:eastAsia="zh-CN"/>
        </w:rPr>
        <w:t>921</w:t>
      </w:r>
      <w:r>
        <w:rPr>
          <w:rFonts w:ascii="仿宋_GB2312" w:eastAsia="仿宋_GB2312"/>
          <w:b w:val="0"/>
          <w:sz w:val="32"/>
          <w:szCs w:val="32"/>
        </w:rPr>
        <w:t>.</w:t>
      </w:r>
      <w:r>
        <w:rPr>
          <w:rFonts w:hint="eastAsia" w:ascii="仿宋_GB2312" w:eastAsia="仿宋_GB2312"/>
          <w:b w:val="0"/>
          <w:sz w:val="32"/>
          <w:szCs w:val="32"/>
          <w:lang w:val="en-US" w:eastAsia="zh-CN"/>
        </w:rPr>
        <w:t>37</w:t>
      </w:r>
      <w:bookmarkStart w:id="0" w:name="_GoBack"/>
      <w:bookmarkEnd w:id="0"/>
      <w:r>
        <w:rPr>
          <w:rFonts w:ascii="仿宋_GB2312" w:eastAsia="仿宋_GB2312"/>
          <w:b w:val="0"/>
          <w:sz w:val="32"/>
          <w:szCs w:val="32"/>
        </w:rPr>
        <w:t>万元。预算绩效管理取得的成效：一是积极履职、强化管理，较好地完成了本年度工作目标。通过加强预算收支管理、不断建立健全内部控制管理制度，部门整体支出管理情况得到提升。项目完成后，不仅对农业生产和林草环境的改善有重要作用，而且能为社会提供大量的果品、木材等，经济林结果后，每亩可产生较好的经济效益。同时，由于林木可调节局部区域小气候效应，减轻周边农田、渠系、交通干线遭受风沙危害的侵袭，促进作物生长、提高产量，其防灾减灾功效所产生的间接经济效益是极其显著的；二是效率性方面，保障了正常的工作运转，在各项资金执行上是严格遵守各项财政纪律。三是社会效益方面，人民生活水平质量有效提升，在职人员、退休人员、管护人员养老、医疗等得到保障。发现的问题及原因：一是组织机构建设管理和专业技术人才相对缺乏，在专业技术工作协调等方面存在不足，影响了单位建设的整体推进；二是造林项目季节性强、周期长，部分造林地块当年验收不合格，无法兑现资金，第二年补植补造验收保存率合格后才能支付资金，当年资金支付缓慢。下一步改进措施：一是细化预算编制工作，严格按照预算编制的相关制度和要求做好预算的编制，进一步加强项目的预算管理意识，优先保障固定的、相对刚性的费用支出项目，尽量压缩变动的、有控制空间的费用项目，进一步提高预算编制的科学性、严谨性和可控性；二是加强财务管理，严格财务审核。在费用报账支付时，按照预算规定的费用项目和用途进行资金使用审核、列报支付、财务核算，杜绝超支现象的发生。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jc w:val="left"/>
        <w:outlineLvl w:val="1"/>
      </w:pPr>
      <w:r>
        <w:drawing>
          <wp:inline distT="0" distB="0" distL="114300" distR="114300">
            <wp:extent cx="5685155" cy="7727315"/>
            <wp:effectExtent l="0" t="0" r="1079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685155" cy="772731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70525" cy="8124190"/>
            <wp:effectExtent l="0" t="0" r="15875" b="101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470525" cy="812419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r>
        <w:drawing>
          <wp:inline distT="0" distB="0" distL="114300" distR="114300">
            <wp:extent cx="5523865" cy="8083550"/>
            <wp:effectExtent l="0" t="0" r="635" b="1270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5523865" cy="808355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612130" cy="7793355"/>
            <wp:effectExtent l="0" t="0" r="7620" b="171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5612130" cy="779335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81320" cy="7559675"/>
            <wp:effectExtent l="0" t="0" r="508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5481320" cy="755967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78780" cy="7875270"/>
            <wp:effectExtent l="0" t="0" r="7620" b="1143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5478780" cy="787527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633085" cy="3839845"/>
            <wp:effectExtent l="0" t="0" r="5715"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5633085" cy="383984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83860" cy="2911475"/>
            <wp:effectExtent l="0" t="0" r="2540" b="31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5483860" cy="291147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83860" cy="2420620"/>
            <wp:effectExtent l="0" t="0" r="2540" b="177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5483860" cy="242062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46E054DA"/>
    <w:rsid w:val="48CE6C91"/>
    <w:rsid w:val="681E0814"/>
    <w:rsid w:val="6BB463C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emf"/><Relationship Id="rId8" Type="http://schemas.openxmlformats.org/officeDocument/2006/relationships/image" Target="media/image5.emf"/><Relationship Id="rId7" Type="http://schemas.openxmlformats.org/officeDocument/2006/relationships/image" Target="media/image4.emf"/><Relationship Id="rId6" Type="http://schemas.openxmlformats.org/officeDocument/2006/relationships/image" Target="media/image3.emf"/><Relationship Id="rId5" Type="http://schemas.openxmlformats.org/officeDocument/2006/relationships/image" Target="media/image2.emf"/><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emf"/><Relationship Id="rId11" Type="http://schemas.openxmlformats.org/officeDocument/2006/relationships/image" Target="media/image8.emf"/><Relationship Id="rId10" Type="http://schemas.openxmlformats.org/officeDocument/2006/relationships/image" Target="media/image7.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5</TotalTime>
  <ScaleCrop>false</ScaleCrop>
  <LinksUpToDate>false</LinksUpToDate>
  <Application>WPS Office_11.8.2.10154_F1E327BC-269C-435d-A152-05C5408002CA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2025-08-15T02:24:00Z</dcterms:created>
  <dc:creator>Administrator</dc:creator>
  <cp:lastModifiedBy>Administrator</cp:lastModifiedBy>
  <dcterms:modified xsi:type="dcterms:W3CDTF">2025-08-18T10:56:33Z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