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库尔勒市城乡防护林管理处</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为市委、市人民政府提供荒山及周边生态林建设的决策依据；负责荒山及周边生态林规划、建设和管理；负责荒山、荒地苗木的引种、驯化、试验示范及林业科技推广；负责野生动植物保护及护林防火；负责生态林保护工程检查、监督、验收与评估；负责对管护人员进行技术培训；负责宣传林业法规及林业政策；负责生态信息网络建设、信息收集与交流；负责实施国内外生态林工程建设；负责协调荒山绿化的相关事。</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库尔勒市城乡防护林管理处2024年度，实有人数51人，其中：在职人员40人，减少4人；离休人员0人，较上年无变化；退休人员11人，增加2人。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库尔勒市城乡防护林管理处无下属预算单位，下设六个，分别是：办公室、业务科、水电科、护林办、植保站和首部泵站。</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2024年度收入总计3,966.43万元，其中：本年收入合计3,965.10万元，使用非财政拨款结余（含专用结余）0.00万元，年初结转和结余1.33万元。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2024年度支出总计3,966.43万元，其中：本年支出合计3,966.43万元，结余分配0.00万元，年末结转和结余0.00万元。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收入支出总体与上年相比，减少123.85万元，下降3.03%，主要原因是：本年减少4人，人员经费下降，办公取暖费改为用电及无培训费支出等。</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本年收入3,965.10万元，其中：财政拨款收入3,965.10万元,占100.00%；上级补助收入0.00万元,占0.00%；事业收入0.00万元，占0.00%；经营收入0.00万元,占0.00%；附属单位上缴收入0.00万元，占0.00%；其他收入0.00万元，占0.00%。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本年支出3,966.43万元，其中：基本支出988.76万元，占24.93%；项目支出2,977.67万元，占75.07%；上缴上级支出0.00万元，占0.00%；经营支出0.00万元，占0.00%；对附属单位补助支出0.00万元，占0.00%。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3,965.10万元，其中：年初财政拨款结转和结余0.00万元，本年财政拨款收入3,965.10万元。财政拨款支出总计3,965.10万元，其中：年末财政拨款结转和结余0.00万元，本年财政拨款支出3,965.10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财政拨款收入支出总体与上年相比，减少123.85万元，下降3.03%，主要原因是：本年</w:t>
      </w:r>
      <w:r>
        <w:rPr>
          <w:rFonts w:hint="eastAsia" w:ascii="仿宋_GB2312" w:eastAsia="仿宋_GB2312"/>
          <w:b w:val="0"/>
          <w:sz w:val="32"/>
          <w:szCs w:val="32"/>
          <w:lang w:val="en-US" w:eastAsia="zh-CN"/>
        </w:rPr>
        <w:t>在职在编人员</w:t>
      </w:r>
      <w:r>
        <w:rPr>
          <w:rFonts w:ascii="仿宋_GB2312" w:eastAsia="仿宋_GB2312"/>
          <w:b w:val="0"/>
          <w:sz w:val="32"/>
          <w:szCs w:val="32"/>
        </w:rPr>
        <w:t>减少4人，</w:t>
      </w:r>
      <w:r>
        <w:rPr>
          <w:rFonts w:hint="eastAsia" w:ascii="仿宋_GB2312" w:eastAsia="仿宋_GB2312"/>
          <w:b w:val="0"/>
          <w:sz w:val="32"/>
          <w:szCs w:val="32"/>
          <w:lang w:val="en-US" w:eastAsia="zh-CN"/>
        </w:rPr>
        <w:t>退休2人，调出2人，</w:t>
      </w:r>
      <w:r>
        <w:rPr>
          <w:rFonts w:ascii="仿宋_GB2312" w:eastAsia="仿宋_GB2312"/>
          <w:b w:val="0"/>
          <w:sz w:val="32"/>
          <w:szCs w:val="32"/>
        </w:rPr>
        <w:t>人员经费下降，办公取暖费改为用电及</w:t>
      </w:r>
      <w:r>
        <w:rPr>
          <w:rFonts w:hint="eastAsia" w:ascii="仿宋_GB2312" w:eastAsia="仿宋_GB2312"/>
          <w:b w:val="0"/>
          <w:sz w:val="32"/>
          <w:szCs w:val="32"/>
          <w:lang w:val="en-US" w:eastAsia="zh-CN"/>
        </w:rPr>
        <w:t>本年</w:t>
      </w:r>
      <w:r>
        <w:rPr>
          <w:rFonts w:ascii="仿宋_GB2312" w:eastAsia="仿宋_GB2312"/>
          <w:b w:val="0"/>
          <w:sz w:val="32"/>
          <w:szCs w:val="32"/>
        </w:rPr>
        <w:t>无培训费支出等。与年初预算相比，年初预算数2,209.59万元，决算数3,965.10万元，预决算差异率79.45%，主要原因是：</w:t>
      </w:r>
      <w:r>
        <w:rPr>
          <w:rFonts w:hint="eastAsia" w:ascii="仿宋_GB2312" w:eastAsia="仿宋_GB2312"/>
          <w:b w:val="0"/>
          <w:sz w:val="32"/>
          <w:szCs w:val="32"/>
          <w:lang w:val="en-US" w:eastAsia="zh-CN"/>
        </w:rPr>
        <w:t>一、年中财政安排自治区访惠聚专项工作经费支出10.27万元和格库铁路阔能改造工程征地拆迁补偿款支出816.28万元；二、</w:t>
      </w:r>
      <w:r>
        <w:rPr>
          <w:rFonts w:ascii="仿宋_GB2312" w:eastAsia="仿宋_GB2312"/>
          <w:b w:val="0"/>
          <w:sz w:val="32"/>
          <w:szCs w:val="32"/>
        </w:rPr>
        <w:t>本年</w:t>
      </w:r>
      <w:r>
        <w:rPr>
          <w:rFonts w:hint="eastAsia" w:ascii="仿宋_GB2312" w:eastAsia="仿宋_GB2312"/>
          <w:b w:val="0"/>
          <w:sz w:val="32"/>
          <w:szCs w:val="32"/>
          <w:lang w:val="en-US" w:eastAsia="zh-CN"/>
        </w:rPr>
        <w:t>在职在编人员</w:t>
      </w:r>
      <w:r>
        <w:rPr>
          <w:rFonts w:ascii="仿宋_GB2312" w:eastAsia="仿宋_GB2312"/>
          <w:b w:val="0"/>
          <w:sz w:val="32"/>
          <w:szCs w:val="32"/>
        </w:rPr>
        <w:t>减少4人</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退休2人，调出2人，办公取暖费基本由电费取代</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2024年度一般公共预算财政拨款支出1,813.98万元，占本年支出合计的45.73%。与上年相比，增加824.46万元，增长83.32%，主要原因是：</w:t>
      </w:r>
      <w:r>
        <w:rPr>
          <w:rFonts w:hint="eastAsia" w:ascii="仿宋_GB2312" w:eastAsia="仿宋_GB2312"/>
          <w:b w:val="0"/>
          <w:sz w:val="32"/>
          <w:szCs w:val="32"/>
          <w:lang w:val="en-US" w:eastAsia="zh-CN"/>
        </w:rPr>
        <w:t>年中财政安排自治区访惠聚专项工作经费支出和格库铁路阔能改造工程征地拆迁补偿款支出</w:t>
      </w:r>
      <w:r>
        <w:rPr>
          <w:rFonts w:ascii="仿宋_GB2312" w:eastAsia="仿宋_GB2312"/>
          <w:b w:val="0"/>
          <w:sz w:val="32"/>
          <w:szCs w:val="32"/>
        </w:rPr>
        <w:t>。与年初预算相比，年初预算数1,209.59万元，决算数1,813.98万元，预决算差异率49.97%，主要原因是：</w:t>
      </w:r>
      <w:r>
        <w:rPr>
          <w:rFonts w:hint="eastAsia" w:ascii="仿宋_GB2312" w:eastAsia="仿宋_GB2312"/>
          <w:b w:val="0"/>
          <w:sz w:val="32"/>
          <w:szCs w:val="32"/>
          <w:lang w:val="en-US" w:eastAsia="zh-CN"/>
        </w:rPr>
        <w:t>一、年中财政安排自治区访惠聚专项工作经费支出10.27万元和格库铁路阔能改造工程征地拆迁补偿款支出816.28万元；二、</w:t>
      </w:r>
      <w:r>
        <w:rPr>
          <w:rFonts w:ascii="仿宋_GB2312" w:eastAsia="仿宋_GB2312"/>
          <w:b w:val="0"/>
          <w:sz w:val="32"/>
          <w:szCs w:val="32"/>
        </w:rPr>
        <w:t>本年</w:t>
      </w:r>
      <w:r>
        <w:rPr>
          <w:rFonts w:hint="eastAsia" w:ascii="仿宋_GB2312" w:eastAsia="仿宋_GB2312"/>
          <w:b w:val="0"/>
          <w:sz w:val="32"/>
          <w:szCs w:val="32"/>
          <w:lang w:val="en-US" w:eastAsia="zh-CN"/>
        </w:rPr>
        <w:t>在职在编人员</w:t>
      </w:r>
      <w:r>
        <w:rPr>
          <w:rFonts w:ascii="仿宋_GB2312" w:eastAsia="仿宋_GB2312"/>
          <w:b w:val="0"/>
          <w:sz w:val="32"/>
          <w:szCs w:val="32"/>
        </w:rPr>
        <w:t>减少4人</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退休2人，调出2人，办公取暖费基本由电费取代</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一般公共服务支出（类）10.27万元，占0.57%。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农林水支出（类）987.43万元，占54.43%。</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自然资源海洋气象等支出（类）816.28万元，占45.00%。</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b w:val="0"/>
          <w:sz w:val="32"/>
          <w:szCs w:val="32"/>
          <w:lang w:val="en-US"/>
        </w:rPr>
      </w:pPr>
      <w:r>
        <w:rPr>
          <w:rFonts w:ascii="仿宋_GB2312" w:eastAsia="仿宋_GB2312"/>
          <w:b w:val="0"/>
          <w:sz w:val="32"/>
          <w:szCs w:val="32"/>
        </w:rPr>
        <w:t>一般公共服务支出（类）组织事务（款）其他组织事务支出（项）：支出决算数为10.27万元，比上年决算增加10.27万元，增长100.00%，主要原因是：</w:t>
      </w:r>
      <w:r>
        <w:rPr>
          <w:rFonts w:hint="eastAsia" w:ascii="仿宋_GB2312" w:eastAsia="仿宋_GB2312"/>
          <w:b w:val="0"/>
          <w:sz w:val="32"/>
          <w:szCs w:val="32"/>
          <w:lang w:val="en-US" w:eastAsia="zh-CN"/>
        </w:rPr>
        <w:t>年中财政安排自治区访惠聚专项工作经费支出</w:t>
      </w:r>
      <w:r>
        <w:rPr>
          <w:rFonts w:ascii="仿宋_GB2312" w:eastAsia="仿宋_GB2312"/>
          <w:b w:val="0"/>
          <w:sz w:val="32"/>
          <w:szCs w:val="32"/>
        </w:rPr>
        <w:t>10.27万元。</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b w:val="0"/>
          <w:sz w:val="32"/>
          <w:szCs w:val="32"/>
          <w:lang w:val="en-US"/>
        </w:rPr>
      </w:pPr>
      <w:r>
        <w:rPr>
          <w:rFonts w:ascii="仿宋_GB2312" w:eastAsia="仿宋_GB2312"/>
          <w:b w:val="0"/>
          <w:sz w:val="32"/>
          <w:szCs w:val="32"/>
        </w:rPr>
        <w:t>教育支出（类）进修及培训（款）培训支出（项）：支出决算数为0.00万元，比上年决算减少0.21万元，下降100.00%，主要原因是：</w:t>
      </w:r>
      <w:r>
        <w:rPr>
          <w:rFonts w:hint="eastAsia" w:ascii="仿宋_GB2312" w:eastAsia="仿宋_GB2312"/>
          <w:b w:val="0"/>
          <w:sz w:val="32"/>
          <w:szCs w:val="32"/>
          <w:lang w:val="en-US" w:eastAsia="zh-CN"/>
        </w:rPr>
        <w:t>遵守财务制度一是本年度没有安排，二是厉行节约</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农林水支出（类）林业和草原（款）事业机构（项）：支出决算数为987.43万元，比上年决算减少1.88万元，下降0.19%，主要原因是：</w:t>
      </w:r>
      <w:r>
        <w:rPr>
          <w:rFonts w:hint="eastAsia" w:ascii="仿宋_GB2312" w:eastAsia="仿宋_GB2312"/>
          <w:b w:val="0"/>
          <w:sz w:val="32"/>
          <w:szCs w:val="32"/>
          <w:lang w:val="en-US" w:eastAsia="zh-CN"/>
        </w:rPr>
        <w:t>降幅主要原因：一、</w:t>
      </w:r>
      <w:r>
        <w:rPr>
          <w:rFonts w:ascii="仿宋_GB2312" w:eastAsia="仿宋_GB2312"/>
          <w:b w:val="0"/>
          <w:sz w:val="32"/>
          <w:szCs w:val="32"/>
        </w:rPr>
        <w:t>本年</w:t>
      </w:r>
      <w:r>
        <w:rPr>
          <w:rFonts w:hint="eastAsia" w:ascii="仿宋_GB2312" w:eastAsia="仿宋_GB2312"/>
          <w:b w:val="0"/>
          <w:sz w:val="32"/>
          <w:szCs w:val="32"/>
          <w:lang w:val="en-US" w:eastAsia="zh-CN"/>
        </w:rPr>
        <w:t>在职在编人员</w:t>
      </w:r>
      <w:r>
        <w:rPr>
          <w:rFonts w:ascii="仿宋_GB2312" w:eastAsia="仿宋_GB2312"/>
          <w:b w:val="0"/>
          <w:sz w:val="32"/>
          <w:szCs w:val="32"/>
        </w:rPr>
        <w:t>减少4人</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退休2人，调出2人，办公取暖费基本由电费取代</w:t>
      </w:r>
      <w:r>
        <w:rPr>
          <w:rFonts w:ascii="仿宋_GB2312" w:eastAsia="仿宋_GB2312"/>
          <w:b w:val="0"/>
          <w:sz w:val="32"/>
          <w:szCs w:val="32"/>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b w:val="0"/>
          <w:sz w:val="32"/>
          <w:szCs w:val="32"/>
        </w:rPr>
      </w:pPr>
      <w:r>
        <w:rPr>
          <w:rFonts w:ascii="仿宋_GB2312" w:eastAsia="仿宋_GB2312"/>
          <w:b w:val="0"/>
          <w:sz w:val="32"/>
          <w:szCs w:val="32"/>
        </w:rPr>
        <w:t>自然资源海洋气象等支出（类）自然资源事务（款）其他自然资源事务支出（项）：支出决算数为816.28万元，比上年决算增加816.28万元，增长100.00%，主要原因是：</w:t>
      </w:r>
      <w:r>
        <w:rPr>
          <w:rFonts w:hint="eastAsia" w:ascii="仿宋_GB2312" w:eastAsia="仿宋_GB2312"/>
          <w:b w:val="0"/>
          <w:sz w:val="32"/>
          <w:szCs w:val="32"/>
          <w:lang w:val="en-US" w:eastAsia="zh-CN"/>
        </w:rPr>
        <w:t>财政安排支付格库铁路阔能改造工程征地拆迁补偿款</w:t>
      </w:r>
      <w:r>
        <w:rPr>
          <w:rFonts w:ascii="仿宋_GB2312" w:eastAsia="仿宋_GB2312"/>
          <w:b w:val="0"/>
          <w:sz w:val="32"/>
          <w:szCs w:val="32"/>
        </w:rPr>
        <w:t>816.28万元。</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987.43万元，其中：人员经费960.18万元，包括：基本工资、津贴补贴、奖金、机关事业单位基本养老保险缴费、职业年金缴费、职工基本医疗保险缴费、其他社会保障缴费、住房公积金、其他工资福利支出、退休费和奖励金。</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公用经费27.25万元，包括：办公费、水费、电费、邮电费、取暖费、物业管理费、差旅费、维修（护）费、培训费、工会经费、福利费、公务用车运行维护费和其他交通费用。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2024年度政府性基金预算财政拨款收入总计2,151.12万元，其中：年初结转和结余0.00万元，本年收入2,151.12万元。政府性基金预算财政拨款支出总计2,151.12万元，其中：年末结转和结余0.00万元，本年支出2,151.12万元。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政府性基金预算财政拨款收入支出总体与上年相比，减少948.31万元，下降30.60%，主要原因是：</w:t>
      </w:r>
      <w:r>
        <w:rPr>
          <w:rFonts w:hint="eastAsia" w:ascii="仿宋_GB2312" w:eastAsia="仿宋_GB2312"/>
          <w:b w:val="0"/>
          <w:sz w:val="32"/>
          <w:szCs w:val="32"/>
          <w:lang w:val="en-US" w:eastAsia="zh-CN"/>
        </w:rPr>
        <w:t>上年财政安排化解债务工程欠款和水费欠款合计2127.74万元，荒山绿化费支出917.68万元；本年安排支付引水渠跨和库高速改建工程欠款和水费欠款合计1156万元，荒山绿化费支出964.49万元</w:t>
      </w:r>
      <w:r>
        <w:rPr>
          <w:rFonts w:ascii="仿宋_GB2312" w:eastAsia="仿宋_GB2312"/>
          <w:b w:val="0"/>
          <w:sz w:val="32"/>
          <w:szCs w:val="32"/>
        </w:rPr>
        <w:t>。</w:t>
      </w:r>
      <w:r>
        <w:rPr>
          <w:rFonts w:hint="eastAsia" w:ascii="仿宋_GB2312" w:eastAsia="仿宋_GB2312"/>
          <w:b w:val="0"/>
          <w:sz w:val="32"/>
          <w:szCs w:val="32"/>
          <w:lang w:val="en-US" w:eastAsia="zh-CN"/>
        </w:rPr>
        <w:t>即下降原因是本年安排化解工程欠款下降。</w:t>
      </w:r>
      <w:r>
        <w:rPr>
          <w:rFonts w:ascii="仿宋_GB2312" w:eastAsia="仿宋_GB2312"/>
          <w:b w:val="0"/>
          <w:sz w:val="32"/>
          <w:szCs w:val="32"/>
        </w:rPr>
        <w:t>与年初预算相比，年初预算数1,000.00万元，决算数2,151.12万元，预决算差异率115.11%，主要原因是：</w:t>
      </w:r>
      <w:r>
        <w:rPr>
          <w:rFonts w:hint="eastAsia" w:ascii="仿宋_GB2312" w:eastAsia="仿宋_GB2312"/>
          <w:b w:val="0"/>
          <w:sz w:val="32"/>
          <w:szCs w:val="32"/>
          <w:lang w:val="en-US" w:eastAsia="zh-CN"/>
        </w:rPr>
        <w:t>本年安排支付引水渠跨和库高速改建工程欠款和水费欠款</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政府性基金预算财政拨款支出2,151.12万元。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b w:val="0"/>
          <w:sz w:val="32"/>
          <w:szCs w:val="32"/>
        </w:rPr>
      </w:pPr>
      <w:r>
        <w:rPr>
          <w:rFonts w:ascii="仿宋_GB2312" w:eastAsia="仿宋_GB2312"/>
          <w:b w:val="0"/>
          <w:sz w:val="32"/>
          <w:szCs w:val="32"/>
        </w:rPr>
        <w:t>城乡社区支出（类）国有土地使用权出让收入安排的支出（款）农业生产发展支出（项）：支出决算数为0.00万元，比上年决算减少971.69万元，下降100.00%，主要原因是：</w:t>
      </w:r>
      <w:r>
        <w:rPr>
          <w:rFonts w:hint="eastAsia" w:ascii="仿宋_GB2312" w:eastAsia="仿宋_GB2312"/>
          <w:b w:val="0"/>
          <w:sz w:val="32"/>
          <w:szCs w:val="32"/>
          <w:lang w:val="en-US" w:eastAsia="zh-CN"/>
        </w:rPr>
        <w:t>本年度财政预算没有安排。</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b w:val="0"/>
          <w:sz w:val="32"/>
          <w:szCs w:val="32"/>
        </w:rPr>
      </w:pPr>
      <w:r>
        <w:rPr>
          <w:rFonts w:ascii="仿宋_GB2312" w:eastAsia="仿宋_GB2312"/>
          <w:b w:val="0"/>
          <w:sz w:val="32"/>
          <w:szCs w:val="32"/>
        </w:rPr>
        <w:t>城乡社区支出（类）国有土地使用权出让收入安排的支出（款）农业农村生态环境支出（项）：支出决算数为2,151.12万元，比上年决算增加2,151.12万元，增长100.00%，主要原因是：</w:t>
      </w:r>
      <w:r>
        <w:rPr>
          <w:rFonts w:hint="eastAsia" w:ascii="仿宋_GB2312" w:eastAsia="仿宋_GB2312"/>
          <w:b w:val="0"/>
          <w:sz w:val="32"/>
          <w:szCs w:val="32"/>
          <w:lang w:val="en-US" w:eastAsia="zh-CN"/>
        </w:rPr>
        <w:t>财政安排，项目支出，荒山绿化经费和引水渠跨和库高速改建工程欠款、水费欠款。</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b w:val="0"/>
          <w:sz w:val="32"/>
          <w:szCs w:val="32"/>
        </w:rPr>
      </w:pPr>
      <w:r>
        <w:rPr>
          <w:rFonts w:ascii="仿宋_GB2312" w:eastAsia="仿宋_GB2312"/>
          <w:b w:val="0"/>
          <w:sz w:val="32"/>
          <w:szCs w:val="32"/>
        </w:rPr>
        <w:t>城乡社区支出（类）国有土地使用权出让收入安排的支出（款）其他国有土地使用权出让收入安排的支出（项）：支出决算数为0.00万元，比上年决算减少235.89万元，下降100.00%，主要原因是：</w:t>
      </w:r>
      <w:r>
        <w:rPr>
          <w:rFonts w:hint="eastAsia" w:ascii="仿宋_GB2312" w:eastAsia="仿宋_GB2312"/>
          <w:b w:val="0"/>
          <w:sz w:val="32"/>
          <w:szCs w:val="32"/>
          <w:lang w:val="en-US" w:eastAsia="zh-CN"/>
        </w:rPr>
        <w:t>上年化解债务工程欠款，本年财政没有安排。</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b w:val="0"/>
          <w:sz w:val="32"/>
          <w:szCs w:val="32"/>
        </w:rPr>
      </w:pPr>
      <w:r>
        <w:rPr>
          <w:rFonts w:ascii="仿宋_GB2312" w:eastAsia="仿宋_GB2312"/>
          <w:b w:val="0"/>
          <w:sz w:val="32"/>
          <w:szCs w:val="32"/>
        </w:rPr>
        <w:t>城乡社区支出（类）城市基础设施配套费安排的支出（款）城市环境卫生（项）：支出决算数为0.00万元，比上年决算减少1,891.85万元，下降100.00%，主要原因是：</w:t>
      </w:r>
      <w:r>
        <w:rPr>
          <w:rFonts w:hint="eastAsia" w:ascii="仿宋_GB2312" w:eastAsia="仿宋_GB2312"/>
          <w:b w:val="0"/>
          <w:sz w:val="32"/>
          <w:szCs w:val="32"/>
          <w:lang w:val="en-US" w:eastAsia="zh-CN"/>
        </w:rPr>
        <w:t>上年化解债务工程欠款，本年财政没有安排。</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2024年度财政拨款“三公”经费支出4.80万元，与上年相比无变化，主要原因是：</w:t>
      </w:r>
      <w:r>
        <w:rPr>
          <w:rFonts w:hint="eastAsia" w:ascii="仿宋_GB2312" w:eastAsia="仿宋_GB2312"/>
          <w:b w:val="0"/>
          <w:sz w:val="32"/>
          <w:szCs w:val="32"/>
          <w:lang w:val="en-US" w:eastAsia="zh-CN"/>
        </w:rPr>
        <w:t>我单位</w:t>
      </w:r>
      <w:r>
        <w:rPr>
          <w:rFonts w:hint="default" w:ascii="仿宋_GB2312" w:hAnsi="仿宋" w:eastAsia="仿宋_GB2312" w:cs="Times New Roman"/>
          <w:sz w:val="32"/>
          <w:szCs w:val="32"/>
          <w:highlight w:val="none"/>
          <w:lang w:val="en-US" w:eastAsia="zh-CN"/>
        </w:rPr>
        <w:t>“三公经费”</w:t>
      </w:r>
      <w:r>
        <w:rPr>
          <w:rFonts w:hint="eastAsia" w:ascii="仿宋_GB2312" w:hAnsi="仿宋" w:eastAsia="仿宋_GB2312" w:cs="Times New Roman"/>
          <w:sz w:val="32"/>
          <w:szCs w:val="32"/>
          <w:highlight w:val="none"/>
          <w:lang w:val="en-US" w:eastAsia="zh-CN"/>
        </w:rPr>
        <w:t>支出主要是车辆运行费，车辆编制无变化，且</w:t>
      </w:r>
      <w:r>
        <w:rPr>
          <w:rFonts w:hint="default" w:ascii="仿宋_GB2312" w:hAnsi="仿宋" w:eastAsia="仿宋_GB2312" w:cs="Times New Roman"/>
          <w:sz w:val="32"/>
          <w:szCs w:val="32"/>
          <w:highlight w:val="none"/>
          <w:lang w:val="en-US" w:eastAsia="zh-CN"/>
        </w:rPr>
        <w:t>按标准执行</w:t>
      </w:r>
      <w:r>
        <w:rPr>
          <w:rFonts w:ascii="仿宋_GB2312" w:eastAsia="仿宋_GB2312"/>
          <w:b w:val="0"/>
          <w:sz w:val="32"/>
          <w:szCs w:val="32"/>
        </w:rPr>
        <w:t>。其中：因公出国（境）费支出0.00万元,占0.00%，与上年相比无变化，主要原因是：</w:t>
      </w:r>
      <w:r>
        <w:rPr>
          <w:rFonts w:hint="eastAsia" w:ascii="仿宋_GB2312" w:eastAsia="仿宋_GB2312"/>
          <w:b w:val="0"/>
          <w:sz w:val="32"/>
          <w:szCs w:val="32"/>
          <w:lang w:val="en-US" w:eastAsia="zh-CN"/>
        </w:rPr>
        <w:t>我单位此项安排支出</w:t>
      </w:r>
      <w:r>
        <w:rPr>
          <w:rFonts w:ascii="仿宋_GB2312" w:eastAsia="仿宋_GB2312"/>
          <w:b w:val="0"/>
          <w:sz w:val="32"/>
          <w:szCs w:val="32"/>
        </w:rPr>
        <w:t>；公务用车购置及运行维护费支出4.80万元，占100.00%，与上年相比无变化，主要原因是：</w:t>
      </w:r>
      <w:r>
        <w:rPr>
          <w:rFonts w:hint="eastAsia" w:ascii="仿宋_GB2312" w:hAnsi="仿宋" w:eastAsia="仿宋_GB2312" w:cs="Times New Roman"/>
          <w:sz w:val="32"/>
          <w:szCs w:val="32"/>
          <w:highlight w:val="none"/>
          <w:lang w:val="en-US" w:eastAsia="zh-CN"/>
        </w:rPr>
        <w:t>车辆编制无变化，且</w:t>
      </w:r>
      <w:r>
        <w:rPr>
          <w:rFonts w:hint="default" w:ascii="仿宋_GB2312" w:hAnsi="仿宋" w:eastAsia="仿宋_GB2312" w:cs="Times New Roman"/>
          <w:sz w:val="32"/>
          <w:szCs w:val="32"/>
          <w:highlight w:val="none"/>
          <w:lang w:val="en-US" w:eastAsia="zh-CN"/>
        </w:rPr>
        <w:t>按标准执行</w:t>
      </w:r>
      <w:r>
        <w:rPr>
          <w:rFonts w:ascii="仿宋_GB2312" w:eastAsia="仿宋_GB2312"/>
          <w:b w:val="0"/>
          <w:sz w:val="32"/>
          <w:szCs w:val="32"/>
        </w:rPr>
        <w:t>；公务接待费支出0.00万元，占0.00%，与上年相比无变化，主要原因是：</w:t>
      </w:r>
      <w:r>
        <w:rPr>
          <w:rFonts w:hint="eastAsia" w:ascii="仿宋_GB2312" w:eastAsia="仿宋_GB2312"/>
          <w:b w:val="0"/>
          <w:sz w:val="32"/>
          <w:szCs w:val="32"/>
          <w:lang w:val="en-US" w:eastAsia="zh-CN"/>
        </w:rPr>
        <w:t>我单位此项安排支出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公务用车购置及运行维护费4.80万元，其中：公务用车购置费0.00万元，公务用车运行维护费4.80万元。公务用车运行维护费开支内容包括</w:t>
      </w:r>
      <w:r>
        <w:rPr>
          <w:rFonts w:hint="eastAsia" w:ascii="仿宋_GB2312" w:eastAsia="仿宋_GB2312"/>
          <w:b w:val="0"/>
          <w:sz w:val="32"/>
          <w:szCs w:val="32"/>
          <w:lang w:val="en-US" w:eastAsia="zh-CN"/>
        </w:rPr>
        <w:t>车辆保险、车辆维修维护和燃油费</w:t>
      </w:r>
      <w:r>
        <w:rPr>
          <w:rFonts w:ascii="仿宋_GB2312" w:eastAsia="仿宋_GB2312"/>
          <w:b w:val="0"/>
          <w:sz w:val="32"/>
          <w:szCs w:val="32"/>
        </w:rPr>
        <w:t>。公务用车购置数0辆，公务用车保有量2辆。国有资产占用情况中固定资产车辆14辆，与公务用车保有量差异原因是：</w:t>
      </w:r>
      <w:r>
        <w:rPr>
          <w:rFonts w:hint="eastAsia" w:ascii="仿宋_GB2312" w:eastAsia="仿宋_GB2312"/>
          <w:b w:val="0"/>
          <w:sz w:val="32"/>
          <w:szCs w:val="32"/>
          <w:lang w:val="en-US" w:eastAsia="zh-CN"/>
        </w:rPr>
        <w:t>我单位属生产业务单位，以生产业务用车为主</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与全年预算相比，财政拨款“三公”经费支出全年预算数4.80万元，决算数4.80万元，预决算差异率0.00%，主要原因是：</w:t>
      </w:r>
      <w:r>
        <w:rPr>
          <w:rFonts w:hint="eastAsia" w:ascii="仿宋_GB2312" w:hAnsi="仿宋" w:eastAsia="仿宋_GB2312" w:cs="Times New Roman"/>
          <w:sz w:val="32"/>
          <w:szCs w:val="32"/>
          <w:highlight w:val="none"/>
          <w:lang w:val="en-US" w:eastAsia="zh-CN"/>
        </w:rPr>
        <w:t>车辆编制无变化，且</w:t>
      </w:r>
      <w:r>
        <w:rPr>
          <w:rFonts w:hint="default" w:ascii="仿宋_GB2312" w:hAnsi="仿宋" w:eastAsia="仿宋_GB2312" w:cs="Times New Roman"/>
          <w:sz w:val="32"/>
          <w:szCs w:val="32"/>
          <w:highlight w:val="none"/>
          <w:lang w:val="en-US" w:eastAsia="zh-CN"/>
        </w:rPr>
        <w:t>按标准执行</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b w:val="0"/>
          <w:sz w:val="32"/>
          <w:szCs w:val="32"/>
          <w:lang w:val="en-US" w:eastAsia="zh-CN"/>
        </w:rPr>
        <w:t>我单位此项安排支出</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b w:val="0"/>
          <w:sz w:val="32"/>
          <w:szCs w:val="32"/>
          <w:lang w:val="en-US" w:eastAsia="zh-CN"/>
        </w:rPr>
        <w:t>无此项安排支出</w:t>
      </w:r>
      <w:r>
        <w:rPr>
          <w:rFonts w:ascii="仿宋_GB2312" w:eastAsia="仿宋_GB2312"/>
          <w:b w:val="0"/>
          <w:sz w:val="32"/>
          <w:szCs w:val="32"/>
        </w:rPr>
        <w:t>。公务用车运行维护费全年预算数4.80万元，决算数4.80万元，预决算差异率0.00%，主要原因是：</w:t>
      </w:r>
      <w:r>
        <w:rPr>
          <w:rFonts w:hint="eastAsia" w:ascii="仿宋_GB2312" w:hAnsi="仿宋" w:eastAsia="仿宋_GB2312" w:cs="Times New Roman"/>
          <w:sz w:val="32"/>
          <w:szCs w:val="32"/>
          <w:highlight w:val="none"/>
          <w:lang w:val="en-US" w:eastAsia="zh-CN"/>
        </w:rPr>
        <w:t>车辆编制无变化，且</w:t>
      </w:r>
      <w:r>
        <w:rPr>
          <w:rFonts w:hint="default" w:ascii="仿宋_GB2312" w:hAnsi="仿宋" w:eastAsia="仿宋_GB2312" w:cs="Times New Roman"/>
          <w:sz w:val="32"/>
          <w:szCs w:val="32"/>
          <w:highlight w:val="none"/>
          <w:lang w:val="en-US" w:eastAsia="zh-CN"/>
        </w:rPr>
        <w:t>按标准执行</w:t>
      </w:r>
      <w:r>
        <w:rPr>
          <w:rFonts w:ascii="仿宋_GB2312" w:eastAsia="仿宋_GB2312"/>
          <w:b w:val="0"/>
          <w:sz w:val="32"/>
          <w:szCs w:val="32"/>
        </w:rPr>
        <w:t>。公务接待费全年预算数0.00万元，决算数0.00万元，预决算差异率0.00%，主要原因是：</w:t>
      </w:r>
      <w:r>
        <w:rPr>
          <w:rFonts w:hint="eastAsia" w:ascii="仿宋_GB2312" w:eastAsia="仿宋_GB2312"/>
          <w:b w:val="0"/>
          <w:sz w:val="32"/>
          <w:szCs w:val="32"/>
          <w:lang w:val="en-US" w:eastAsia="zh-CN"/>
        </w:rPr>
        <w:t>我单位此项安排支出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2024年度公用经费支出27.25万元，比上年减少5.65万元，下降17.17%，主要原因是：</w:t>
      </w:r>
      <w:r>
        <w:rPr>
          <w:rFonts w:hint="eastAsia" w:ascii="仿宋_GB2312" w:eastAsia="仿宋_GB2312"/>
          <w:b w:val="0"/>
          <w:sz w:val="32"/>
          <w:szCs w:val="32"/>
          <w:lang w:val="en-US" w:eastAsia="zh-CN"/>
        </w:rPr>
        <w:t>一、本年取暖费基本由电费取代，取暖费降低，二、本年无培训费支出安排</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2024年度政府采购支出总额4.39万元，其中：政府采购货物支出0.00万元、政府采购工程支出0.00万元、政府采购服务支出4.39万元。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授予中小企业合同金额4.39万元，占政府采购支出总额的100.00%，其中：授予小微企业合同金额2.61万元，占政府采购支出总额的59.45%。</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3,847.20平方米，价值841.42万元。车辆14辆，价值155.79万元，其中：副部（省）级及以上领导用车0辆、主要负责人用车0辆、机要通信用车0辆、应急保障用车0辆、执法执勤用车0辆、特种专业技术用车0辆、离退休干部服务用车0辆、其他用车14辆，其他用车主要是：;单价100万元（含）以上设备（不含车辆）3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lang w:val="en-US" w:eastAsia="zh-CN"/>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2209.59</w:t>
      </w:r>
      <w:r>
        <w:rPr>
          <w:rFonts w:ascii="仿宋_GB2312" w:eastAsia="仿宋_GB2312"/>
          <w:b w:val="0"/>
          <w:sz w:val="32"/>
          <w:szCs w:val="32"/>
        </w:rPr>
        <w:t>万元，实际执行总额</w:t>
      </w:r>
      <w:r>
        <w:rPr>
          <w:rFonts w:hint="eastAsia" w:ascii="仿宋_GB2312" w:eastAsia="仿宋_GB2312"/>
          <w:b w:val="0"/>
          <w:sz w:val="32"/>
          <w:szCs w:val="32"/>
          <w:lang w:val="en-US" w:eastAsia="zh-CN"/>
        </w:rPr>
        <w:t>3966.43</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1</w:t>
      </w:r>
      <w:r>
        <w:rPr>
          <w:rFonts w:ascii="仿宋_GB2312" w:eastAsia="仿宋_GB2312"/>
          <w:b w:val="0"/>
          <w:sz w:val="32"/>
          <w:szCs w:val="32"/>
        </w:rPr>
        <w:t>个，全年预算数</w:t>
      </w:r>
      <w:r>
        <w:rPr>
          <w:rFonts w:hint="eastAsia" w:ascii="仿宋_GB2312" w:eastAsia="仿宋_GB2312"/>
          <w:b w:val="0"/>
          <w:sz w:val="32"/>
          <w:szCs w:val="32"/>
          <w:lang w:val="en-US" w:eastAsia="zh-CN"/>
        </w:rPr>
        <w:t>1000</w:t>
      </w:r>
      <w:r>
        <w:rPr>
          <w:rFonts w:ascii="仿宋_GB2312" w:eastAsia="仿宋_GB2312"/>
          <w:b w:val="0"/>
          <w:sz w:val="32"/>
          <w:szCs w:val="32"/>
        </w:rPr>
        <w:t>万元，全年执行数</w:t>
      </w:r>
      <w:r>
        <w:rPr>
          <w:rFonts w:hint="eastAsia" w:ascii="仿宋_GB2312" w:eastAsia="仿宋_GB2312"/>
          <w:b w:val="0"/>
          <w:sz w:val="32"/>
          <w:szCs w:val="32"/>
          <w:lang w:val="en-US" w:eastAsia="zh-CN"/>
        </w:rPr>
        <w:t>969</w:t>
      </w:r>
      <w:r>
        <w:rPr>
          <w:rFonts w:ascii="仿宋_GB2312" w:eastAsia="仿宋_GB2312"/>
          <w:b w:val="0"/>
          <w:sz w:val="32"/>
          <w:szCs w:val="32"/>
        </w:rPr>
        <w:t>万元。预算绩效管理取得的成效：</w:t>
      </w:r>
      <w:r>
        <w:rPr>
          <w:rFonts w:hint="default" w:ascii="仿宋_GB2312" w:eastAsia="仿宋_GB2312"/>
          <w:b w:val="0"/>
          <w:sz w:val="32"/>
          <w:szCs w:val="32"/>
          <w:lang w:val="en-US" w:eastAsia="zh-CN"/>
        </w:rPr>
        <w:t>一是积极履职、强化管理，较好的完成了</w:t>
      </w:r>
      <w:r>
        <w:rPr>
          <w:rFonts w:hint="eastAsia" w:ascii="仿宋_GB2312" w:eastAsia="仿宋_GB2312"/>
          <w:b w:val="0"/>
          <w:sz w:val="32"/>
          <w:szCs w:val="32"/>
          <w:lang w:val="en-US" w:eastAsia="zh-CN"/>
        </w:rPr>
        <w:t>上级政府下达的</w:t>
      </w:r>
      <w:r>
        <w:rPr>
          <w:rFonts w:hint="default" w:ascii="仿宋_GB2312" w:eastAsia="仿宋_GB2312"/>
          <w:b w:val="0"/>
          <w:sz w:val="32"/>
          <w:szCs w:val="32"/>
          <w:lang w:val="en-US" w:eastAsia="zh-CN"/>
        </w:rPr>
        <w:t>工作目标。通过加强预算收支管理、不断建立健全内部管理制度、梳理内部管理流程，部门整体支出管理情况得到提升。项目完成后，不仅对环境的改善有重要作用，同时可调节局部区域小气候 效应，减轻遭受风沙危害的程度。二是保障了正常的工作运转，在执行上严格遵守各项财政纪律，在项目资金的使用上也是放心的， 做到严守法律底线、纪律底线</w:t>
      </w:r>
      <w:r>
        <w:rPr>
          <w:rFonts w:hint="eastAsia" w:ascii="仿宋_GB2312" w:eastAsia="仿宋_GB2312"/>
          <w:b w:val="0"/>
          <w:sz w:val="32"/>
          <w:szCs w:val="32"/>
          <w:lang w:val="en-US" w:eastAsia="zh-CN"/>
        </w:rPr>
        <w:t>。配合上级政府、上级财政积极化解债务工程欠款，优化营商环境。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lang w:val="en-US" w:eastAsia="zh-CN"/>
        </w:rPr>
        <w:t>二</w:t>
      </w:r>
      <w:r>
        <w:rPr>
          <w:rFonts w:hint="eastAsia" w:ascii="黑体" w:hAnsi="黑体" w:eastAsia="黑体" w:cs="宋体"/>
          <w:bCs/>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本部门（单位）无其他需说明事项</w:t>
      </w:r>
    </w:p>
    <w:p>
      <w:pPr>
        <w:pStyle w:val="6"/>
        <w:rPr>
          <w:rFonts w:hint="eastAsia"/>
        </w:rPr>
      </w:pP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pStyle w:val="2"/>
      </w:pPr>
      <w:r>
        <w:drawing>
          <wp:inline distT="0" distB="0" distL="114300" distR="114300">
            <wp:extent cx="5486400" cy="5226685"/>
            <wp:effectExtent l="0" t="0" r="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486400" cy="5226685"/>
                    </a:xfrm>
                    <a:prstGeom prst="rect">
                      <a:avLst/>
                    </a:prstGeom>
                    <a:noFill/>
                    <a:ln>
                      <a:noFill/>
                    </a:ln>
                  </pic:spPr>
                </pic:pic>
              </a:graphicData>
            </a:graphic>
          </wp:inline>
        </w:drawing>
      </w:r>
    </w:p>
    <w:p/>
    <w:p>
      <w:pPr>
        <w:pStyle w:val="2"/>
      </w:pPr>
    </w:p>
    <w:p/>
    <w:p>
      <w:pPr>
        <w:pStyle w:val="2"/>
      </w:pPr>
    </w:p>
    <w:p/>
    <w:p/>
    <w:p>
      <w:pPr>
        <w:pStyle w:val="2"/>
      </w:pPr>
    </w:p>
    <w:p>
      <w:pPr>
        <w:pStyle w:val="2"/>
      </w:pPr>
      <w:r>
        <w:drawing>
          <wp:inline distT="0" distB="0" distL="114300" distR="114300">
            <wp:extent cx="5748020" cy="3417570"/>
            <wp:effectExtent l="0" t="0" r="5080"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grayscl/>
                    </a:blip>
                    <a:stretch>
                      <a:fillRect/>
                    </a:stretch>
                  </pic:blipFill>
                  <pic:spPr>
                    <a:xfrm>
                      <a:off x="0" y="0"/>
                      <a:ext cx="5748020" cy="3417570"/>
                    </a:xfrm>
                    <a:prstGeom prst="rect">
                      <a:avLst/>
                    </a:prstGeom>
                    <a:noFill/>
                    <a:ln>
                      <a:noFill/>
                    </a:ln>
                  </pic:spPr>
                </pic:pic>
              </a:graphicData>
            </a:graphic>
          </wp:inline>
        </w:drawing>
      </w:r>
    </w:p>
    <w:p/>
    <w:p>
      <w:pPr>
        <w:pStyle w:val="2"/>
      </w:pPr>
    </w:p>
    <w:p/>
    <w:p>
      <w:r>
        <w:drawing>
          <wp:inline distT="0" distB="0" distL="114300" distR="114300">
            <wp:extent cx="5810250" cy="3051810"/>
            <wp:effectExtent l="0" t="0" r="0" b="152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grayscl/>
                    </a:blip>
                    <a:stretch>
                      <a:fillRect/>
                    </a:stretch>
                  </pic:blipFill>
                  <pic:spPr>
                    <a:xfrm>
                      <a:off x="0" y="0"/>
                      <a:ext cx="5810250" cy="3051810"/>
                    </a:xfrm>
                    <a:prstGeom prst="rect">
                      <a:avLst/>
                    </a:prstGeom>
                    <a:noFill/>
                    <a:ln>
                      <a:noFill/>
                    </a:ln>
                  </pic:spPr>
                </pic:pic>
              </a:graphicData>
            </a:graphic>
          </wp:inline>
        </w:drawing>
      </w:r>
    </w:p>
    <w:p>
      <w:pPr>
        <w:pStyle w:val="2"/>
      </w:pPr>
    </w:p>
    <w:p/>
    <w:p>
      <w:pPr>
        <w:pStyle w:val="2"/>
      </w:pPr>
      <w:r>
        <w:drawing>
          <wp:inline distT="0" distB="0" distL="114300" distR="114300">
            <wp:extent cx="5894070" cy="3682365"/>
            <wp:effectExtent l="0" t="0" r="11430" b="133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894070" cy="3682365"/>
                    </a:xfrm>
                    <a:prstGeom prst="rect">
                      <a:avLst/>
                    </a:prstGeom>
                    <a:noFill/>
                    <a:ln>
                      <a:noFill/>
                    </a:ln>
                  </pic:spPr>
                </pic:pic>
              </a:graphicData>
            </a:graphic>
          </wp:inline>
        </w:drawing>
      </w:r>
    </w:p>
    <w:p/>
    <w:p>
      <w:pPr>
        <w:pStyle w:val="2"/>
      </w:pPr>
    </w:p>
    <w:p/>
    <w:p>
      <w:pPr>
        <w:pStyle w:val="2"/>
      </w:pPr>
      <w:bookmarkStart w:id="0" w:name="_GoBack"/>
      <w:bookmarkEnd w:id="0"/>
    </w:p>
    <w:p/>
    <w:p>
      <w:r>
        <w:drawing>
          <wp:inline distT="0" distB="0" distL="114300" distR="114300">
            <wp:extent cx="5481320" cy="2694940"/>
            <wp:effectExtent l="0" t="0" r="5080" b="1016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grayscl/>
                    </a:blip>
                    <a:stretch>
                      <a:fillRect/>
                    </a:stretch>
                  </pic:blipFill>
                  <pic:spPr>
                    <a:xfrm>
                      <a:off x="0" y="0"/>
                      <a:ext cx="5481320" cy="2694940"/>
                    </a:xfrm>
                    <a:prstGeom prst="rect">
                      <a:avLst/>
                    </a:prstGeom>
                    <a:noFill/>
                    <a:ln>
                      <a:noFill/>
                    </a:ln>
                  </pic:spPr>
                </pic:pic>
              </a:graphicData>
            </a:graphic>
          </wp:inline>
        </w:drawing>
      </w:r>
    </w:p>
    <w:p>
      <w:pPr>
        <w:pStyle w:val="2"/>
      </w:pPr>
    </w:p>
    <w:p/>
    <w:p/>
    <w:p>
      <w:pPr>
        <w:pStyle w:val="2"/>
      </w:pPr>
      <w:r>
        <w:drawing>
          <wp:inline distT="0" distB="0" distL="114300" distR="114300">
            <wp:extent cx="5797550" cy="3787775"/>
            <wp:effectExtent l="0" t="0" r="1270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797550" cy="3787775"/>
                    </a:xfrm>
                    <a:prstGeom prst="rect">
                      <a:avLst/>
                    </a:prstGeom>
                    <a:noFill/>
                    <a:ln>
                      <a:noFill/>
                    </a:ln>
                  </pic:spPr>
                </pic:pic>
              </a:graphicData>
            </a:graphic>
          </wp:inline>
        </w:drawing>
      </w:r>
    </w:p>
    <w:p/>
    <w:p>
      <w:pPr>
        <w:pStyle w:val="2"/>
      </w:pPr>
    </w:p>
    <w:p/>
    <w:p/>
    <w:p>
      <w:pPr>
        <w:pStyle w:val="2"/>
      </w:pPr>
      <w:r>
        <w:drawing>
          <wp:inline distT="0" distB="0" distL="114300" distR="114300">
            <wp:extent cx="5809615" cy="2277110"/>
            <wp:effectExtent l="0" t="0" r="635"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grayscl/>
                    </a:blip>
                    <a:stretch>
                      <a:fillRect/>
                    </a:stretch>
                  </pic:blipFill>
                  <pic:spPr>
                    <a:xfrm>
                      <a:off x="0" y="0"/>
                      <a:ext cx="5809615" cy="2277110"/>
                    </a:xfrm>
                    <a:prstGeom prst="rect">
                      <a:avLst/>
                    </a:prstGeom>
                    <a:noFill/>
                    <a:ln>
                      <a:noFill/>
                    </a:ln>
                  </pic:spPr>
                </pic:pic>
              </a:graphicData>
            </a:graphic>
          </wp:inline>
        </w:drawing>
      </w:r>
    </w:p>
    <w:p/>
    <w:p>
      <w:pPr>
        <w:pStyle w:val="2"/>
      </w:pPr>
    </w:p>
    <w:p/>
    <w:p>
      <w:pPr>
        <w:pStyle w:val="2"/>
      </w:pPr>
    </w:p>
    <w:p/>
    <w:p>
      <w:pPr>
        <w:pStyle w:val="2"/>
      </w:pPr>
    </w:p>
    <w:p/>
    <w:p>
      <w:pPr>
        <w:pStyle w:val="2"/>
      </w:pPr>
    </w:p>
    <w:p/>
    <w:p>
      <w:pPr>
        <w:pStyle w:val="2"/>
      </w:pPr>
    </w:p>
    <w:p>
      <w:pPr>
        <w:pStyle w:val="2"/>
      </w:pPr>
    </w:p>
    <w:p/>
    <w:p>
      <w:pPr>
        <w:pStyle w:val="2"/>
      </w:pPr>
      <w:r>
        <w:drawing>
          <wp:inline distT="0" distB="0" distL="114300" distR="114300">
            <wp:extent cx="5482590" cy="2532380"/>
            <wp:effectExtent l="0" t="0" r="3810" b="1270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1"/>
                    <a:stretch>
                      <a:fillRect/>
                    </a:stretch>
                  </pic:blipFill>
                  <pic:spPr>
                    <a:xfrm>
                      <a:off x="0" y="0"/>
                      <a:ext cx="5482590" cy="2532380"/>
                    </a:xfrm>
                    <a:prstGeom prst="rect">
                      <a:avLst/>
                    </a:prstGeom>
                    <a:noFill/>
                    <a:ln>
                      <a:noFill/>
                    </a:ln>
                  </pic:spPr>
                </pic:pic>
              </a:graphicData>
            </a:graphic>
          </wp:inline>
        </w:drawing>
      </w:r>
    </w:p>
    <w:p/>
    <w:p>
      <w:pPr>
        <w:pStyle w:val="2"/>
      </w:pPr>
    </w:p>
    <w:p/>
    <w:p>
      <w:pPr>
        <w:pStyle w:val="2"/>
      </w:pPr>
    </w:p>
    <w:p/>
    <w:p>
      <w:pPr>
        <w:pStyle w:val="2"/>
      </w:pPr>
    </w:p>
    <w:p/>
    <w:p>
      <w:pPr>
        <w:pStyle w:val="2"/>
      </w:pPr>
    </w:p>
    <w:p>
      <w:r>
        <w:drawing>
          <wp:inline distT="0" distB="0" distL="114300" distR="114300">
            <wp:extent cx="5657215" cy="1748155"/>
            <wp:effectExtent l="0" t="0" r="635"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5657215" cy="1748155"/>
                    </a:xfrm>
                    <a:prstGeom prst="rect">
                      <a:avLst/>
                    </a:prstGeom>
                    <a:noFill/>
                    <a:ln>
                      <a:noFill/>
                    </a:ln>
                  </pic:spPr>
                </pic:pic>
              </a:graphicData>
            </a:graphic>
          </wp:inline>
        </w:drawing>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C513521"/>
    <w:rsid w:val="0D963A61"/>
    <w:rsid w:val="0E492B85"/>
    <w:rsid w:val="0FB90F62"/>
    <w:rsid w:val="181E5E7A"/>
    <w:rsid w:val="19576A27"/>
    <w:rsid w:val="1D766D97"/>
    <w:rsid w:val="207407DF"/>
    <w:rsid w:val="24F37144"/>
    <w:rsid w:val="263D467F"/>
    <w:rsid w:val="280B2402"/>
    <w:rsid w:val="2B2D4F75"/>
    <w:rsid w:val="2BA16D9C"/>
    <w:rsid w:val="2FB676A4"/>
    <w:rsid w:val="33BA5FC1"/>
    <w:rsid w:val="3698706E"/>
    <w:rsid w:val="3BB84BBC"/>
    <w:rsid w:val="3E4A72CD"/>
    <w:rsid w:val="3FE371B1"/>
    <w:rsid w:val="478170B6"/>
    <w:rsid w:val="480F6D9A"/>
    <w:rsid w:val="4C7210AD"/>
    <w:rsid w:val="50E1418A"/>
    <w:rsid w:val="52A271CA"/>
    <w:rsid w:val="5DF74826"/>
    <w:rsid w:val="62B27304"/>
    <w:rsid w:val="6644275F"/>
    <w:rsid w:val="68A26596"/>
    <w:rsid w:val="6C3517C4"/>
    <w:rsid w:val="6D000DB3"/>
    <w:rsid w:val="7A3D49B3"/>
    <w:rsid w:val="7B18570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3"/>
    <w:basedOn w:val="1"/>
    <w:next w:val="1"/>
    <w:qFormat/>
    <w:uiPriority w:val="0"/>
    <w:pPr>
      <w:keepNext/>
      <w:keepLines/>
      <w:widowControl w:val="0"/>
      <w:spacing w:before="260" w:after="260" w:line="412" w:lineRule="auto"/>
      <w:outlineLvl w:val="2"/>
    </w:pPr>
    <w:rPr>
      <w:b/>
      <w:bCs/>
      <w:sz w:val="32"/>
      <w:szCs w:val="32"/>
    </w:rPr>
  </w:style>
  <w:style w:type="character" w:default="1" w:styleId="4">
    <w:name w:val="Default Paragraph Font"/>
    <w:semiHidden/>
    <w:unhideWhenUsed/>
    <w:uiPriority w:val="1"/>
  </w:style>
  <w:style w:type="table" w:default="1" w:styleId="3">
    <w:name w:val="Normal Table"/>
    <w:semiHidden/>
    <w:uiPriority w:val="0"/>
    <w:tblPr>
      <w:tblCellMar>
        <w:top w:w="0" w:type="dxa"/>
        <w:left w:w="108" w:type="dxa"/>
        <w:bottom w:w="0" w:type="dxa"/>
        <w:right w:w="108" w:type="dxa"/>
      </w:tblCellMar>
    </w:tblPr>
  </w:style>
  <w:style w:type="character" w:styleId="5">
    <w:name w:val="Strong"/>
    <w:basedOn w:val="4"/>
    <w:qFormat/>
    <w:uiPriority w:val="0"/>
    <w:rPr>
      <w:b/>
      <w:bCs/>
    </w:rPr>
  </w:style>
  <w:style w:type="paragraph" w:customStyle="1" w:styleId="6">
    <w:name w:val="正文-公1"/>
    <w:basedOn w:val="7"/>
    <w:next w:val="1"/>
    <w:qFormat/>
    <w:uiPriority w:val="0"/>
    <w:pPr>
      <w:ind w:firstLine="200" w:firstLineChars="200"/>
    </w:pPr>
  </w:style>
  <w:style w:type="paragraph" w:customStyle="1" w:styleId="7">
    <w:name w:val="正文 New New New New New New New New New New New New New New New New New New New New New New New New New New New New New New New New New New New New New New New New New New New New New New New New New New New New New New New New New New New New New New Ne"/>
    <w:next w:val="6"/>
    <w:qFormat/>
    <w:uiPriority w:val="0"/>
    <w:pPr>
      <w:widowControl w:val="0"/>
      <w:jc w:val="both"/>
    </w:pPr>
    <w:rPr>
      <w:rFonts w:ascii="Times New Roman" w:hAnsi="Times New Roman" w:eastAsia="宋体" w:cs="Times New Roman"/>
      <w:kern w:val="2"/>
      <w:sz w:val="21"/>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2025-08-14T06:01:00Z</dcterms:created>
  <dc:creator>Administrator</dc:creator>
  <cp:lastModifiedBy>lenovo</cp:lastModifiedBy>
  <dcterms:modified xsi:type="dcterms:W3CDTF">2025-08-20T08:48:59Z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36A5FF97AE764E449192436BDBD906AB</vt:lpwstr>
  </property>
</Properties>
</file>