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bookmarkStart w:id="0" w:name="_GoBack"/>
      <w:bookmarkEnd w:id="0"/>
    </w:p>
    <w:p>
      <w:pPr>
        <w:rPr>
          <w:rFonts w:hint="eastAsia"/>
        </w:rPr>
      </w:pPr>
    </w:p>
    <w:p>
      <w:pPr>
        <w:rPr>
          <w:rFonts w:hint="eastAsia"/>
        </w:rPr>
      </w:pPr>
    </w:p>
    <w:p>
      <w:pPr>
        <w:rPr>
          <w:rFonts w:hint="eastAsia"/>
        </w:rPr>
      </w:pPr>
    </w:p>
    <w:p>
      <w:pPr>
        <w:rPr>
          <w:rFonts w:hint="eastAsia"/>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库尔勒市香梨研究中心部门整体支出</w:t>
      </w: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绩效自评报告</w:t>
      </w: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Times New Roman" w:hAnsi="宋体" w:eastAsia="仿宋_GB2312" w:cs="宋体"/>
          <w:kern w:val="0"/>
          <w:sz w:val="36"/>
          <w:szCs w:val="36"/>
        </w:rPr>
      </w:pPr>
      <w:r>
        <w:rPr>
          <w:rFonts w:hint="eastAsia" w:ascii="Times New Roman" w:hAnsi="宋体" w:eastAsia="仿宋_GB2312" w:cs="宋体"/>
          <w:kern w:val="0"/>
          <w:sz w:val="36"/>
          <w:szCs w:val="36"/>
        </w:rPr>
        <w:t>（2024年度）</w:t>
      </w:r>
    </w:p>
    <w:p>
      <w:pPr>
        <w:rPr>
          <w:rFonts w:hint="eastAsia"/>
        </w:rPr>
      </w:pPr>
    </w:p>
    <w:p>
      <w:pPr>
        <w:rPr>
          <w:rFonts w:hint="eastAsia"/>
        </w:rPr>
      </w:pPr>
    </w:p>
    <w:p>
      <w:pPr>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spacing w:line="700" w:lineRule="exact"/>
        <w:ind w:firstLine="849" w:firstLineChars="236"/>
        <w:jc w:val="left"/>
        <w:rPr>
          <w:rFonts w:hint="eastAsia" w:ascii="Times New Roman" w:hAnsi="宋体" w:eastAsia="仿宋_GB2312" w:cs="宋体"/>
          <w:kern w:val="0"/>
          <w:sz w:val="36"/>
          <w:szCs w:val="36"/>
        </w:rPr>
      </w:pPr>
      <w:r>
        <w:rPr>
          <w:rFonts w:hint="eastAsia" w:ascii="Times New Roman" w:hAnsi="宋体" w:eastAsia="仿宋_GB2312" w:cs="宋体"/>
          <w:kern w:val="0"/>
          <w:sz w:val="36"/>
          <w:szCs w:val="36"/>
        </w:rPr>
        <w:t xml:space="preserve">  </w:t>
      </w:r>
    </w:p>
    <w:p>
      <w:pPr>
        <w:pStyle w:val="2"/>
        <w:rPr>
          <w:rFonts w:hint="eastAsia" w:ascii="Times New Roman" w:hAnsi="宋体" w:eastAsia="仿宋_GB2312" w:cs="宋体"/>
          <w:kern w:val="0"/>
          <w:sz w:val="36"/>
          <w:szCs w:val="36"/>
        </w:rPr>
      </w:pPr>
    </w:p>
    <w:p>
      <w:pPr>
        <w:rPr>
          <w:rFonts w:hint="eastAsia"/>
        </w:rPr>
      </w:pPr>
    </w:p>
    <w:p>
      <w:pPr>
        <w:spacing w:line="700" w:lineRule="exact"/>
        <w:ind w:firstLine="849" w:firstLineChars="236"/>
        <w:jc w:val="left"/>
        <w:rPr>
          <w:rFonts w:hint="eastAsia" w:ascii="Times New Roman" w:hAnsi="宋体" w:eastAsia="仿宋_GB2312" w:cs="宋体"/>
          <w:kern w:val="0"/>
          <w:sz w:val="36"/>
          <w:szCs w:val="36"/>
        </w:rPr>
      </w:pPr>
      <w:r>
        <w:rPr>
          <w:rFonts w:hint="eastAsia" w:ascii="Times New Roman" w:hAnsi="宋体" w:eastAsia="仿宋_GB2312" w:cs="宋体"/>
          <w:kern w:val="0"/>
          <w:sz w:val="36"/>
          <w:szCs w:val="36"/>
        </w:rPr>
        <w:t>单位名称（公章）：库尔勒市香梨研究中心</w:t>
      </w:r>
    </w:p>
    <w:p>
      <w:pPr>
        <w:spacing w:line="700" w:lineRule="exact"/>
        <w:ind w:firstLine="849" w:firstLineChars="236"/>
        <w:jc w:val="left"/>
        <w:rPr>
          <w:rFonts w:hint="eastAsia" w:ascii="Times New Roman" w:hAnsi="宋体" w:eastAsia="仿宋_GB2312" w:cs="宋体"/>
          <w:kern w:val="0"/>
          <w:sz w:val="36"/>
          <w:szCs w:val="36"/>
        </w:rPr>
      </w:pPr>
      <w:r>
        <w:rPr>
          <w:rFonts w:hint="eastAsia" w:ascii="Times New Roman" w:hAnsi="宋体" w:eastAsia="仿宋_GB2312" w:cs="宋体"/>
          <w:kern w:val="0"/>
          <w:sz w:val="36"/>
          <w:szCs w:val="36"/>
        </w:rPr>
        <w:t>填报时间：2025年</w:t>
      </w:r>
      <w:r>
        <w:rPr>
          <w:rFonts w:hint="eastAsia" w:ascii="Times New Roman" w:hAnsi="宋体" w:eastAsia="仿宋_GB2312" w:cs="宋体"/>
          <w:kern w:val="0"/>
          <w:sz w:val="36"/>
          <w:szCs w:val="36"/>
          <w:lang w:val="en-US" w:eastAsia="zh-CN"/>
        </w:rPr>
        <w:t>5</w:t>
      </w:r>
      <w:r>
        <w:rPr>
          <w:rFonts w:hint="eastAsia" w:ascii="Times New Roman" w:hAnsi="宋体" w:eastAsia="仿宋_GB2312" w:cs="宋体"/>
          <w:kern w:val="0"/>
          <w:sz w:val="36"/>
          <w:szCs w:val="36"/>
        </w:rPr>
        <w:t>月</w:t>
      </w:r>
      <w:r>
        <w:rPr>
          <w:rFonts w:hint="eastAsia" w:ascii="Times New Roman" w:hAnsi="宋体" w:eastAsia="仿宋_GB2312" w:cs="宋体"/>
          <w:kern w:val="0"/>
          <w:sz w:val="36"/>
          <w:szCs w:val="36"/>
          <w:lang w:val="en-US" w:eastAsia="zh-CN"/>
        </w:rPr>
        <w:t>12</w:t>
      </w:r>
      <w:r>
        <w:rPr>
          <w:rFonts w:hint="eastAsia" w:ascii="Times New Roman" w:hAnsi="宋体" w:eastAsia="仿宋_GB2312" w:cs="宋体"/>
          <w:kern w:val="0"/>
          <w:sz w:val="36"/>
          <w:szCs w:val="36"/>
        </w:rPr>
        <w:t>日</w:t>
      </w:r>
    </w:p>
    <w:p>
      <w:pPr>
        <w:spacing w:line="700" w:lineRule="exact"/>
        <w:ind w:firstLine="849" w:firstLineChars="236"/>
        <w:jc w:val="left"/>
        <w:rPr>
          <w:rFonts w:hint="eastAsia" w:ascii="Times New Roman" w:hAnsi="宋体" w:eastAsia="仿宋_GB2312" w:cs="宋体"/>
          <w:kern w:val="0"/>
          <w:sz w:val="36"/>
          <w:szCs w:val="36"/>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firstLine="640" w:firstLineChars="200"/>
        <w:textAlignment w:val="auto"/>
        <w:outlineLvl w:val="0"/>
        <w:rPr>
          <w:rFonts w:hint="eastAsia" w:ascii="黑体" w:hAnsi="黑体" w:eastAsia="黑体" w:cs="宋体"/>
          <w:b w:val="0"/>
          <w:bCs/>
          <w:color w:val="333333"/>
          <w:sz w:val="32"/>
          <w:szCs w:val="32"/>
          <w:lang w:val="en-US" w:eastAsia="zh-CN" w:bidi="ar"/>
        </w:rPr>
      </w:pPr>
      <w:r>
        <w:rPr>
          <w:rFonts w:hint="eastAsia" w:ascii="黑体" w:hAnsi="黑体" w:eastAsia="黑体" w:cs="宋体"/>
          <w:b w:val="0"/>
          <w:bCs/>
          <w:color w:val="333333"/>
          <w:sz w:val="32"/>
          <w:szCs w:val="32"/>
          <w:lang w:val="en-US" w:eastAsia="zh-CN" w:bidi="ar"/>
        </w:rPr>
        <w:t>一、基本概况</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outlineLvl w:val="1"/>
        <w:rPr>
          <w:rFonts w:hint="eastAsia" w:ascii="楷体" w:hAnsi="楷体" w:eastAsia="楷体" w:cs="楷体"/>
          <w:b/>
          <w:sz w:val="32"/>
          <w:szCs w:val="32"/>
        </w:rPr>
      </w:pPr>
      <w:r>
        <w:rPr>
          <w:rFonts w:hint="eastAsia" w:ascii="楷体" w:hAnsi="楷体" w:eastAsia="楷体" w:cs="楷体"/>
          <w:b/>
          <w:sz w:val="32"/>
          <w:szCs w:val="32"/>
        </w:rPr>
        <w:t>（一）部门单位基本情况</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rPr>
          <w:rFonts w:hint="eastAsia" w:ascii="Times New Roman" w:hAnsi="Times New Roman" w:eastAsia="仿宋_GB2312" w:cs="仿宋_GB2312"/>
          <w:b/>
          <w:bCs w:val="0"/>
          <w:spacing w:val="-4"/>
          <w:kern w:val="2"/>
          <w:sz w:val="32"/>
          <w:szCs w:val="32"/>
          <w:lang w:val="en-US" w:eastAsia="zh-CN" w:bidi="ar-SA"/>
        </w:rPr>
      </w:pPr>
      <w:r>
        <w:rPr>
          <w:rFonts w:hint="eastAsia" w:ascii="Times New Roman" w:hAnsi="Times New Roman" w:eastAsia="仿宋_GB2312" w:cs="仿宋_GB2312"/>
          <w:b/>
          <w:bCs w:val="0"/>
          <w:spacing w:val="-4"/>
          <w:kern w:val="2"/>
          <w:sz w:val="32"/>
          <w:szCs w:val="32"/>
          <w:lang w:val="en-US" w:eastAsia="zh-CN" w:bidi="ar-SA"/>
        </w:rPr>
        <w:t>1.主要职能</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库尔勒市香梨研究中心以研究库尔勒香梨的生物学特性和示范推广香梨生产技术，促进香梨事业的发展为宗旨。开展有关香梨生产的先进技术的开发研究，常规技术的组装配套集成，新技术、新产品、新模式的引进试验、示范推广；全市香梨生产的指导、服务、监督、检查、香梨生产技术的宣传培训等。</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rPr>
          <w:rFonts w:hint="eastAsia" w:ascii="Times New Roman" w:hAnsi="Times New Roman" w:eastAsia="仿宋_GB2312" w:cs="仿宋_GB2312"/>
          <w:b/>
          <w:bCs w:val="0"/>
          <w:spacing w:val="-4"/>
          <w:kern w:val="2"/>
          <w:sz w:val="32"/>
          <w:szCs w:val="32"/>
          <w:lang w:val="en-US" w:eastAsia="zh-CN" w:bidi="ar-SA"/>
        </w:rPr>
      </w:pPr>
      <w:r>
        <w:rPr>
          <w:rFonts w:hint="eastAsia" w:ascii="Times New Roman" w:hAnsi="Times New Roman" w:eastAsia="仿宋_GB2312" w:cs="仿宋_GB2312"/>
          <w:b/>
          <w:bCs w:val="0"/>
          <w:spacing w:val="-4"/>
          <w:kern w:val="2"/>
          <w:sz w:val="32"/>
          <w:szCs w:val="32"/>
          <w:lang w:val="en-US" w:eastAsia="zh-CN" w:bidi="ar-SA"/>
        </w:rPr>
        <w:t>2.机构设置及人员情况</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库尔勒市香梨研究中心部门（单位）编制数26，实有人数28人，其中：在职26人，减少1人；退休2人，增加0人；离休0人，增加0人。</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outlineLvl w:val="1"/>
        <w:rPr>
          <w:rFonts w:hint="eastAsia"/>
        </w:rPr>
      </w:pPr>
      <w:r>
        <w:rPr>
          <w:rFonts w:hint="eastAsia" w:ascii="楷体" w:hAnsi="楷体" w:eastAsia="楷体" w:cs="楷体"/>
          <w:b/>
          <w:sz w:val="32"/>
          <w:szCs w:val="32"/>
        </w:rPr>
        <w:t>（二）部门单位年度重点工作</w:t>
      </w:r>
    </w:p>
    <w:p>
      <w:pPr>
        <w:ind w:firstLine="940" w:firstLineChars="300"/>
        <w:rPr>
          <w:rFonts w:hint="eastAsia" w:ascii="Times New Roman" w:hAnsi="Times New Roman" w:eastAsia="仿宋_GB2312" w:cs="仿宋_GB2312"/>
          <w:b/>
          <w:bCs w:val="0"/>
          <w:spacing w:val="-4"/>
          <w:kern w:val="2"/>
          <w:sz w:val="32"/>
          <w:szCs w:val="32"/>
          <w:lang w:val="en-US" w:eastAsia="zh-CN" w:bidi="ar-SA"/>
        </w:rPr>
      </w:pPr>
      <w:r>
        <w:rPr>
          <w:rFonts w:hint="eastAsia" w:ascii="Times New Roman" w:hAnsi="Times New Roman" w:eastAsia="仿宋_GB2312" w:cs="仿宋_GB2312"/>
          <w:b/>
          <w:bCs w:val="0"/>
          <w:spacing w:val="-4"/>
          <w:kern w:val="2"/>
          <w:sz w:val="32"/>
          <w:szCs w:val="32"/>
          <w:lang w:val="en-US" w:eastAsia="zh-CN" w:bidi="ar-SA"/>
        </w:rPr>
        <w:t>1.年度总体目标</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目标1：大力推进香梨产业提质增效，通过提高香梨产量和品质促进果农增收。</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目标2：强化苹果枝枯病统防统治，严格按照自治区、自治州防控方案，全面落实各项防控措施。</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目标3：强化技术培训。技术指导组深入果园持续开展技术示范、技术指导和技术服务，让每户果农基本都能掌握果园管理的主要技术，不断提升果农科技素质，提高果农科技致富的本领</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目标4：培育优质苗木，促进库尔勒香梨发展。</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rPr>
          <w:rFonts w:hint="eastAsia" w:ascii="Times New Roman" w:hAnsi="Times New Roman" w:eastAsia="仿宋_GB2312" w:cs="仿宋_GB2312"/>
          <w:b/>
          <w:bCs w:val="0"/>
          <w:spacing w:val="-4"/>
          <w:kern w:val="2"/>
          <w:sz w:val="32"/>
          <w:szCs w:val="32"/>
          <w:lang w:val="en-US" w:eastAsia="zh-CN" w:bidi="ar-SA"/>
        </w:rPr>
      </w:pPr>
      <w:r>
        <w:rPr>
          <w:rFonts w:hint="eastAsia" w:ascii="Times New Roman" w:hAnsi="Times New Roman" w:eastAsia="仿宋_GB2312" w:cs="仿宋_GB2312"/>
          <w:b/>
          <w:bCs w:val="0"/>
          <w:spacing w:val="-4"/>
          <w:kern w:val="2"/>
          <w:sz w:val="32"/>
          <w:szCs w:val="32"/>
          <w:lang w:val="en-US" w:eastAsia="zh-CN" w:bidi="ar-SA"/>
        </w:rPr>
        <w:t>2.重点工作计划</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2024年紧紧围绕增加农民收入，以香梨产业提质增效和苹果枝枯病防控为重点，以标准化管理技术为抓手，通过提高香梨产量和品质促进果农增收。</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重点工作</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一）细化技术方案。为根据果园管理，编写制定各个生产环节的技术方案，例如《石硫合剂熬制及使用技术要点》、《花期苹果枝枯病化学防治技术方案》、《香梨花期授粉技术要点》等技术方案，同时按照一月一方案每月编写印发《香梨提质增效及病虫害防控技术要点》，明确工作任务，细化技术措施，供各乡镇及广大果农参考学习，为提升果园标准化管理提供技术支撑。</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二）加强果园标准化管理。技术指导组分组持续做好技术指导服务，指导督促果农严格按照标准化栽培管理技术，做好修剪、清园、肥水管理、病虫害防治、人工辅助授粉等各项管理措施。一是科学修剪，通过整形修剪平衡树势，调节树体营养水平。二是加强肥水管理，按照“前促后控”的原则，及时做好施肥灌水，持续增施有机肥，不断修复改良土壤。三是加强病虫害防治，抓住春季清园，全面喷施石硫合剂，防治越冬病虫害，降低病虫基数，为全年病虫害防治奠定良好基础。四是及时疏果，结合夏季修剪，疏除畸形果、小果、虫疤果等，提高商品果率和果品质量。</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三）做好花期授粉工作。为确保花粉质量，为授粉做好保障，继续对外来花粉进行报备登记，对花粉质量进行检测，对检测合格的花粉予以销售。制定人工辅助授粉技术要点，加强技术培训和指导，指导果农全部实施人工辅助授粉，确保香梨授粉受精提高坐果率。</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（四）全面开展苹果枝枯病普查。为全面掌握全市苹果枝枯病发展动态情况，为科学防控提供科学依据，计划在8月份在全市范围内对苹果枝枯病发生情况进行一次全面普查，准确分析发病率和感病株率。</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五）高度重视香梨科研基地的发展规划和建设，切实加大资金投入和管理，进一步科学合理规划科研基地，不断完善试验示范区的建设和管理，优化生产示范园的规划布局，不断完善基础设施建设，建设高效一流的科研基地，真正发挥科研、示范、科普宣传教育的引领带动作用。</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六）强化技术培训。技术指导组继续开展常态化的技术指导服务，按照划片分区的原则，技术人员分赴各乡镇全面开展技术指导服务，深入果园持续开展技术示范、技术指导和技术服务160场/次，让每户果农基本都能掌握果园管理的主要技术，不断提升果农科技素质，提高果农科技致富的本领。</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rPr>
      </w:pPr>
      <w:r>
        <w:rPr>
          <w:rFonts w:hint="eastAsia" w:ascii="仿宋_GB2312" w:hAnsi="宋体" w:eastAsia="仿宋_GB2312" w:cs="宋体"/>
          <w:color w:val="000000"/>
          <w:kern w:val="0"/>
          <w:sz w:val="32"/>
          <w:szCs w:val="32"/>
          <w:highlight w:val="none"/>
          <w:lang w:val="en-US" w:eastAsia="zh-CN"/>
        </w:rPr>
        <w:t>（七）加强科技合作。积极发挥国家梨产业技术体系平台的作用，继续加强与新疆农业大学、新疆农业科学院等科研院所的科技合作，在品种选育、资源保存利用、标准化管理技术、病虫害防治技术等方面进行深度合作，在库尔勒综合试验站加快建立梨种植资源圃，在英下育苗中心建立新品种展示区，积极开展苗木培育、新品种选育等方面的试验研究，培育优质苗木1万株。</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outlineLvl w:val="1"/>
        <w:rPr>
          <w:rFonts w:hint="eastAsia" w:ascii="楷体" w:hAnsi="楷体" w:eastAsia="楷体" w:cs="楷体"/>
          <w:b/>
          <w:sz w:val="32"/>
          <w:szCs w:val="32"/>
        </w:rPr>
      </w:pPr>
      <w:r>
        <w:rPr>
          <w:rFonts w:hint="eastAsia" w:ascii="楷体" w:hAnsi="楷体" w:eastAsia="楷体" w:cs="楷体"/>
          <w:b/>
          <w:sz w:val="32"/>
          <w:szCs w:val="32"/>
        </w:rPr>
        <w:t>（三）部门单位整体预算规模及安排情况</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2024年库尔勒市香梨研究中心单位年初预算安排558.93万元，其中财政拨款557.91万元，其他资金1.02万元，主要用于科学技术支出用于项目支出。农林水支出用于职工工资福利支出、商品和服务支出、对个人和家庭的补助。年中调整1.78万元，调整后全年预算557.15 万元，预算调整率0.32%，调整预算的主要原因为一人辞职，工资福利支出相应减少。</w:t>
      </w:r>
    </w:p>
    <w:p>
      <w:pPr>
        <w:ind w:firstLine="640" w:firstLineChars="200"/>
        <w:rPr>
          <w:rFonts w:hint="eastAsia"/>
        </w:rPr>
      </w:pPr>
      <w:r>
        <w:rPr>
          <w:rFonts w:hint="eastAsia" w:ascii="黑体" w:hAnsi="黑体" w:eastAsia="黑体" w:cs="宋体"/>
          <w:b w:val="0"/>
          <w:bCs/>
          <w:color w:val="333333"/>
          <w:sz w:val="32"/>
          <w:szCs w:val="32"/>
          <w:lang w:val="en-US" w:eastAsia="zh-CN" w:bidi="ar"/>
        </w:rPr>
        <w:t>二、部门单位整体支出管理及使用情况</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outlineLvl w:val="1"/>
        <w:rPr>
          <w:rFonts w:hint="eastAsia" w:ascii="楷体" w:hAnsi="楷体" w:eastAsia="楷体" w:cs="楷体"/>
          <w:b/>
          <w:sz w:val="32"/>
          <w:szCs w:val="32"/>
        </w:rPr>
      </w:pPr>
      <w:r>
        <w:rPr>
          <w:rFonts w:hint="eastAsia" w:ascii="楷体" w:hAnsi="楷体" w:eastAsia="楷体" w:cs="楷体"/>
          <w:b/>
          <w:sz w:val="32"/>
          <w:szCs w:val="32"/>
        </w:rPr>
        <w:t>（一）部门单位整体支出管理情况</w:t>
      </w:r>
      <w:r>
        <w:rPr>
          <w:rFonts w:hint="eastAsia" w:ascii="楷体" w:hAnsi="楷体" w:eastAsia="楷体" w:cs="楷体"/>
          <w:b/>
          <w:sz w:val="32"/>
          <w:szCs w:val="32"/>
        </w:rPr>
        <w:tab/>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rPr>
          <w:rFonts w:hint="eastAsia" w:ascii="Times New Roman" w:hAnsi="Times New Roman" w:eastAsia="仿宋_GB2312" w:cs="仿宋_GB2312"/>
          <w:b/>
          <w:bCs w:val="0"/>
          <w:spacing w:val="-4"/>
          <w:kern w:val="2"/>
          <w:sz w:val="32"/>
          <w:szCs w:val="32"/>
          <w:lang w:val="en-US" w:eastAsia="zh-CN" w:bidi="ar-SA"/>
        </w:rPr>
      </w:pPr>
      <w:r>
        <w:rPr>
          <w:rFonts w:hint="eastAsia" w:ascii="Times New Roman" w:hAnsi="Times New Roman" w:eastAsia="仿宋_GB2312" w:cs="仿宋_GB2312"/>
          <w:b/>
          <w:bCs w:val="0"/>
          <w:spacing w:val="-4"/>
          <w:kern w:val="2"/>
          <w:sz w:val="32"/>
          <w:szCs w:val="32"/>
          <w:lang w:val="en-US" w:eastAsia="zh-CN" w:bidi="ar-SA"/>
        </w:rPr>
        <w:t>1.预算编制</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rPr>
          <w:rFonts w:hint="eastAsia" w:ascii="Times New Roman" w:hAnsi="Times New Roman" w:eastAsia="仿宋_GB2312" w:cs="仿宋_GB2312"/>
          <w:b/>
          <w:bCs w:val="0"/>
          <w:spacing w:val="-4"/>
          <w:kern w:val="2"/>
          <w:sz w:val="32"/>
          <w:szCs w:val="32"/>
          <w:lang w:val="en-US" w:eastAsia="zh-CN" w:bidi="ar-SA"/>
        </w:rPr>
      </w:pPr>
      <w:r>
        <w:rPr>
          <w:rFonts w:hint="eastAsia" w:ascii="Times New Roman" w:hAnsi="Times New Roman" w:eastAsia="仿宋_GB2312" w:cs="仿宋_GB2312"/>
          <w:b/>
          <w:bCs w:val="0"/>
          <w:spacing w:val="-4"/>
          <w:kern w:val="2"/>
          <w:sz w:val="32"/>
          <w:szCs w:val="32"/>
          <w:lang w:val="en-US" w:eastAsia="zh-CN" w:bidi="ar-SA"/>
        </w:rPr>
        <w:t>2.预算执行</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库尔勒市财政批复预算后，我单位按要求及时制定并报批部门预算支出计划，严格落实预算执行定期分析机制，靠前抓好支出执行，坚持严肃财经纪律，硬化预算约束，持续树牢厉行节约理念，严控一般性支出，努力降低事业运行成本。</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rPr>
          <w:rFonts w:hint="eastAsia" w:ascii="Times New Roman" w:hAnsi="Times New Roman" w:eastAsia="仿宋_GB2312" w:cs="仿宋_GB2312"/>
          <w:b/>
          <w:bCs w:val="0"/>
          <w:spacing w:val="-4"/>
          <w:kern w:val="2"/>
          <w:sz w:val="32"/>
          <w:szCs w:val="32"/>
          <w:lang w:val="en-US" w:eastAsia="zh-CN" w:bidi="ar-SA"/>
        </w:rPr>
      </w:pPr>
      <w:r>
        <w:rPr>
          <w:rFonts w:hint="eastAsia" w:ascii="Times New Roman" w:hAnsi="Times New Roman" w:eastAsia="仿宋_GB2312" w:cs="仿宋_GB2312"/>
          <w:b/>
          <w:bCs w:val="0"/>
          <w:spacing w:val="-4"/>
          <w:kern w:val="2"/>
          <w:sz w:val="32"/>
          <w:szCs w:val="32"/>
          <w:lang w:val="en-US" w:eastAsia="zh-CN" w:bidi="ar-SA"/>
        </w:rPr>
        <w:t>3.绩效管理</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终扎实开展预算绩效目标完成情况部门审核和自评工作。</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rPr>
          <w:rFonts w:hint="eastAsia" w:ascii="Times New Roman" w:hAnsi="Times New Roman" w:eastAsia="仿宋_GB2312" w:cs="仿宋_GB2312"/>
          <w:b/>
          <w:bCs w:val="0"/>
          <w:spacing w:val="-4"/>
          <w:kern w:val="2"/>
          <w:sz w:val="32"/>
          <w:szCs w:val="32"/>
          <w:lang w:val="en-US" w:eastAsia="zh-CN" w:bidi="ar-SA"/>
        </w:rPr>
      </w:pPr>
      <w:r>
        <w:rPr>
          <w:rFonts w:hint="eastAsia" w:ascii="Times New Roman" w:hAnsi="Times New Roman" w:eastAsia="仿宋_GB2312" w:cs="仿宋_GB2312"/>
          <w:b/>
          <w:bCs w:val="0"/>
          <w:spacing w:val="-4"/>
          <w:kern w:val="2"/>
          <w:sz w:val="32"/>
          <w:szCs w:val="32"/>
          <w:lang w:val="en-US" w:eastAsia="zh-CN" w:bidi="ar-SA"/>
        </w:rPr>
        <w:t>4.信息公开</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我单位已按要求在库尔勒市人民政府门户网站公开部门预算信息，同步公开绩效目标表；在库尔勒市人民政府门户网站公开部门决算信息，同步公开自评表及自评报告。</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outlineLvl w:val="1"/>
        <w:rPr>
          <w:rFonts w:hint="eastAsia" w:ascii="楷体" w:hAnsi="楷体" w:eastAsia="楷体" w:cs="楷体"/>
          <w:b/>
          <w:sz w:val="32"/>
          <w:szCs w:val="32"/>
        </w:rPr>
      </w:pPr>
      <w:r>
        <w:rPr>
          <w:rFonts w:hint="eastAsia" w:ascii="楷体" w:hAnsi="楷体" w:eastAsia="楷体" w:cs="楷体"/>
          <w:b/>
          <w:sz w:val="32"/>
          <w:szCs w:val="32"/>
        </w:rPr>
        <w:t>（二）部门单位整体支出使用情况</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rPr>
          <w:rFonts w:hint="eastAsia" w:ascii="Times New Roman" w:hAnsi="Times New Roman" w:eastAsia="仿宋_GB2312" w:cs="仿宋_GB2312"/>
          <w:b/>
          <w:bCs w:val="0"/>
          <w:spacing w:val="-4"/>
          <w:kern w:val="2"/>
          <w:sz w:val="32"/>
          <w:szCs w:val="32"/>
          <w:lang w:val="en-US" w:eastAsia="zh-CN" w:bidi="ar-SA"/>
        </w:rPr>
      </w:pPr>
      <w:r>
        <w:rPr>
          <w:rFonts w:hint="eastAsia" w:ascii="Times New Roman" w:hAnsi="Times New Roman" w:eastAsia="仿宋_GB2312" w:cs="仿宋_GB2312"/>
          <w:b/>
          <w:bCs w:val="0"/>
          <w:spacing w:val="-4"/>
          <w:kern w:val="2"/>
          <w:sz w:val="32"/>
          <w:szCs w:val="32"/>
          <w:lang w:val="en-US" w:eastAsia="zh-CN" w:bidi="ar-SA"/>
        </w:rPr>
        <w:t>1.基本支出情况</w:t>
      </w:r>
    </w:p>
    <w:p>
      <w:pPr>
        <w:ind w:firstLine="640" w:firstLineChars="20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2024年基本支出485.50万元，包括工资福利支出455.57万元，商品和服务支出28.01万元，对个人和家庭的补助1.92万元，资本性支出0万元。其中：“三公”经费支出3万元，比上年增加0万元，主要原因是于上年没有变化；会议费支出0万元，比上年增加0万元，主要原因是没有会议费预算；培训费支出1.37万元，比上年减少0.67万元，主要原因是减少了青干班培训人员。</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rPr>
          <w:rFonts w:hint="eastAsia" w:ascii="Times New Roman" w:hAnsi="Times New Roman" w:eastAsia="仿宋_GB2312" w:cs="仿宋_GB2312"/>
          <w:b/>
          <w:bCs w:val="0"/>
          <w:spacing w:val="-4"/>
          <w:kern w:val="2"/>
          <w:sz w:val="32"/>
          <w:szCs w:val="32"/>
          <w:lang w:val="en-US" w:eastAsia="zh-CN" w:bidi="ar-SA"/>
        </w:rPr>
      </w:pPr>
      <w:r>
        <w:rPr>
          <w:rFonts w:hint="eastAsia" w:ascii="Times New Roman" w:hAnsi="Times New Roman" w:eastAsia="仿宋_GB2312" w:cs="仿宋_GB2312"/>
          <w:b/>
          <w:bCs w:val="0"/>
          <w:spacing w:val="-4"/>
          <w:kern w:val="2"/>
          <w:sz w:val="32"/>
          <w:szCs w:val="32"/>
          <w:lang w:val="en-US" w:eastAsia="zh-CN" w:bidi="ar-SA"/>
        </w:rPr>
        <w:t>2.专项资金支出情况</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2024年专项项目支出71.65万元，占总支出的12.86％，主要用于1.其他组织事务支出1.99万元，2.自然科学基金支出3万元，3.农业农村生态环境支出66.66万元。</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rPr>
          <w:rFonts w:hint="eastAsia" w:ascii="Times New Roman" w:hAnsi="Times New Roman" w:eastAsia="仿宋_GB2312" w:cs="仿宋_GB2312"/>
          <w:b/>
          <w:bCs w:val="0"/>
          <w:spacing w:val="-4"/>
          <w:kern w:val="2"/>
          <w:sz w:val="32"/>
          <w:szCs w:val="32"/>
          <w:lang w:val="en-US" w:eastAsia="zh-CN" w:bidi="ar-SA"/>
        </w:rPr>
      </w:pPr>
      <w:r>
        <w:rPr>
          <w:rFonts w:hint="eastAsia" w:ascii="Times New Roman" w:hAnsi="Times New Roman" w:eastAsia="仿宋_GB2312" w:cs="仿宋_GB2312"/>
          <w:b/>
          <w:bCs w:val="0"/>
          <w:spacing w:val="-4"/>
          <w:kern w:val="2"/>
          <w:sz w:val="32"/>
          <w:szCs w:val="32"/>
          <w:lang w:val="en-US" w:eastAsia="zh-CN" w:bidi="ar-SA"/>
        </w:rPr>
        <w:t>3.部门单位专项组织实施情况</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年初我单位下发的1专项，对项目的工作分工、任务分配、资金落实、完成时限等提出了明确、具体的要求，以确保项目保质、保量、按时完成。截至2024年12月31日，完成专项1个，未完成专项0个。</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为规范专项资金使用，提高专项资金使用效益，我单位主要采取以下措施。一是制订专项资金管理制度；二是各专项资金建立了专账，严格按预算执行；三是严格按项目实施方案实施；四是认真组织项目验收。切实保证专项资金都做到了专款专用。</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1）制定了《财务制度管理办法》、《政府采购管理办法》、《固定资产管理办法》、《公务用车管理办法》、《现代农业产业技术体系建设专项管理办法》等专项资金管理办法，各项资金使用审批流程均按规定办理。涉及“三重一大”内容，严格按照规定提请局党组会审议决定，包括项目资金分配、重大项目确定、大额资金支付等。</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（2）建立项目专项资金专账，做到有据可依，有据可查。</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（3）制定了项目实施方案，确保项目资金严格按实施方案、政策要求落实到位、圆满完成各项工作。</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rPr>
      </w:pPr>
      <w:r>
        <w:rPr>
          <w:rFonts w:hint="eastAsia" w:ascii="仿宋_GB2312" w:hAnsi="宋体" w:eastAsia="仿宋_GB2312" w:cs="宋体"/>
          <w:color w:val="000000"/>
          <w:kern w:val="0"/>
          <w:sz w:val="32"/>
          <w:szCs w:val="32"/>
          <w:highlight w:val="none"/>
          <w:lang w:val="en-US" w:eastAsia="zh-CN"/>
        </w:rPr>
        <w:t>（4）认真做好项目验收，确保项目资金按预算执行，保证各项工作落实到实处。</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firstLine="640" w:firstLineChars="200"/>
        <w:textAlignment w:val="auto"/>
        <w:outlineLvl w:val="0"/>
        <w:rPr>
          <w:rFonts w:hint="eastAsia" w:ascii="黑体" w:hAnsi="黑体" w:eastAsia="黑体" w:cs="宋体"/>
          <w:b w:val="0"/>
          <w:bCs/>
          <w:color w:val="333333"/>
          <w:sz w:val="32"/>
          <w:szCs w:val="32"/>
          <w:lang w:val="en-US" w:eastAsia="zh-CN" w:bidi="ar"/>
        </w:rPr>
      </w:pPr>
      <w:r>
        <w:rPr>
          <w:rFonts w:hint="eastAsia" w:ascii="黑体" w:hAnsi="黑体" w:eastAsia="黑体" w:cs="宋体"/>
          <w:b w:val="0"/>
          <w:bCs/>
          <w:color w:val="333333"/>
          <w:sz w:val="32"/>
          <w:szCs w:val="32"/>
          <w:lang w:val="en-US" w:eastAsia="zh-CN" w:bidi="ar"/>
        </w:rPr>
        <w:t>三、部门单位整体支出绩效情况</w:t>
      </w:r>
    </w:p>
    <w:p>
      <w:pPr>
        <w:ind w:firstLine="321" w:firstLineChars="100"/>
        <w:rPr>
          <w:rFonts w:hint="eastAsia"/>
        </w:rPr>
      </w:pPr>
      <w:r>
        <w:rPr>
          <w:rFonts w:hint="eastAsia" w:ascii="楷体" w:hAnsi="楷体" w:eastAsia="楷体" w:cs="楷体"/>
          <w:b/>
          <w:sz w:val="32"/>
          <w:szCs w:val="32"/>
        </w:rPr>
        <w:t>（一）预算执行情况分析</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2024年库尔勒市香梨研究中心单位总支出557.15万元，预算执行率100%，其中：一般公共服务支出--其他组织事务支出1.99万元，科学技术支出--自然科学基金3万元，城乡社区支出--农业农村生态环境支出66.66万元，农林水支出--事业机构485.50万元。</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1.基本支出使用情况</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2024年，库尔勒市香梨研究中心单位基本支出485.50万元，占总支出的87.14％，其中：工资福利支出455.57万元，主要用于基本工资、津贴补贴、奖金、机关事业单位基本养老保险缴费、职工基本医疗保险缴费、其他社会保障缴费、住房公积金医疗费，商品和服务支出28.01万元，主要用于办公费、电费、邮电费、取暖费、物业管理费、差旅费、维修（护）费、培训费、福利费、工会经费、公务用车运行维护费、其他交通费用、其他商品和服务支出，对个人和家庭的补助支出1.92万元，主要用于退休费。</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2.项目支出使用情况</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2024年，库尔勒市香梨研究中心单位项目支出71.65万元，占总支出的12.86％。其中：商品和服务支出71.65万元，主要用于办公费、印刷费、劳务费、委托业务费。</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outlineLvl w:val="1"/>
        <w:rPr>
          <w:rFonts w:hint="eastAsia" w:ascii="楷体" w:hAnsi="楷体" w:eastAsia="楷体" w:cs="楷体"/>
          <w:b/>
          <w:sz w:val="32"/>
          <w:szCs w:val="32"/>
        </w:rPr>
      </w:pPr>
      <w:r>
        <w:rPr>
          <w:rFonts w:hint="eastAsia" w:ascii="楷体" w:hAnsi="楷体" w:eastAsia="楷体" w:cs="楷体"/>
          <w:b/>
          <w:sz w:val="32"/>
          <w:szCs w:val="32"/>
        </w:rPr>
        <w:t>（二）部门单位整体支出绩效指标完成情况分析</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年初我单位设置部门整体绩效目标中包括一级指标1个履职效能、二级指标1个，三级指标3个，指标完成情况分析如下：</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rPr>
          <w:rFonts w:hint="eastAsia" w:ascii="Times New Roman" w:hAnsi="Times New Roman" w:eastAsia="仿宋_GB2312" w:cs="仿宋_GB2312"/>
          <w:b/>
          <w:bCs w:val="0"/>
          <w:spacing w:val="-4"/>
          <w:kern w:val="2"/>
          <w:sz w:val="32"/>
          <w:szCs w:val="32"/>
          <w:lang w:val="en-US" w:eastAsia="zh-CN" w:bidi="ar-SA"/>
        </w:rPr>
      </w:pPr>
      <w:r>
        <w:rPr>
          <w:rFonts w:hint="eastAsia" w:ascii="Times New Roman" w:hAnsi="Times New Roman" w:eastAsia="仿宋_GB2312" w:cs="仿宋_GB2312"/>
          <w:b/>
          <w:bCs w:val="0"/>
          <w:spacing w:val="-4"/>
          <w:kern w:val="2"/>
          <w:sz w:val="32"/>
          <w:szCs w:val="32"/>
          <w:lang w:val="en-US" w:eastAsia="zh-CN" w:bidi="ar-SA"/>
        </w:rPr>
        <w:t>1.运行成本    无</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rPr>
          <w:rFonts w:hint="eastAsia" w:ascii="Times New Roman" w:hAnsi="Times New Roman" w:eastAsia="仿宋_GB2312" w:cs="仿宋_GB2312"/>
          <w:b/>
          <w:bCs w:val="0"/>
          <w:spacing w:val="-4"/>
          <w:kern w:val="2"/>
          <w:sz w:val="32"/>
          <w:szCs w:val="32"/>
          <w:lang w:val="en-US" w:eastAsia="zh-CN" w:bidi="ar-SA"/>
        </w:rPr>
      </w:pPr>
      <w:r>
        <w:rPr>
          <w:rFonts w:hint="eastAsia" w:ascii="Times New Roman" w:hAnsi="Times New Roman" w:eastAsia="仿宋_GB2312" w:cs="仿宋_GB2312"/>
          <w:b/>
          <w:bCs w:val="0"/>
          <w:spacing w:val="-4"/>
          <w:kern w:val="2"/>
          <w:sz w:val="32"/>
          <w:szCs w:val="32"/>
          <w:lang w:val="en-US" w:eastAsia="zh-CN" w:bidi="ar-SA"/>
        </w:rPr>
        <w:t>2.管理效率    无</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rPr>
          <w:rFonts w:hint="eastAsia" w:ascii="Times New Roman" w:hAnsi="Times New Roman" w:eastAsia="仿宋_GB2312" w:cs="仿宋_GB2312"/>
          <w:b/>
          <w:bCs w:val="0"/>
          <w:spacing w:val="-4"/>
          <w:kern w:val="2"/>
          <w:sz w:val="32"/>
          <w:szCs w:val="32"/>
          <w:lang w:val="en-US" w:eastAsia="zh-CN" w:bidi="ar-SA"/>
        </w:rPr>
      </w:pPr>
      <w:r>
        <w:rPr>
          <w:rFonts w:hint="eastAsia" w:ascii="Times New Roman" w:hAnsi="Times New Roman" w:eastAsia="仿宋_GB2312" w:cs="仿宋_GB2312"/>
          <w:b/>
          <w:bCs w:val="0"/>
          <w:spacing w:val="-4"/>
          <w:kern w:val="2"/>
          <w:sz w:val="32"/>
          <w:szCs w:val="32"/>
          <w:lang w:val="en-US" w:eastAsia="zh-CN" w:bidi="ar-SA"/>
        </w:rPr>
        <w:t>3.履职效能</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（1）数量指标</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指标1：果农技术指导培训次数，指标值：160场次    ，年中监控完成值：90场次，自评完成值：160场次，指标完成率100%值，偏差0%，指标成效分析：技术指导和技术服务，让每户果农基本都能掌握果园管理的主要技术，不断提升果农科技素质，提高果农科技的本领。</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指标2：苹果枝枯病全面开展普查次数，指标值：+1次 ，年中监控完成值：0次，自评完成值：1次 ，指标完成率 100%偏差0%，指标成效分析：通过完成苹果枝枯病的普查，可以准确掌握病害发生情况，为科学制定防控方案提供科学依据。</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指标3：培育优质苗木数量，指标值：10000株，年中监控完成值：10016株，自评完成值：10016株 ，指标完成率100%，偏差0%，指标成效分析通过实施营养袋嫁接苗的培育，可有效提高香梨苗木质量。</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rPr>
          <w:rFonts w:hint="eastAsia" w:ascii="Times New Roman" w:hAnsi="Times New Roman" w:eastAsia="仿宋_GB2312" w:cs="仿宋_GB2312"/>
          <w:b/>
          <w:bCs w:val="0"/>
          <w:spacing w:val="-4"/>
          <w:kern w:val="2"/>
          <w:sz w:val="32"/>
          <w:szCs w:val="32"/>
          <w:lang w:val="en-US" w:eastAsia="zh-CN" w:bidi="ar-SA"/>
        </w:rPr>
      </w:pPr>
      <w:r>
        <w:rPr>
          <w:rFonts w:hint="eastAsia" w:ascii="Times New Roman" w:hAnsi="Times New Roman" w:eastAsia="仿宋_GB2312" w:cs="仿宋_GB2312"/>
          <w:b/>
          <w:bCs w:val="0"/>
          <w:spacing w:val="-4"/>
          <w:kern w:val="2"/>
          <w:sz w:val="32"/>
          <w:szCs w:val="32"/>
          <w:lang w:val="en-US" w:eastAsia="zh-CN" w:bidi="ar-SA"/>
        </w:rPr>
        <w:t>4.社会效益   无</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rPr>
          <w:rFonts w:hint="eastAsia" w:ascii="Times New Roman" w:hAnsi="Times New Roman" w:eastAsia="仿宋_GB2312" w:cs="仿宋_GB2312"/>
          <w:b/>
          <w:bCs w:val="0"/>
          <w:spacing w:val="-4"/>
          <w:kern w:val="2"/>
          <w:sz w:val="32"/>
          <w:szCs w:val="32"/>
          <w:lang w:val="en-US" w:eastAsia="zh-CN" w:bidi="ar-SA"/>
        </w:rPr>
      </w:pPr>
      <w:r>
        <w:rPr>
          <w:rFonts w:hint="eastAsia" w:ascii="Times New Roman" w:hAnsi="Times New Roman" w:eastAsia="仿宋_GB2312" w:cs="仿宋_GB2312"/>
          <w:b/>
          <w:bCs w:val="0"/>
          <w:spacing w:val="-4"/>
          <w:kern w:val="2"/>
          <w:sz w:val="32"/>
          <w:szCs w:val="32"/>
          <w:lang w:val="en-US" w:eastAsia="zh-CN" w:bidi="ar-SA"/>
        </w:rPr>
        <w:t>5.可持续发展能力    无</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rPr>
          <w:rFonts w:hint="eastAsia" w:ascii="Times New Roman" w:hAnsi="Times New Roman" w:eastAsia="仿宋_GB2312" w:cs="仿宋_GB2312"/>
          <w:b/>
          <w:bCs w:val="0"/>
          <w:spacing w:val="-4"/>
          <w:kern w:val="2"/>
          <w:sz w:val="32"/>
          <w:szCs w:val="32"/>
          <w:lang w:val="en-US" w:eastAsia="zh-CN" w:bidi="ar-SA"/>
        </w:rPr>
      </w:pPr>
      <w:r>
        <w:rPr>
          <w:rFonts w:hint="eastAsia" w:ascii="Times New Roman" w:hAnsi="Times New Roman" w:eastAsia="仿宋_GB2312" w:cs="仿宋_GB2312"/>
          <w:b/>
          <w:bCs w:val="0"/>
          <w:spacing w:val="-4"/>
          <w:kern w:val="2"/>
          <w:sz w:val="32"/>
          <w:szCs w:val="32"/>
          <w:lang w:val="en-US" w:eastAsia="zh-CN" w:bidi="ar-SA"/>
        </w:rPr>
        <w:t>6.服务对象满意度    无</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textAlignment w:val="auto"/>
        <w:outlineLvl w:val="0"/>
        <w:rPr>
          <w:rFonts w:hint="eastAsia" w:ascii="黑体" w:hAnsi="黑体" w:eastAsia="黑体" w:cs="宋体"/>
          <w:b w:val="0"/>
          <w:bCs/>
          <w:color w:val="333333"/>
          <w:sz w:val="32"/>
          <w:szCs w:val="32"/>
          <w:lang w:val="en-US" w:eastAsia="zh-CN" w:bidi="ar"/>
        </w:rPr>
      </w:pPr>
      <w:r>
        <w:rPr>
          <w:rFonts w:hint="eastAsia" w:ascii="黑体" w:hAnsi="黑体" w:eastAsia="黑体" w:cs="宋体"/>
          <w:b w:val="0"/>
          <w:bCs/>
          <w:color w:val="333333"/>
          <w:sz w:val="32"/>
          <w:szCs w:val="32"/>
          <w:lang w:val="en-US" w:eastAsia="zh-CN" w:bidi="ar"/>
        </w:rPr>
        <w:t>四、评价结论</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2024年度部门整体支出绩效评价综合得分100分，评价结果为“优”。</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firstLine="640" w:firstLineChars="200"/>
        <w:textAlignment w:val="auto"/>
        <w:outlineLvl w:val="0"/>
        <w:rPr>
          <w:rFonts w:hint="eastAsia" w:ascii="黑体" w:hAnsi="黑体" w:eastAsia="黑体" w:cs="宋体"/>
          <w:b w:val="0"/>
          <w:bCs/>
          <w:color w:val="333333"/>
          <w:sz w:val="32"/>
          <w:szCs w:val="32"/>
          <w:lang w:val="en-US" w:eastAsia="zh-CN" w:bidi="ar"/>
        </w:rPr>
      </w:pPr>
      <w:r>
        <w:rPr>
          <w:rFonts w:hint="eastAsia" w:ascii="黑体" w:hAnsi="黑体" w:eastAsia="黑体" w:cs="宋体"/>
          <w:b w:val="0"/>
          <w:bCs/>
          <w:color w:val="333333"/>
          <w:sz w:val="32"/>
          <w:szCs w:val="32"/>
          <w:lang w:val="en-US" w:eastAsia="zh-CN" w:bidi="ar"/>
        </w:rPr>
        <w:t>五、存在的主要问题</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outlineLvl w:val="1"/>
        <w:rPr>
          <w:rFonts w:hint="eastAsia" w:ascii="楷体" w:hAnsi="楷体" w:eastAsia="楷体" w:cs="楷体"/>
          <w:b/>
          <w:sz w:val="32"/>
          <w:szCs w:val="32"/>
        </w:rPr>
      </w:pPr>
      <w:r>
        <w:rPr>
          <w:rFonts w:hint="eastAsia" w:ascii="楷体" w:hAnsi="楷体" w:eastAsia="楷体" w:cs="楷体"/>
          <w:b/>
          <w:sz w:val="32"/>
          <w:szCs w:val="32"/>
        </w:rPr>
        <w:t>（一）绩效指标设置不够明确</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我单位部分绩效指标设置存在不够精准、指标数据无法统计和指标值设置过低等问题，部分项目绩效指标值设定的定性指标偏多，指标设置的科学性、合理性有待进一步提高。</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outlineLvl w:val="1"/>
        <w:rPr>
          <w:rFonts w:hint="eastAsia" w:ascii="楷体" w:hAnsi="楷体" w:eastAsia="楷体" w:cs="楷体"/>
          <w:b/>
          <w:sz w:val="32"/>
          <w:szCs w:val="32"/>
        </w:rPr>
      </w:pPr>
      <w:r>
        <w:rPr>
          <w:rFonts w:hint="eastAsia" w:ascii="楷体" w:hAnsi="楷体" w:eastAsia="楷体" w:cs="楷体"/>
          <w:b/>
          <w:sz w:val="32"/>
          <w:szCs w:val="32"/>
        </w:rPr>
        <w:t>（二）项目监督工作存在薄弱环节</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项目实施过程中的上报、跟踪、反馈机制尚未真正形成，对项目资金的使用、实施等监管措施仍然存在改进的空间。</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firstLine="640" w:firstLineChars="200"/>
        <w:textAlignment w:val="auto"/>
        <w:outlineLvl w:val="0"/>
        <w:rPr>
          <w:rFonts w:hint="eastAsia" w:ascii="黑体" w:hAnsi="黑体" w:eastAsia="黑体" w:cs="宋体"/>
          <w:b w:val="0"/>
          <w:bCs/>
          <w:color w:val="333333"/>
          <w:sz w:val="32"/>
          <w:szCs w:val="32"/>
          <w:lang w:val="en-US" w:eastAsia="zh-CN" w:bidi="ar"/>
        </w:rPr>
      </w:pPr>
      <w:r>
        <w:rPr>
          <w:rFonts w:hint="eastAsia" w:ascii="黑体" w:hAnsi="黑体" w:eastAsia="黑体" w:cs="宋体"/>
          <w:b w:val="0"/>
          <w:bCs/>
          <w:color w:val="333333"/>
          <w:sz w:val="32"/>
          <w:szCs w:val="32"/>
          <w:lang w:val="en-US" w:eastAsia="zh-CN" w:bidi="ar"/>
        </w:rPr>
        <w:t>六、改进措施和建议</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outlineLvl w:val="1"/>
        <w:rPr>
          <w:rFonts w:hint="eastAsia" w:ascii="楷体" w:hAnsi="楷体" w:eastAsia="楷体" w:cs="楷体"/>
          <w:b/>
          <w:sz w:val="32"/>
          <w:szCs w:val="32"/>
        </w:rPr>
      </w:pPr>
      <w:r>
        <w:rPr>
          <w:rFonts w:hint="eastAsia" w:ascii="楷体" w:hAnsi="楷体" w:eastAsia="楷体" w:cs="楷体"/>
          <w:b/>
          <w:sz w:val="32"/>
          <w:szCs w:val="32"/>
        </w:rPr>
        <w:t>（一）强化部门绩效管理体系建设</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一是建议以规章规则的形式，出台绩效管理制度，对绩效管理的目的、意义、性质和特点，以及组织实施绩效管理的程序、步骤、方法、原则和要求进行统一的规定。二是合理设置年度任务。提高各科室对部门中长期规划的重视程度，增强相关规划的落地性、导向性。三是探索符合部门工作特点的评价指标体系。在设定绩效目标时选取相关性强的量化指标，并注重选取符合实际工作情况的指标值。</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638" w:leftChars="304" w:firstLine="0" w:firstLineChars="0"/>
        <w:textAlignment w:val="auto"/>
        <w:outlineLvl w:val="1"/>
        <w:rPr>
          <w:rFonts w:hint="eastAsia" w:ascii="楷体" w:hAnsi="楷体" w:eastAsia="楷体" w:cs="楷体"/>
          <w:b/>
          <w:sz w:val="32"/>
          <w:szCs w:val="32"/>
        </w:rPr>
      </w:pPr>
      <w:r>
        <w:rPr>
          <w:rFonts w:hint="eastAsia" w:ascii="楷体" w:hAnsi="楷体" w:eastAsia="楷体" w:cs="楷体"/>
          <w:b/>
          <w:sz w:val="32"/>
          <w:szCs w:val="32"/>
        </w:rPr>
        <w:t>（二）建立动态分析管理机制，提高项目监管主动性</w:t>
      </w:r>
    </w:p>
    <w:p>
      <w:pPr>
        <w:keepNext w:val="0"/>
        <w:keepLines w:val="0"/>
        <w:pageBreakBefore w:val="0"/>
        <w:widowControl/>
        <w:kinsoku/>
        <w:wordWrap/>
        <w:overflowPunct/>
        <w:topLinePunct w:val="0"/>
        <w:autoSpaceDE/>
        <w:autoSpaceDN/>
        <w:bidi w:val="0"/>
        <w:adjustRightInd/>
        <w:snapToGrid/>
        <w:spacing w:beforeLines="0" w:line="560" w:lineRule="exact"/>
        <w:ind w:firstLine="640"/>
        <w:jc w:val="both"/>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积极探索更有效和积极主的监管方式。一方面要建立重点项目实施过程的反馈机制，加大对重点项目的监控力度，并建立对重点项目实施情况按月度上报机制，及时督促相关科室对政策的落地执行，提高对项目的整体把控能力。</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firstLine="640" w:firstLineChars="200"/>
        <w:textAlignment w:val="auto"/>
        <w:outlineLvl w:val="0"/>
        <w:rPr>
          <w:rFonts w:hint="eastAsia" w:ascii="黑体" w:hAnsi="黑体" w:eastAsia="黑体" w:cs="宋体"/>
          <w:b w:val="0"/>
          <w:bCs/>
          <w:color w:val="333333"/>
          <w:sz w:val="32"/>
          <w:szCs w:val="32"/>
          <w:lang w:val="en-US" w:eastAsia="zh-CN" w:bidi="ar"/>
        </w:rPr>
      </w:pPr>
      <w:r>
        <w:rPr>
          <w:rFonts w:hint="eastAsia" w:ascii="黑体" w:hAnsi="黑体" w:eastAsia="黑体" w:cs="宋体"/>
          <w:b w:val="0"/>
          <w:bCs/>
          <w:color w:val="333333"/>
          <w:sz w:val="32"/>
          <w:szCs w:val="32"/>
          <w:lang w:val="en-US" w:eastAsia="zh-CN" w:bidi="ar"/>
        </w:rPr>
        <w:t>七、附表：《部门整体支出绩效目标自评表》</w:t>
      </w:r>
    </w:p>
    <w:p>
      <w:pPr>
        <w:rPr>
          <w:rFonts w:hint="eastAsia"/>
        </w:rPr>
      </w:pPr>
    </w:p>
    <w:p>
      <w:pPr>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firstLine="420" w:firstLineChars="200"/>
        <w:textAlignment w:val="auto"/>
        <w:outlineLvl w:val="0"/>
      </w:pP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
      <w:pPr>
        <w:pStyle w:val="2"/>
      </w:pPr>
      <w:r>
        <w:drawing>
          <wp:anchor distT="0" distB="0" distL="114300" distR="114300" simplePos="0" relativeHeight="251659264" behindDoc="0" locked="0" layoutInCell="1" allowOverlap="1">
            <wp:simplePos x="0" y="0"/>
            <wp:positionH relativeFrom="column">
              <wp:posOffset>-142240</wp:posOffset>
            </wp:positionH>
            <wp:positionV relativeFrom="paragraph">
              <wp:posOffset>-1058545</wp:posOffset>
            </wp:positionV>
            <wp:extent cx="5652770" cy="8609965"/>
            <wp:effectExtent l="0" t="0" r="5080" b="635"/>
            <wp:wrapSquare wrapText="bothSides"/>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4"/>
                    <a:stretch>
                      <a:fillRect/>
                    </a:stretch>
                  </pic:blipFill>
                  <pic:spPr>
                    <a:xfrm>
                      <a:off x="0" y="0"/>
                      <a:ext cx="5652770" cy="8609965"/>
                    </a:xfrm>
                    <a:prstGeom prst="rect">
                      <a:avLst/>
                    </a:prstGeom>
                    <a:noFill/>
                    <a:ln>
                      <a:noFill/>
                    </a:ln>
                  </pic:spPr>
                </pic:pic>
              </a:graphicData>
            </a:graphic>
          </wp:anchor>
        </w:drawing>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274A1"/>
    <w:rsid w:val="00726A52"/>
    <w:rsid w:val="118B0671"/>
    <w:rsid w:val="12EF6920"/>
    <w:rsid w:val="2056200C"/>
    <w:rsid w:val="2A4C081A"/>
    <w:rsid w:val="30AC36DB"/>
    <w:rsid w:val="39871805"/>
    <w:rsid w:val="3E4F4B6C"/>
    <w:rsid w:val="3EC34FC1"/>
    <w:rsid w:val="3FC40175"/>
    <w:rsid w:val="45537BCC"/>
    <w:rsid w:val="46CF5577"/>
    <w:rsid w:val="4C675920"/>
    <w:rsid w:val="4D694D22"/>
    <w:rsid w:val="53852C7A"/>
    <w:rsid w:val="55A41CE7"/>
    <w:rsid w:val="5D684EF0"/>
    <w:rsid w:val="69872BE3"/>
    <w:rsid w:val="6A762ED2"/>
    <w:rsid w:val="78D0361E"/>
    <w:rsid w:val="79FE2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2025-05-15T04:02:00Z</dcterms:created>
  <dc:creator>Administrator</dc:creator>
  <cp:lastModifiedBy>Administrator</cp:lastModifiedBy>
  <dcterms:modified xsi:type="dcterms:W3CDTF">2025-08-13T09:14:27Z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