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库尔勒市林业和草原局</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负责林业和草原及其生态保护修复的监督管理；贯彻执行国家、自治区、自治州关于林业和草原的法律、法规和方针、政策，拟订林业和草原及其生态保护修复的政策、规划、标准并组织实施，组织开展森林、草原、湿地、荒漠和陆生野生动植物资源动态监测与评价。（二）组织林业和草原生态保护修复及造林绿化工作；组织实施林业和草原重点生态保护修复工程，指导公益林和商品林的培育、指导、监督全民义务植树、城乡绿化工作；指导林业和草原有害生物防治、检疫工作；承担林业和草原应对气候变化相关工作。（三）负责森林、草原、湿地资源的监督管理；组织编制并监督执行森林采伐限额；负责林地管理，拟定林地保护利用规划并组织实施，指导国家级公益林管理工作，管理国有林区的国有森林资源；负责草原禁牧、草畜平衡和草原生态修复治理工作，监督管理草原的开发利用；负责湿地生态保护修复工作，拟订湿地保护规划和相关地方标准，监督管理湿地的开发利用。（四）负责监督管理荒漠化防治工作；拟订防沙治沙及沙化土地封禁保护区建设规划、相关地方标准和技术规程并监督实施，监督管理沙化土地的开发利用，组织沙尘暴灾害预防预报和应急处置。（五）负责陆生野生动植物资源监督管理；组织开展陆生野生动植物资源调查，指导陆生野生动植物救护繁育、栖息地恢复发展及野生动物疫源疫病监测、防控、应急处置。监督管理陆生野生动植物猎捕或采集、驯养繁殖或培植、经营利用，按分工监督管理野生动植物进出口。（六）负责监督管理各类自然保护地。拟订各类自然保护地规划和相关地方标准；负责国家公园、自然保护区、风景名胜区、地质公园，森林公园等规划、建设和特许经营等工作；负责直接行使所有权内的自然保护地的自然资源资产管理和国土以及国土空间用途管制；组织审核世界自然遗产的申报，会同有关部门审核世界自然与文化双重遗产的申报；负责生物多样性保护相关工作。（七）负责推进林业和草原改革相关工作；拟订集体林权制度、国有林场、草原等重大改革意见并监督实施；拟订农村林业发展、维护林业经营者合法权益的政策措施，指导农村林地承包经营工作；开展退耕（牧）还林还草，负责天然林保护工作。（八）拟订林业和草原资源优化配置及木材利用政策，拟订相关林业产业地方标准并监督实施，组织、指导林产品质量监督，指导生态扶贫相关工作。（九）指导国有林场基本建设和发展，组织林木种子、草种种质资源普查，组织建立种质资源库，负责良种选育推广，管理林木种苗、草种生产经营行为，监管林木种苗、草种质量；监督管理林业和草原生物种质资源、转基因生物安全、植物新品种保护。（十）指导森林公安工作，监督管理森林公安队伍，指导林业重大违法案件的查处。负责相关行政执法监管工作，指导林区社会治安治理工作。（十一）负责落实综合防灾减灾规划相关要求，组织编制森林和草原火灾防治规划和防护标准并指导实施，指导开展林业和草原防火巡护，火源管理、防火设施建设等工作；组织指导国有林场林区和草原开展宣传教育、监测预警、督促检查等防火工作。（十二）监督管理林业和草原资金和国有资产，提出林业草原预算内投资、库尔勒市财政性资金安排建议，按规定权限，审核规划内和年度计划内投资项目；参与拟订林业和草原经济调节政策，组织实施林业和草原生态补偿工作。（十三）负责林业和草原科技、教育及外事工作，指导林业和草原人才队伍建设，组织实施林业和草原国际交流与合作事务，承担湿地、防治荒漠化等国际公约履约工作。（十四）完成市委、市人民政府交办的其他任务。（十五）职能转变。市林业和草原局要切实加大生态系统保护力度，实施重要生态系统保护和修复工程，加强森林、草原、湿地监督管理的统筹协调，大力推进国土绿化，保障国家生态安全。加快建立以国家公园为主体的自然保护地体系，统一推进各类自然保护地的清理规范和归并整合。</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库尔勒市林业和草原局2024年度，实有人数192人，其中：在职人员117人，减少9人；离休人员0人，较上年无变化；退休人员75人，增加8人。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库尔勒市林业和草原局无下属预算单位，下设3个科室，分别是：生态科、政务科、综合办公室。</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2024年度收入总计11,647.41万元，其中：本年收入合计11,645.06万元，使用非财政拨款结余（含专用结余）0.00万元，年初结转和结余2.35万元。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2024年度支出总计11,647.41万元，其中：本年支出合计11,647.41万元，结余分配0.00万元，年末结转和结余0.00万元。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收入支出总体与上年相比，增加862.59万元，增长8.00%，主要原因是：正常增加考核工资、退休人员职业年金拨付资金增加，下属单位项目增加。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11,645.06万元，其中：财政拨款收入11,645.06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本年支出11,647.41万元，其中：基本支出2,443.60万元，占20.98%；项目支出9,203.81万元，占79.02%；上缴上级支出0.00万元，占0.00%；经营支出0.00万元，占0.00%；对附属单位补助支出0.00万元，占0.00%。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11,645.06万元，其中：年初财政拨款结转和结余0.00万元，本年财政拨款收入11,645.06万元。财政拨款支出总计11,645.06万元，其中：年末财政拨款结转和结余0.00万元，本年财政拨款支出11,645.06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862.65万元，增长8.00%，主要原因是：正常增加考核工资、退休人员职业年金拨付资金增加，下属单位项目增加。与年初预算相比，年初预算数9,399.32万元，决算数11,645.06万元，预决算差异率23.89%，主要原因是：正常增加考核工资、退休人员职业年金拨付资金增加，下属单位项目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6,461.56万元，占本年支出合计的55.48%。与上年相比，增加588.16万元，增长10.01%，主要原因是：格库铁路阔能改造工程征地拆迁补偿款支出。与年初预算相比，年初预算数6,399.32万元，决算数6,461.56万元，预决算差异率0.97%，主要原因是：本年有未完工，项目格库铁路阔能改造工程征地拆迁补偿款支出。</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一般公共服务支出（类）16.11万元，占0.25%。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科学技术支出（类）3.00万元，占0.05%。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节能环保支出（类）2,384.97万元，占36.91%。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农林水支出（类）3,241.19万元，占50.16%。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自然资源海洋气象等支出（类）816.28万元，占12.63%。</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一般公共服务支出（类）组织事务（款）其他组织事务支出（项）：支出决算数为16.11万元，比上年决算增加16.11万元，增长100.00%，主要原因是：增加访惠聚工作队专项经费支出。</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教育支出（类）进修及培训（款）培训支出（项）：支出决算数为0.00万元，比上年决算减少6.08万元，下降100.00%，主要原因是：本年预算将此科目合并在主科目农林水支出（类）林业和草原（款）。</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科学技术支出（类）基础研究（款）自然科学基金（项）：支出决算数为3.00万元，比上年决算增加3.00万元，增长100.00%，主要原因是：增加果园生草对库尔勒香梨园生态环境和果实品质的影响环境项目。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卫生健康支出（类）行政事业单位医疗（款）事业单位医疗（项）：支出决算数为0.00万元，比上年决算减少0.13万元，下降100.00%，主要原因是：今年事业单位医疗业务调整农林水支出款项。</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节能环保支出（类）自然生态保护（款）生态保护（项）：支出决算数为354.48万元，比上年决算增加353.48万元，增长35,348.00%，主要原因是：2024年增加资源保护项目资金。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节能环保支出（类）自然生态保护（款）生物及物种资源保护（项）：支出决算数为32.28万元，比上年决算增加26.28万元，增长438.00%，主要原因是：本年新增加森林资源管护项目。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节能环保支出（类）自然生态保护（款）草原生态修复治理（项）：支出决算数为36.00万元，比上年决算增加34.00万元，增长1,700.00%，主要原因是：本年新增加草原生态修复治理项目。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节能环保支出（类）自然生态保护（款）其他自然生态保护支出（项）：支出决算数为1.40万元，比上年决算减少2.60万元，下降65.00%，主要原因是：本年没有新实施森林抚育项目。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节能环保支出（类）森林保护修复（款）森林管护（项）：支出决算数为1,908.41万元，比上年决算增加1,179.86万元，增长161.95%，主要原因是：森林生态效益补偿资金今年调整科目为森林管护资金。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节能环保支出（类）退耕还林还草（款）退耕现金（项）：支出决算数为0.00万元，比上年决算减少420.47万元，下降100.00%，主要原因是：退耕还林、退耕现金项目实施完毕，没有新增此项目。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节能环保支出（类）退耕还林还草（款）其他退耕还林还草支出（项）：支出决算数为0.00万元，比上年决算减少32.80万元，下降100.00%，主要原因是：退耕还林还草项目实施完毕，没有新增此类项目。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节能环保支出（类）风沙荒漠治理（款）其他风沙荒漠治理支出（项）：支出决算数为52.40万元，比上年决算增加52.40万元，增长100.00%，主要原因是：本年新安排上级专项其他风沙荒漠治理项目。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节能环保支出（类）其他节能环保支出（款）其他节能环保支出（项）：支出决算数为0.00万元，比上年决算减少262.84万元，下降100.00%，主要原因是：往年其他节能环保支出项目实施完毕，没有新增加此类项目。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农林水支出（类）林业和草原（款）行政运行（项）：支出决算数为757.92万元，比上年决算减少39.06万元，下降4.90%，主要原因是：人员退休经费减少。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农林水支出（类）林业和草原（款）事业机构（项）：支出决算数为1,683.33万元，比上年决算减少9.81万元，下降0.58%，主要原因是：人员退休和调出经费减少。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农林水支出（类）林业和草原（款）森林资源培育（项）：支出决算数为137.39万元，比上年决算减少106.43万元，下降43.65%，主要原因是：往年森林资源培育项目实施完毕，没有新增加此类项目。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农林水支出（类）林业和草原（款）森林生态效益补偿（项）：支出决算数为109.48万元，比上年决算减少0.34万元，下降0.31%，主要原因是：护林员人数减少1人、项目资金支付的人员经费减少。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农林水支出（类）林业和草原（款）动植物保护（项）：支出决算数为11.00万元，比上年决算增加8.93万元，增长431.40%，主要原因是：2024年新增加野生动植物保护项目。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农林水支出（类）林业和草原（款）林业草原防灾减灾（项）：支出决算数为9.37万元，比上年决算增加7.20万元，增长331.80%，主要原因是：2024年新增加无人机飞防项目。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农林水支出（类）林业和草原（款）草原管理（项）：支出决算数为8.98万元，比上年决算增加6.98万元，增长349.00%，主要原因是：2024年新增加上级拨入草原管理工作经费项目。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农林水支出（类）林业和草原（款）退耕还林还草（项）：支出决算数为409.01万元，比上年决算增加409.01万元，增长100.00%，主要原因是：本年新增加退耕还林还草延长补助项目。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农林水支出（类）林业和草原（款）其他林业和草原支出（项）：支出决算数为114.72万元，比上年决算减少1,444.83万元，下降92.64%，主要原因是：往年项目实施完毕、本年没有安排此类项目。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自然资源海洋气象等支出（类）自然资源事务（款）其他自然资源事务支出（项）：支出决算数为816.28万元，比上年决算增加816.28万元，增长100.00%，主要原因是：财政安排支付格库铁路阔能改造工程征地拆迁补偿款。</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2,441.24万元，其中：人员经费2,338.20万元，包括：基本工资、津贴补贴、奖金、机关事业单位基本养老保险缴费、职业年金缴费、职工基本医疗保险缴费、公务员医疗补助缴费、其他社会保障缴费、住房公积金、医疗费、其他工资福利支出、退休费、生活补助和奖励金。</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103.05万元，包括：办公费、印刷费、咨询费、手续费、水费、电费、邮电费、取暖费、物业管理费、差旅费、维修（护）费、培训费、专用材料费、工会经费、福利费、公务用车运行维护费、其他交通费用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2024年度政府性基金预算财政拨款收入总计5,183.50万元，其中：年初结转和结余0.00万元，本年收入5,183.50万元。政府性基金预算财政拨款支出总计5,183.50万元，其中：年末结转和结余0.00万元，本年支出5,183.50万元。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收入支出总体与上年相比，增加274.50万元，增长5.59%，主要原因是：今年实施三北防护林中央预算项目。与年初预算相比，年初预算数3,000.00万元，决算数5,183.50万元，预决算差异率72.78%，主要原因是：一是本年实施上级专项-三北防护林中央预算项目二是本年安排支付引水渠跨和库高速改建工程欠款和水费欠款。。</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政府性基金预算财政拨款支出5,183.50万元。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节能环保支出（类）超长期特别国债安排的支出（款）“三北”工程建设（项）：支出决算数为108.13万元，比上年决算增加108.13万元，增长100.00%，主要原因是：本年实施上级专项-三北防护林中央预算项目。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城乡社区支出（类）国有土地使用权出让收入安排的支出（款）征地和拆迁补偿支出（项）：支出决算数为80.00万元，比上年决算增加80.00万元，增长100.00%，主要原因是：年末新增加被征地拆迁业务，拆迁费兑付承包户。</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城乡社区支出（类）国有土地使用权出让收入安排的支出（款）农业生产发展支出（项）：支出决算数为98.75万元，比上年决算减少872.94万元，下降89.84%，主要原因是：本年新增加中央预算安排香梨产业发展资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城乡社区支出（类）国有土地使用权出让收入安排的支出（款）农业农村生态环境支出（项）：支出决算数为4,896.62万元，比上年决算增加3,237.05万元，增长195.05%，主要原因是：一是本年中央预算安排荒漠化管理项目资金。二是荒山绿化经费和引水渠跨和库高速改建工程欠款、水费欠款。</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城乡社区支出（类）国有土地使用权出让收入安排的支出（款）其他国有土地使用权出让收入安排的支出（项）：支出决算数为0.00万元，比上年决算减少385.89万元，下降100.00%，主要原因是：一是香梨标准化示范项目本年没有安排，二是上年化解债务工程欠款，本年财政没有安排。</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城乡社区支出（类）城市基础设施配套费安排的支出（款）城市环境卫生（项）：支出决算数为0.00万元，比上年决算减少1,891.85万元，下降100.00%，主要原因是：上年化解债务工程欠款，本年财政没有安排。</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14.95万元，比上年增加1.87万元，增长14.30%，主要原因是：公务车辆老旧，维修费增加。其中：因公出国（境）费支出0.00万元,占0.00%，与上年相比无变化，主要原因是：我单位无因公出国（境）费支出；公务用车购置及运行维护费支出14.95万元，占100.00%，比上年增加1.87万元，增长14.30%，主要原因是：公务车辆老旧，维修费增加；公务接待费支出0.00万元，占0.00%，与上年相比无变化，主要原因是：我单位无公务接待。</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因公出国（境）费支出0.00万元，开支内容包括单位无因公出国（境）人员，无开支内容。单位全年安排的因公出国（境）团组0个，因公出国（境）0人次。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14.95万元，其中：公务用车购置费0.00万元，公务用车运行维护费14.95万元。公务用车运行维护费开支内容包括车辆保险费、燃油费、维修费等。公务用车购置数0辆，公务用车保有量17辆。国有资产占用情况中固定资产车辆29辆，与公务用车保有量差异原因是：我单位属生产业务单位，以生产业务用车为主。</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公务接待费0.00万元，开支内容包括单位没有公务接待费支出，无开支内容。。单位全年安排的国内公务接待0批次，0人次。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14.95万元，决算数14.95万元，预决算差异率0.00%，主要原因是：预决算一致无差异。其中：因公出国（境）费全年预算数0.00万元，决算数0.00万元，预决算差异率0.00%，主要原因是：单位没有因公出国（境）预决算；公务用车购置费全年预算数0.00万元，决算数0.00万元，预决算差异率0.00%，主要原因是：单位没有公务用车购置费预决算；公务用车运行维护费全年预算数14.95万元，决算数14.95万元，预决算差异率0.00%，主要原因是：预决算一致无差异；公务接待费全年预算数0.00万元，决算数0.00万元，预决算差异率0.00%，主要原因是：单位没有公务接待费预决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2024年度库尔勒市林业和草原局单位（行政单位和参照公务员法管理事业单位）机关运行经费支出38.30万元，比上年减少3.71万元，下降8.83%，主要原因是：严格控制公用经费支出。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2024年度库尔勒市林业和草原局单位（事业单位）公用经费支出64.75万元，比上年增加2.86万元，增长4.62%，主要原因是：“访惠聚”经费支出增加。。</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2024年度政府采购支出总额1,903.65万元，其中：政府采购货物支出151.84万元、政府采购工程支出401.55万元、政府采购服务支出1,350.26万元。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授予中小企业合同金额1,835.63万元，占政府采购支出总额的96.43%，其中：授予小微企业合同金额1,833.32万元，占政府采购支出总额的96.31%。</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8,344.61平方米，价值1,517.32万元。车辆29辆，价值385.04万元，其中：副部（省）级及以上领导用车0辆、主要负责人用车0辆、机要通信用车0辆、应急保障用车0辆、执法执勤用车0辆、特种专业技术用车2辆、离退休干部服务用车0辆、其他用车27辆，其他用车主要是：草原巡护、胡杨林管护、打药防控车，下乡技术指导、宣传、培训等;单价100万元（含）以上设备（不含车辆）4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w:t>
      </w:r>
      <w:r>
        <w:rPr>
          <w:rFonts w:hint="eastAsia" w:ascii="仿宋_GB2312" w:eastAsia="仿宋_GB2312"/>
          <w:b w:val="0"/>
          <w:sz w:val="32"/>
          <w:szCs w:val="32"/>
          <w:lang w:val="en-US" w:eastAsia="zh-CN"/>
        </w:rPr>
        <w:t>0</w:t>
      </w:r>
      <w:r>
        <w:rPr>
          <w:rFonts w:ascii="仿宋_GB2312" w:eastAsia="仿宋_GB2312"/>
          <w:b w:val="0"/>
          <w:sz w:val="32"/>
          <w:szCs w:val="32"/>
        </w:rPr>
        <w:t>个，全年预算总额</w:t>
      </w:r>
      <w:r>
        <w:rPr>
          <w:rFonts w:hint="eastAsia" w:ascii="仿宋_GB2312" w:eastAsia="仿宋_GB2312"/>
          <w:b w:val="0"/>
          <w:sz w:val="32"/>
          <w:szCs w:val="32"/>
          <w:lang w:val="en-US" w:eastAsia="zh-CN"/>
        </w:rPr>
        <w:t>0</w:t>
      </w:r>
      <w:r>
        <w:rPr>
          <w:rFonts w:ascii="仿宋_GB2312" w:eastAsia="仿宋_GB2312"/>
          <w:b w:val="0"/>
          <w:sz w:val="32"/>
          <w:szCs w:val="32"/>
        </w:rPr>
        <w:t>万元，实际执行总额</w:t>
      </w:r>
      <w:r>
        <w:rPr>
          <w:rFonts w:hint="eastAsia" w:ascii="仿宋_GB2312" w:eastAsia="仿宋_GB2312"/>
          <w:b w:val="0"/>
          <w:sz w:val="32"/>
          <w:szCs w:val="32"/>
          <w:lang w:val="en-US" w:eastAsia="zh-CN"/>
        </w:rPr>
        <w:t>0</w:t>
      </w:r>
      <w:r>
        <w:rPr>
          <w:rFonts w:ascii="仿宋_GB2312" w:eastAsia="仿宋_GB2312"/>
          <w:b w:val="0"/>
          <w:sz w:val="32"/>
          <w:szCs w:val="32"/>
        </w:rPr>
        <w:t>万元；预算绩效评价项目11个，全年预算数5,055.92万元，全年执行数3,893.37万元。预算绩效管理取得的成效：一是相关科室及项目组相互配合，分解任务，使得绩效评价工作有序开展，按期有效完成了绩效评价。发现的问题及原因：主要体现为基层财务工作基础还需进一步夯实，财务工作人员少，工作压力大，财务工作水平仍需要进一步提高。下一步改进措施：一是细化预算编制工作，严格按照预算编制的相关制度和要求做好预算的编制，进一步加强项目的预算管理意识，优先保障固定的、相对刚性的费用支出项目，尽量压缩变动的、有控制空间的费用项目，进一步提高预算编制的科学性、严谨性和可控性；二是加强财务管理，严格财务审核。在费用报账支付时，按照预算规定的费用项目和用途进行资金使用审核、列报支付、财务核算，杜绝超支现象的发生。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rPr>
        <w:t>根据预算绩效管理要求，我部门2024年度预算绩效管理整体支出绩效自评表0个，全年预算总额0万元，实际执行总额0万元。我部门整体绩效自评表，由各单位自行编制并公开</w:t>
      </w:r>
      <w:r>
        <w:rPr>
          <w:rFonts w:hint="eastAsia" w:ascii="仿宋_GB2312" w:eastAsia="仿宋_GB2312"/>
          <w:sz w:val="32"/>
          <w:szCs w:val="32"/>
          <w:lang w:eastAsia="zh-CN"/>
        </w:rPr>
        <w:t>。</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rPr>
          <w:rFonts w:ascii="仿宋_GB2312" w:eastAsia="仿宋_GB2312"/>
          <w:b w:val="0"/>
          <w:sz w:val="32"/>
          <w:szCs w:val="32"/>
        </w:rPr>
      </w:pPr>
      <w:bookmarkStart w:id="0" w:name="_GoBack"/>
      <w:bookmarkEnd w:id="0"/>
    </w:p>
    <w:p>
      <w:pPr>
        <w:widowControl/>
        <w:spacing w:before="0" w:beforeLines="0" w:beforeAutospacing="0" w:after="0" w:afterLines="0" w:afterAutospacing="0" w:line="240" w:lineRule="auto"/>
        <w:jc w:val="left"/>
        <w:outlineLvl w:val="1"/>
      </w:pPr>
      <w:r>
        <w:drawing>
          <wp:inline distT="0" distB="0" distL="114300" distR="114300">
            <wp:extent cx="5771515" cy="7689850"/>
            <wp:effectExtent l="0" t="0" r="63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771515" cy="7689850"/>
                    </a:xfrm>
                    <a:prstGeom prst="rect">
                      <a:avLst/>
                    </a:prstGeom>
                    <a:noFill/>
                    <a:ln>
                      <a:noFill/>
                    </a:ln>
                  </pic:spPr>
                </pic:pic>
              </a:graphicData>
            </a:graphic>
          </wp:inline>
        </w:drawing>
      </w:r>
      <w:r>
        <w:drawing>
          <wp:inline distT="0" distB="0" distL="114300" distR="114300">
            <wp:extent cx="5485765" cy="7860665"/>
            <wp:effectExtent l="0" t="0" r="63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485765" cy="786066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5130" cy="8074660"/>
            <wp:effectExtent l="0" t="0" r="127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485130" cy="8074660"/>
                    </a:xfrm>
                    <a:prstGeom prst="rect">
                      <a:avLst/>
                    </a:prstGeom>
                    <a:noFill/>
                    <a:ln>
                      <a:noFill/>
                    </a:ln>
                  </pic:spPr>
                </pic:pic>
              </a:graphicData>
            </a:graphic>
          </wp:inline>
        </w:drawing>
      </w:r>
      <w:r>
        <w:drawing>
          <wp:inline distT="0" distB="0" distL="114300" distR="114300">
            <wp:extent cx="5730875" cy="7985125"/>
            <wp:effectExtent l="0" t="0" r="3175" b="158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730875" cy="798512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4495" cy="7955915"/>
            <wp:effectExtent l="0" t="0" r="1905"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484495" cy="795591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3225" cy="7673340"/>
            <wp:effectExtent l="0" t="0" r="3175"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483225" cy="767334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724525" cy="3482340"/>
            <wp:effectExtent l="0" t="0" r="9525"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5724525" cy="348234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662295" cy="2675255"/>
            <wp:effectExtent l="0" t="0" r="14605" b="1079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662295" cy="267525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637530" cy="2964180"/>
            <wp:effectExtent l="0" t="0" r="127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637530" cy="2964180"/>
                    </a:xfrm>
                    <a:prstGeom prst="rect">
                      <a:avLst/>
                    </a:prstGeom>
                    <a:noFill/>
                    <a:ln>
                      <a:noFill/>
                    </a:ln>
                  </pic:spPr>
                </pic:pic>
              </a:graphicData>
            </a:graphic>
          </wp:inline>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2C9223AE"/>
    <w:rsid w:val="31F00AB4"/>
    <w:rsid w:val="33332CFB"/>
    <w:rsid w:val="396B7E10"/>
    <w:rsid w:val="3D3B199C"/>
    <w:rsid w:val="44AB12FF"/>
    <w:rsid w:val="5B3B2931"/>
    <w:rsid w:val="5CF06DE8"/>
    <w:rsid w:val="65C52F74"/>
    <w:rsid w:val="72C225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emf"/><Relationship Id="rId8" Type="http://schemas.openxmlformats.org/officeDocument/2006/relationships/image" Target="media/image5.emf"/><Relationship Id="rId7" Type="http://schemas.openxmlformats.org/officeDocument/2006/relationships/image" Target="media/image4.emf"/><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emf"/><Relationship Id="rId11" Type="http://schemas.openxmlformats.org/officeDocument/2006/relationships/image" Target="media/image8.emf"/><Relationship Id="rId10" Type="http://schemas.openxmlformats.org/officeDocument/2006/relationships/image" Target="media/image7.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2025-08-18T11:01:00Z</dcterms:created>
  <dc:creator>Administrator</dc:creator>
  <cp:lastModifiedBy>lenovo</cp:lastModifiedBy>
  <dcterms:modified xsi:type="dcterms:W3CDTF">2025-08-20T08:54:49Z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9B8685A8CBEB40EDA70F1F6560CB6AFB</vt:lpwstr>
  </property>
</Properties>
</file>