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库尔勒市朝阳街道办事处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1、贯彻执行党和国家的各项方针、政策、法令、法规上级人民政府关于街道工作方面的决定，制定具体的管理办法并组织实施。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2、负责辖区内的社会管理综合治理，人民调解、法律服务工作，依照有关规定管理外来流动人员。</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3、开展社区服务、拥军优属工作，负责社区优抚、社会救济、社会福利工作，做好社区文化、科普、体育、教育工作。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4、按照职责范围做好计划生育、爱国卫生、绿化、环境保护、劳动就业、安全生产等管理工作。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5、配合有关部门做好防汛、防风、防火、防震、抢险和防灾救灾工作。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6、会同有关部门做好本辖区综治等工作。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7、负责辖区内市容市貌和环境卫生的日常管理工作，发动辖区单位和群众保护环境，开展爱国卫生运动。</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8、指导和帮助居民委员会的工作，调解解决行政事务、社会管理和公共服务方面的问题，促进居民委员会的依法建设。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9、协助武装部门做好国防动员、民兵训练和公民服兵役工作。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10、维护老年人、妇女、青少年、儿童和残疾人的合法权益。</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11、动员和领导居民及各单位、各部门开展社区建设工作,制定并实施社区建设规划和年度计划。</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12、承办市党委、市政府交办的其他事项。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库尔勒市朝阳街道办事处2024年度，实有人数53人，其中：在职人员50人，增加1人；离休人员0人，较上年无变化；退休人员3人，增加1人。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朝阳街道办事处无下属预算单位，下设7个，分别是：党建办公室、综合协调办公室、综合执法办公室、党群服务中心、社会事务（统计）服务中心（退役军人服务站）、综治中心（网格化服务中心）、经济经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2024年度收入总计1,938.25万元，其中：本年收入合计1,938.25万元，使用非财政拨款结余（含专用结余）0.00万元，年初结转和结余0.00万元。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2024年度支出总计1,938.25万元，其中：本年支出合计1,938.25万元，结余分配0.00万元，年末结转和结余0.00万元。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收入支出总体与上年相比，减少26.99万元，下降1.37%，主要原因是：本年度长聘人员辞职32人，人员及相关公用经费减少，严格执行中央八项规定，厉行节约</w:t>
      </w:r>
      <w:r>
        <w:rPr>
          <w:rFonts w:hint="eastAsia" w:ascii="仿宋_GB2312" w:eastAsia="仿宋_GB2312"/>
          <w:b w:val="0"/>
          <w:sz w:val="32"/>
          <w:szCs w:val="32"/>
          <w:lang w:eastAsia="zh-CN"/>
        </w:rPr>
        <w:t>，压减各项开支。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本年收入1,938.25万元，其中：财政拨款收入1,938.25万元,占100.00%；上级补助收入0.00万元,占0.00%；事业收入0.00万元，占0.00%；经营收入0.00万元,占0.00%；附属单位上缴收入0.00万元，占0.00%；其他收入0.00万元，占0.00%。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本年支出1,938.25万元，其中：基本支出1,883.35万元，占97.17%；项目支出54.90万元，占2.83%；上缴上级支出0.00万元，占0.00%；经营支出0.00万元，占0.00%；对附属单位补助支出0.00万元，占0.00%。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1,938.25万元，其中：年初财政拨款结转和结余0.00万元，本年财政拨款收入1,938.25万元。财政拨款支出总计1,938.25万元，其中：年末财政拨款结转和结余0.00万元，本年财政拨款支出1,938.25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财政拨款收入支出总体与上年相比，减少26.99万元，下降1.37%，主要原因是：本年度长聘人员辞职32人，人员及相关公用经费减少，严格执行中央八项规定，厉行节约</w:t>
      </w:r>
      <w:r>
        <w:rPr>
          <w:rFonts w:hint="eastAsia" w:ascii="仿宋_GB2312" w:eastAsia="仿宋_GB2312"/>
          <w:b w:val="0"/>
          <w:sz w:val="32"/>
          <w:szCs w:val="32"/>
          <w:lang w:eastAsia="zh-CN"/>
        </w:rPr>
        <w:t>，压减各项开支。</w:t>
      </w:r>
      <w:r>
        <w:rPr>
          <w:rFonts w:ascii="仿宋_GB2312" w:eastAsia="仿宋_GB2312"/>
          <w:b w:val="0"/>
          <w:sz w:val="32"/>
          <w:szCs w:val="32"/>
        </w:rPr>
        <w:t>与年初预算相比，年初预算数2,300.52万元，决算数1,938.25万元，预决算差异率-15.75%，主要原因是：本单位厉行节约，压缩各项经费支出</w:t>
      </w:r>
      <w:r>
        <w:rPr>
          <w:rFonts w:hint="eastAsia" w:ascii="仿宋_GB2312" w:eastAsia="仿宋_GB2312"/>
          <w:b w:val="0"/>
          <w:sz w:val="32"/>
          <w:szCs w:val="32"/>
          <w:lang w:eastAsia="zh-CN"/>
        </w:rPr>
        <w:t>，</w:t>
      </w:r>
      <w:r>
        <w:rPr>
          <w:rFonts w:ascii="仿宋_GB2312" w:eastAsia="仿宋_GB2312"/>
          <w:b w:val="0"/>
          <w:sz w:val="32"/>
          <w:szCs w:val="32"/>
        </w:rPr>
        <w:t>节约了不必需的开支。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2024年度一般公共预算财政拨款支出1,903.35万元，占本年支出合计的98.20%。与上年相比，增加7.32万元，增长0.39%，主要原因是：人员工资</w:t>
      </w:r>
      <w:r>
        <w:rPr>
          <w:rFonts w:hint="eastAsia" w:ascii="仿宋_GB2312" w:eastAsia="仿宋_GB2312"/>
          <w:b w:val="0"/>
          <w:sz w:val="32"/>
          <w:szCs w:val="32"/>
          <w:lang w:eastAsia="zh-CN"/>
        </w:rPr>
        <w:t>增加及社保基数调增。</w:t>
      </w:r>
      <w:r>
        <w:rPr>
          <w:rFonts w:ascii="仿宋_GB2312" w:eastAsia="仿宋_GB2312"/>
          <w:b w:val="0"/>
          <w:sz w:val="32"/>
          <w:szCs w:val="32"/>
        </w:rPr>
        <w:t>与年初预算相比，年初预算数2,298.46万元，决算数1,903.35万元，预决算差异率-17.19%，主要原因是：本单位厉行节约，压缩各项经费支出</w:t>
      </w:r>
      <w:r>
        <w:rPr>
          <w:rFonts w:hint="eastAsia" w:ascii="仿宋_GB2312" w:eastAsia="仿宋_GB2312"/>
          <w:b w:val="0"/>
          <w:sz w:val="32"/>
          <w:szCs w:val="32"/>
          <w:lang w:eastAsia="zh-CN"/>
        </w:rPr>
        <w:t>，</w:t>
      </w:r>
      <w:r>
        <w:rPr>
          <w:rFonts w:ascii="仿宋_GB2312" w:eastAsia="仿宋_GB2312"/>
          <w:b w:val="0"/>
          <w:sz w:val="32"/>
          <w:szCs w:val="32"/>
        </w:rPr>
        <w:t>有效的节约了不必需的开支。</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一般公共服务支出（类）1,695.11万元，占89.06%。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教育支出（类）1.57万元，占0.08%。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文化旅游体育与传媒支出（类）8.70万元，占0.46%。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社会保障和就业支出（类）94.14万元，占4.95%。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卫生健康支出（类）39.14万元，占2.06%。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住房保障支出（类）62.49万元，占3.28%。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其他支出（类）2.20万元，占0.12%。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一般公共服务支出（类）人大事务（款）代表工作（项）：支出决算数为1.13万元，比上年决算增加1.13万元，增长100.00%，主要原因是：上年度未安排该预算，本年度新增此项目</w:t>
      </w:r>
      <w:r>
        <w:rPr>
          <w:rFonts w:hint="eastAsia" w:ascii="仿宋_GB2312" w:eastAsia="仿宋_GB2312"/>
          <w:b w:val="0"/>
          <w:sz w:val="32"/>
          <w:szCs w:val="32"/>
          <w:lang w:eastAsia="zh-CN"/>
        </w:rPr>
        <w:t>，主要用于人大代表的补贴。</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其他人大事务支出（项）：支出决算数为1.00万元，比上年决算增加1.00万元，增长100.00%，主要原因是：上年度未安排该预算，本年度新增此项目。用于街道睦邻汇人大联络站打造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一般公共服务支出（类）政府办公厅（室）及相关机构事务（款）行政运行（项）：支出决算数为1,511.58万元，比上年决算减少28.31万元，下降1.84%，主要原因是：本年度长聘人员辞职32人，人员及相关公用经费</w:t>
      </w:r>
      <w:r>
        <w:rPr>
          <w:rFonts w:hint="eastAsia" w:ascii="仿宋_GB2312" w:eastAsia="仿宋_GB2312"/>
          <w:b w:val="0"/>
          <w:sz w:val="32"/>
          <w:szCs w:val="32"/>
          <w:lang w:eastAsia="zh-CN"/>
        </w:rPr>
        <w:t>预算</w:t>
      </w:r>
      <w:r>
        <w:rPr>
          <w:rFonts w:ascii="仿宋_GB2312" w:eastAsia="仿宋_GB2312"/>
          <w:b w:val="0"/>
          <w:sz w:val="32"/>
          <w:szCs w:val="32"/>
        </w:rPr>
        <w:t>减少，</w:t>
      </w:r>
      <w:r>
        <w:rPr>
          <w:rFonts w:hint="eastAsia" w:ascii="仿宋_GB2312" w:eastAsia="仿宋_GB2312"/>
          <w:b w:val="0"/>
          <w:sz w:val="32"/>
          <w:szCs w:val="32"/>
          <w:lang w:eastAsia="zh-CN"/>
        </w:rPr>
        <w:t>本年</w:t>
      </w:r>
      <w:r>
        <w:rPr>
          <w:rFonts w:ascii="仿宋_GB2312" w:eastAsia="仿宋_GB2312"/>
          <w:b w:val="0"/>
          <w:sz w:val="32"/>
          <w:szCs w:val="32"/>
        </w:rPr>
        <w:t>严格执行中央八项规定，厉行节约，压缩各项</w:t>
      </w:r>
      <w:r>
        <w:rPr>
          <w:rFonts w:hint="eastAsia" w:ascii="仿宋_GB2312" w:eastAsia="仿宋_GB2312"/>
          <w:b w:val="0"/>
          <w:sz w:val="32"/>
          <w:szCs w:val="32"/>
          <w:lang w:eastAsia="zh-CN"/>
        </w:rPr>
        <w:t>公用</w:t>
      </w:r>
      <w:r>
        <w:rPr>
          <w:rFonts w:ascii="仿宋_GB2312" w:eastAsia="仿宋_GB2312"/>
          <w:b w:val="0"/>
          <w:sz w:val="32"/>
          <w:szCs w:val="32"/>
        </w:rPr>
        <w:t>经费支出。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一般公共服务支出（类）政府办公厅（室）及相关机构事务（款）其他政府办公厅（室）及相关机构事务支出（项）：支出决算数为126.10万元，比上年决算增加126.10万元，增长100.00%，主要原因是：</w:t>
      </w:r>
      <w:r>
        <w:rPr>
          <w:rFonts w:hint="eastAsia" w:ascii="仿宋_GB2312" w:eastAsia="仿宋_GB2312"/>
          <w:b w:val="0"/>
          <w:sz w:val="32"/>
          <w:szCs w:val="32"/>
          <w:lang w:eastAsia="zh-CN"/>
        </w:rPr>
        <w:t>本年度预算支出功能科目调整</w:t>
      </w:r>
      <w:r>
        <w:rPr>
          <w:rFonts w:ascii="仿宋_GB2312" w:eastAsia="仿宋_GB2312"/>
          <w:b w:val="0"/>
          <w:sz w:val="32"/>
          <w:szCs w:val="32"/>
          <w:highlight w:val="none"/>
        </w:rPr>
        <w:t>。</w:t>
      </w:r>
      <w:r>
        <w:rPr>
          <w:rFonts w:hint="eastAsia" w:ascii="仿宋_GB2312" w:eastAsia="仿宋_GB2312"/>
          <w:b w:val="0"/>
          <w:sz w:val="32"/>
          <w:szCs w:val="32"/>
          <w:highlight w:val="none"/>
          <w:lang w:eastAsia="zh-CN"/>
        </w:rPr>
        <w:t>主要支付社区正常运转各项开支</w:t>
      </w:r>
      <w:r>
        <w:rPr>
          <w:rFonts w:ascii="仿宋_GB2312" w:eastAsia="仿宋_GB2312"/>
          <w:b w:val="0"/>
          <w:sz w:val="32"/>
          <w:szCs w:val="32"/>
          <w:highlight w:val="none"/>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3.00万元，比上年决算增加1.50万元，增长100.00%，主要原因是：为保障纪检各项工作顺利开展，本年度上级纪检专项经费下拨数增加1.50万元，</w:t>
      </w:r>
      <w:r>
        <w:rPr>
          <w:rFonts w:hint="eastAsia" w:ascii="仿宋_GB2312" w:eastAsia="仿宋_GB2312"/>
          <w:b w:val="0"/>
          <w:sz w:val="32"/>
          <w:szCs w:val="32"/>
          <w:lang w:eastAsia="zh-CN"/>
        </w:rPr>
        <w:t>用于</w:t>
      </w:r>
      <w:r>
        <w:rPr>
          <w:rFonts w:ascii="仿宋_GB2312" w:eastAsia="仿宋_GB2312"/>
          <w:b w:val="0"/>
          <w:sz w:val="32"/>
          <w:szCs w:val="32"/>
        </w:rPr>
        <w:t>纪检办案</w:t>
      </w:r>
      <w:r>
        <w:rPr>
          <w:rFonts w:hint="eastAsia" w:ascii="仿宋_GB2312" w:eastAsia="仿宋_GB2312"/>
          <w:b w:val="0"/>
          <w:sz w:val="32"/>
          <w:szCs w:val="32"/>
          <w:lang w:eastAsia="zh-CN"/>
        </w:rPr>
        <w:t>支出</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一般公共服务支出（类）组织事务（款）其他组织事务支出（项）：支出决算数为44.08万元，比上年决算减少2.60万元，下降5.57%，主要原因是：本年度下半年访惠聚工作人员</w:t>
      </w:r>
      <w:r>
        <w:rPr>
          <w:rFonts w:hint="eastAsia" w:ascii="仿宋_GB2312" w:eastAsia="仿宋_GB2312"/>
          <w:b w:val="0"/>
          <w:sz w:val="32"/>
          <w:szCs w:val="32"/>
          <w:lang w:eastAsia="zh-CN"/>
        </w:rPr>
        <w:t>减少</w:t>
      </w:r>
      <w:r>
        <w:rPr>
          <w:rFonts w:hint="eastAsia" w:ascii="仿宋_GB2312" w:eastAsia="仿宋_GB2312"/>
          <w:b w:val="0"/>
          <w:sz w:val="32"/>
          <w:szCs w:val="32"/>
          <w:lang w:val="en-US" w:eastAsia="zh-CN"/>
        </w:rPr>
        <w:t>10人</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一般公共服务支出（类）统战事务（款）宗教事务（项）：支出决算数为0.94万元，比上年决算增加0.44万元，增长88.00%，主要原因是：本年度寺管会开展活动次数增加，</w:t>
      </w:r>
      <w:r>
        <w:rPr>
          <w:rFonts w:hint="eastAsia" w:ascii="仿宋_GB2312" w:eastAsia="仿宋_GB2312"/>
          <w:b w:val="0"/>
          <w:sz w:val="32"/>
          <w:szCs w:val="32"/>
          <w:lang w:eastAsia="zh-CN"/>
        </w:rPr>
        <w:t>支出增加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一般公共服务支出（类）统战事务（款）其他统战事务支出（项）：支出决算数为7.27万元，比上年决算增加1.71万元，增长30.76%，主要原因是：本年度寺管会人员生活补贴</w:t>
      </w:r>
      <w:r>
        <w:rPr>
          <w:rFonts w:hint="eastAsia" w:ascii="仿宋_GB2312" w:eastAsia="仿宋_GB2312"/>
          <w:b w:val="0"/>
          <w:sz w:val="32"/>
          <w:szCs w:val="32"/>
          <w:lang w:eastAsia="zh-CN"/>
        </w:rPr>
        <w:t>标准提高</w:t>
      </w:r>
      <w:r>
        <w:rPr>
          <w:rFonts w:ascii="仿宋_GB2312" w:eastAsia="仿宋_GB2312"/>
          <w:b w:val="0"/>
          <w:sz w:val="32"/>
          <w:szCs w:val="32"/>
        </w:rPr>
        <w:t>，</w:t>
      </w:r>
      <w:r>
        <w:rPr>
          <w:rFonts w:hint="eastAsia" w:ascii="仿宋_GB2312" w:eastAsia="仿宋_GB2312"/>
          <w:b w:val="0"/>
          <w:sz w:val="32"/>
          <w:szCs w:val="32"/>
          <w:lang w:eastAsia="zh-CN"/>
        </w:rPr>
        <w:t>支出</w:t>
      </w:r>
      <w:r>
        <w:rPr>
          <w:rFonts w:ascii="仿宋_GB2312" w:eastAsia="仿宋_GB2312"/>
          <w:b w:val="0"/>
          <w:sz w:val="32"/>
          <w:szCs w:val="32"/>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教育支出（类）进修及培训（款）培训支出（项）：支出决算数为1.57万元，比上年决算减少0.63万元，下降28.64%，主要原因是：本年度</w:t>
      </w:r>
      <w:r>
        <w:rPr>
          <w:rFonts w:hint="eastAsia" w:ascii="仿宋_GB2312" w:eastAsia="仿宋_GB2312"/>
          <w:b w:val="0"/>
          <w:sz w:val="32"/>
          <w:szCs w:val="32"/>
          <w:lang w:eastAsia="zh-CN"/>
        </w:rPr>
        <w:t>外出培训减少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文化旅游体育与传媒支出（类）文化和旅游（款）其他文化和旅游支出（项）：支出决算数为4.70万元，比上年决算增加0.40万元，增长9.30%，主要原因是：</w:t>
      </w:r>
      <w:r>
        <w:rPr>
          <w:rFonts w:hint="eastAsia" w:ascii="仿宋_GB2312" w:eastAsia="仿宋_GB2312"/>
          <w:b w:val="0"/>
          <w:sz w:val="32"/>
          <w:szCs w:val="32"/>
          <w:lang w:eastAsia="zh-CN"/>
        </w:rPr>
        <w:t>本年社区开展各类群众文化活动增加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文化旅游体育与传媒支出（类）其他文化旅游体育与传媒支出（款）其他文化旅游体育与传媒支出（项）：支出决算数为4.00万元，比上年决算增加3.30万元，增长471.43%，主要原因是：</w:t>
      </w:r>
      <w:r>
        <w:rPr>
          <w:rFonts w:hint="eastAsia" w:ascii="仿宋_GB2312" w:eastAsia="仿宋_GB2312"/>
          <w:b w:val="0"/>
          <w:sz w:val="32"/>
          <w:szCs w:val="32"/>
          <w:lang w:eastAsia="zh-CN"/>
        </w:rPr>
        <w:t>本年社区开展各类群众文化活动增加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社会保障和就业支出（类）行政事业单位养老支出（款）行政单位离退休（项）：支出决算数为1.86万元，比上年决算增加0.58万元，增长45.31%，主要原因是：一是本年度增加一名退休人员；二是本年度</w:t>
      </w:r>
      <w:r>
        <w:rPr>
          <w:rFonts w:hint="eastAsia" w:ascii="仿宋_GB2312" w:eastAsia="仿宋_GB2312"/>
          <w:b w:val="0"/>
          <w:sz w:val="32"/>
          <w:szCs w:val="32"/>
          <w:lang w:eastAsia="zh-CN"/>
        </w:rPr>
        <w:t>支付</w:t>
      </w:r>
      <w:r>
        <w:rPr>
          <w:rFonts w:ascii="仿宋_GB2312" w:eastAsia="仿宋_GB2312"/>
          <w:b w:val="0"/>
          <w:sz w:val="32"/>
          <w:szCs w:val="32"/>
        </w:rPr>
        <w:t>退休人员2023年绩效奖金</w:t>
      </w:r>
      <w:r>
        <w:rPr>
          <w:rFonts w:hint="eastAsia" w:ascii="仿宋_GB2312" w:eastAsia="仿宋_GB2312"/>
          <w:b w:val="0"/>
          <w:sz w:val="32"/>
          <w:szCs w:val="32"/>
          <w:lang w:eastAsia="zh-CN"/>
        </w:rPr>
        <w:t>标准提高</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社会保障和就业支出（类）行政事业单位养老支出（款）机关事业单位基本养老保险缴费支出（项）：支出决算数为78.15万元，比上年决算减少7.05万元，下降8.27%，主要原因是：本年度长聘人员辞职32人</w:t>
      </w:r>
      <w:r>
        <w:rPr>
          <w:rFonts w:hint="eastAsia" w:ascii="仿宋_GB2312" w:eastAsia="仿宋_GB2312"/>
          <w:b w:val="0"/>
          <w:sz w:val="32"/>
          <w:szCs w:val="32"/>
          <w:lang w:eastAsia="zh-CN"/>
        </w:rPr>
        <w:t>，支出减少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社会保障和就业支出（类）行政事业单位养老支出（款）机关事业单位职业年金缴费支出（项）：支出决算数为13.73万元，比上年决算增加8.11万元，增长144.31%，主要原因是：本年度增加退休人员1人，</w:t>
      </w:r>
      <w:r>
        <w:rPr>
          <w:rFonts w:hint="eastAsia" w:ascii="仿宋_GB2312" w:eastAsia="仿宋_GB2312"/>
          <w:b w:val="0"/>
          <w:sz w:val="32"/>
          <w:szCs w:val="32"/>
          <w:lang w:eastAsia="zh-CN"/>
        </w:rPr>
        <w:t>补缴</w:t>
      </w:r>
      <w:r>
        <w:rPr>
          <w:rFonts w:ascii="仿宋_GB2312" w:eastAsia="仿宋_GB2312"/>
          <w:b w:val="0"/>
          <w:sz w:val="32"/>
          <w:szCs w:val="32"/>
        </w:rPr>
        <w:t>职业年金。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社会保障和就业支出（类）就业补助（款）公益性岗位补贴（项）：支出决算数为0.00万元，比上年决算减少109.82万元，下降100.00%，主要原因是：本年度</w:t>
      </w:r>
      <w:r>
        <w:rPr>
          <w:rFonts w:hint="eastAsia" w:ascii="仿宋_GB2312" w:eastAsia="仿宋_GB2312"/>
          <w:b w:val="0"/>
          <w:sz w:val="32"/>
          <w:szCs w:val="32"/>
          <w:lang w:eastAsia="zh-CN"/>
        </w:rPr>
        <w:t>未安排此科目</w:t>
      </w:r>
      <w:r>
        <w:rPr>
          <w:rFonts w:ascii="仿宋_GB2312" w:eastAsia="仿宋_GB2312"/>
          <w:b w:val="0"/>
          <w:sz w:val="32"/>
          <w:szCs w:val="32"/>
        </w:rPr>
        <w:t>预算。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社会保障和就业支出（类）临时救助（款）临时救助支出（项）：支出决算数为0.40万元，比上年决算增加0.40万元，增长100.00%，主要原因是：上年度未安排此项预算，本年度新增此项目，发放纾困救助金。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卫生健康支出（类）行政事业单位医疗（款）行政单位医疗（项）：支出决算数为35.58万元，比上年决算增加2.51万元，增长7.59%，主要原因是：本年度职工行政单位医疗保险缴费基数调</w:t>
      </w:r>
      <w:r>
        <w:rPr>
          <w:rFonts w:hint="eastAsia" w:ascii="仿宋_GB2312" w:eastAsia="仿宋_GB2312"/>
          <w:b w:val="0"/>
          <w:sz w:val="32"/>
          <w:szCs w:val="32"/>
          <w:lang w:eastAsia="zh-CN"/>
        </w:rPr>
        <w:t>增</w:t>
      </w:r>
      <w:r>
        <w:rPr>
          <w:rFonts w:ascii="仿宋_GB2312" w:eastAsia="仿宋_GB2312"/>
          <w:b w:val="0"/>
          <w:sz w:val="32"/>
          <w:szCs w:val="32"/>
        </w:rPr>
        <w:t>，</w:t>
      </w:r>
      <w:r>
        <w:rPr>
          <w:rFonts w:hint="eastAsia" w:ascii="仿宋_GB2312" w:eastAsia="仿宋_GB2312"/>
          <w:b w:val="0"/>
          <w:sz w:val="32"/>
          <w:szCs w:val="32"/>
          <w:lang w:eastAsia="zh-CN"/>
        </w:rPr>
        <w:t>支出</w:t>
      </w:r>
      <w:r>
        <w:rPr>
          <w:rFonts w:ascii="仿宋_GB2312" w:eastAsia="仿宋_GB2312"/>
          <w:b w:val="0"/>
          <w:sz w:val="32"/>
          <w:szCs w:val="32"/>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卫生健康支出（类）行政事业单位医疗（款）公务员医疗补助（项）：支出决算数为3.56万元，比上年决算减少0.24万元，下降6.32%，主要原因是：本年度行政编新增退休1人，</w:t>
      </w:r>
      <w:r>
        <w:rPr>
          <w:rFonts w:hint="eastAsia" w:ascii="仿宋_GB2312" w:eastAsia="仿宋_GB2312"/>
          <w:b w:val="0"/>
          <w:sz w:val="32"/>
          <w:szCs w:val="32"/>
          <w:lang w:eastAsia="zh-CN"/>
        </w:rPr>
        <w:t>支出</w:t>
      </w:r>
      <w:r>
        <w:rPr>
          <w:rFonts w:ascii="仿宋_GB2312" w:eastAsia="仿宋_GB2312"/>
          <w:b w:val="0"/>
          <w:sz w:val="32"/>
          <w:szCs w:val="32"/>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住房保障支出（类）住房改革支出（款）住房公积金（项）：支出决算数为62.49万元，比上年决算增加6.58万元，增长11.77%，主要原因是：本年度职工公积金</w:t>
      </w:r>
      <w:r>
        <w:rPr>
          <w:rFonts w:hint="eastAsia" w:ascii="仿宋_GB2312" w:eastAsia="仿宋_GB2312"/>
          <w:b w:val="0"/>
          <w:sz w:val="32"/>
          <w:szCs w:val="32"/>
          <w:lang w:eastAsia="zh-CN"/>
        </w:rPr>
        <w:t>缴费</w:t>
      </w:r>
      <w:r>
        <w:rPr>
          <w:rFonts w:ascii="仿宋_GB2312" w:eastAsia="仿宋_GB2312"/>
          <w:b w:val="0"/>
          <w:sz w:val="32"/>
          <w:szCs w:val="32"/>
        </w:rPr>
        <w:t>基数调</w:t>
      </w:r>
      <w:r>
        <w:rPr>
          <w:rFonts w:hint="eastAsia" w:ascii="仿宋_GB2312" w:eastAsia="仿宋_GB2312"/>
          <w:b w:val="0"/>
          <w:sz w:val="32"/>
          <w:szCs w:val="32"/>
          <w:lang w:eastAsia="zh-CN"/>
        </w:rPr>
        <w:t>增</w:t>
      </w:r>
      <w:r>
        <w:rPr>
          <w:rFonts w:ascii="仿宋_GB2312" w:eastAsia="仿宋_GB2312"/>
          <w:b w:val="0"/>
          <w:sz w:val="32"/>
          <w:szCs w:val="32"/>
        </w:rPr>
        <w:t>，住房公积金支出增加。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其他支出（类）其他支出（款）其他支出（项）：支出决算数为2.20万元，比上年决算增加2.20万元，增长100.00%，主要原因是：上年度未安排此项预算，本年度新增此项目。</w:t>
      </w:r>
      <w:r>
        <w:rPr>
          <w:rFonts w:hint="eastAsia" w:ascii="仿宋_GB2312" w:eastAsia="仿宋_GB2312"/>
          <w:b w:val="0"/>
          <w:sz w:val="32"/>
          <w:szCs w:val="32"/>
          <w:lang w:eastAsia="zh-CN"/>
        </w:rPr>
        <w:t>为</w:t>
      </w:r>
      <w:r>
        <w:rPr>
          <w:rFonts w:ascii="仿宋_GB2312" w:eastAsia="仿宋_GB2312"/>
          <w:b w:val="0"/>
          <w:sz w:val="32"/>
          <w:szCs w:val="32"/>
        </w:rPr>
        <w:t>州派第一书记为民办实</w:t>
      </w:r>
      <w:r>
        <w:rPr>
          <w:rFonts w:hint="eastAsia" w:ascii="仿宋_GB2312" w:eastAsia="仿宋_GB2312"/>
          <w:b w:val="0"/>
          <w:sz w:val="32"/>
          <w:szCs w:val="32"/>
          <w:lang w:val="en-US" w:eastAsia="zh-CN"/>
        </w:rPr>
        <w:t>事</w:t>
      </w:r>
      <w:bookmarkStart w:id="0" w:name="_GoBack"/>
      <w:bookmarkEnd w:id="0"/>
      <w:r>
        <w:rPr>
          <w:rFonts w:ascii="仿宋_GB2312" w:eastAsia="仿宋_GB2312"/>
          <w:b w:val="0"/>
          <w:sz w:val="32"/>
          <w:szCs w:val="32"/>
        </w:rPr>
        <w:t>经费</w:t>
      </w:r>
      <w:r>
        <w:rPr>
          <w:rFonts w:hint="eastAsia" w:ascii="仿宋_GB2312" w:eastAsia="仿宋_GB2312"/>
          <w:b w:val="0"/>
          <w:sz w:val="32"/>
          <w:szCs w:val="32"/>
          <w:lang w:eastAsia="zh-CN"/>
        </w:rPr>
        <w:t>，主要用于慰问困难群众。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1,883.35万元，其中：人员经费1,703.34万元，包括：基本工资、津贴补贴、奖金、机关事业单位基本养老保险缴费、职业年金缴费、职工基本医疗保险缴费、公务员医疗补助缴费、其他社会保障缴费、住房公积金、其他工资福利支出、退休费、生活补助、救济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公用经费180.01万元，包括：办公费、水费、电费、邮电费、取暖费、差旅费、租赁费、培训费、劳务费、工会经费、公务用车运行维护费和办公设备购置。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2024年度国有资本经营预算财政拨款收入总计34.90万元，其中：年初结转和结余0.00万元，本年收入34.90万元。国有资本经营预算财政拨款支出总计34.90万元，其中：年末结转和结余0.00万元，本年支出34.90万元。</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国有资本经营预算财政拨款收入支出总体与上年相比，减少20.30万元，下降36.78%，主要原因是：</w:t>
      </w:r>
      <w:r>
        <w:rPr>
          <w:rFonts w:hint="eastAsia" w:ascii="仿宋_GB2312" w:eastAsia="仿宋_GB2312"/>
          <w:b w:val="0"/>
          <w:sz w:val="32"/>
          <w:szCs w:val="32"/>
          <w:lang w:eastAsia="zh-CN"/>
        </w:rPr>
        <w:t>上年支出中包含</w:t>
      </w:r>
      <w:r>
        <w:rPr>
          <w:rFonts w:hint="eastAsia" w:ascii="仿宋_GB2312" w:eastAsia="仿宋_GB2312"/>
          <w:b w:val="0"/>
          <w:sz w:val="32"/>
          <w:szCs w:val="32"/>
          <w:lang w:val="en-US" w:eastAsia="zh-CN"/>
        </w:rPr>
        <w:t>22年结转资金</w:t>
      </w:r>
      <w:r>
        <w:rPr>
          <w:rFonts w:ascii="仿宋_GB2312" w:eastAsia="仿宋_GB2312"/>
          <w:b w:val="0"/>
          <w:sz w:val="32"/>
          <w:szCs w:val="32"/>
        </w:rPr>
        <w:t>。与年初预算相比，年初预算数2.06万元，决算数34.90万元，预决算差异率1,594.17%，主要原因是：</w:t>
      </w:r>
      <w:r>
        <w:rPr>
          <w:rFonts w:hint="eastAsia" w:ascii="仿宋_GB2312" w:eastAsia="仿宋_GB2312"/>
          <w:b w:val="0"/>
          <w:sz w:val="32"/>
          <w:szCs w:val="32"/>
          <w:lang w:eastAsia="zh-CN"/>
        </w:rPr>
        <w:t>年初</w:t>
      </w:r>
      <w:r>
        <w:rPr>
          <w:rFonts w:ascii="仿宋_GB2312" w:eastAsia="仿宋_GB2312"/>
          <w:b w:val="0"/>
          <w:sz w:val="32"/>
          <w:szCs w:val="32"/>
        </w:rPr>
        <w:t>预算</w:t>
      </w:r>
      <w:r>
        <w:rPr>
          <w:rFonts w:hint="eastAsia" w:ascii="仿宋_GB2312" w:eastAsia="仿宋_GB2312"/>
          <w:b w:val="0"/>
          <w:sz w:val="32"/>
          <w:szCs w:val="32"/>
          <w:lang w:eastAsia="zh-CN"/>
        </w:rPr>
        <w:t>是</w:t>
      </w:r>
      <w:r>
        <w:rPr>
          <w:rFonts w:hint="eastAsia" w:ascii="仿宋_GB2312" w:eastAsia="仿宋_GB2312"/>
          <w:b w:val="0"/>
          <w:sz w:val="32"/>
          <w:szCs w:val="32"/>
          <w:lang w:val="en-US" w:eastAsia="zh-CN"/>
        </w:rPr>
        <w:t>23年</w:t>
      </w:r>
      <w:r>
        <w:rPr>
          <w:rFonts w:ascii="仿宋_GB2312" w:eastAsia="仿宋_GB2312"/>
          <w:b w:val="0"/>
          <w:sz w:val="32"/>
          <w:szCs w:val="32"/>
        </w:rPr>
        <w:t>结转</w:t>
      </w:r>
      <w:r>
        <w:rPr>
          <w:rFonts w:hint="eastAsia" w:ascii="仿宋_GB2312" w:eastAsia="仿宋_GB2312"/>
          <w:b w:val="0"/>
          <w:sz w:val="32"/>
          <w:szCs w:val="32"/>
          <w:lang w:eastAsia="zh-CN"/>
        </w:rPr>
        <w:t>资金</w:t>
      </w:r>
      <w:r>
        <w:rPr>
          <w:rFonts w:ascii="仿宋_GB2312" w:eastAsia="仿宋_GB2312"/>
          <w:b w:val="0"/>
          <w:sz w:val="32"/>
          <w:szCs w:val="32"/>
        </w:rPr>
        <w:t>，年中</w:t>
      </w:r>
      <w:r>
        <w:rPr>
          <w:rFonts w:hint="eastAsia" w:ascii="仿宋_GB2312" w:eastAsia="仿宋_GB2312"/>
          <w:b w:val="0"/>
          <w:sz w:val="32"/>
          <w:szCs w:val="32"/>
          <w:lang w:eastAsia="zh-CN"/>
        </w:rPr>
        <w:t>下达了</w:t>
      </w:r>
      <w:r>
        <w:rPr>
          <w:rFonts w:ascii="仿宋_GB2312" w:eastAsia="仿宋_GB2312"/>
          <w:b w:val="0"/>
          <w:sz w:val="32"/>
          <w:szCs w:val="32"/>
        </w:rPr>
        <w:t>国有企业退休人员社会化管理补助</w:t>
      </w:r>
      <w:r>
        <w:rPr>
          <w:rFonts w:hint="eastAsia" w:ascii="仿宋_GB2312" w:eastAsia="仿宋_GB2312"/>
          <w:b w:val="0"/>
          <w:sz w:val="32"/>
          <w:szCs w:val="32"/>
          <w:lang w:eastAsia="zh-CN"/>
        </w:rPr>
        <w:t>，所以支出增加。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国有资本经营预算财政拨款支出34.90万元。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国有资本经营预算支出（类）解决历史遗留问题及改革成本支出（款）国有企业退休人员社会化管理补助支出（项）：支出决算数为34.90万元，比上年决算减少20.30万元，下降36.78%，主要原因是：</w:t>
      </w:r>
      <w:r>
        <w:rPr>
          <w:rFonts w:hint="eastAsia" w:ascii="仿宋_GB2312" w:eastAsia="仿宋_GB2312"/>
          <w:b w:val="0"/>
          <w:sz w:val="32"/>
          <w:szCs w:val="32"/>
          <w:lang w:eastAsia="zh-CN"/>
        </w:rPr>
        <w:t>上年支出中包含</w:t>
      </w:r>
      <w:r>
        <w:rPr>
          <w:rFonts w:hint="eastAsia" w:ascii="仿宋_GB2312" w:eastAsia="仿宋_GB2312"/>
          <w:b w:val="0"/>
          <w:sz w:val="32"/>
          <w:szCs w:val="32"/>
          <w:lang w:val="en-US" w:eastAsia="zh-CN"/>
        </w:rPr>
        <w:t>22年结转资金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1.31万元，比上年减少0.43万元，下降24.71%，主要原因是：本单位厉行节约，严格控制三公经费支出。其中：因公出国（境）费支出0.00万元,占0.00%，与上年相比无变化，主要原因是：本单位无因公出国（境）费支出，与上年相比无变动；公务用车购置及运行维护费支出1.31万元，占100.00%，比上年减少0.43万元，下降24.71%，主要原因是：本单位厉行节约，严格控制三公经费支出；公务接待费支出0.00万元，占0.00%，与上年相比无变化，主要原因是：本单位无公务接待经费支出，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因公出国（境）费支出0.00万元，开支内容包括本单位无因公出国（境）人员，无此项经费支出。单位全年安排的因公出国（境）团组0个，因公出国（境）0人次。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1.31万元，其中：公务用车购置费0.00万元，公务用车运行维护费1.31万元。公务用车运行维护费开支内容包括公务用车运行维护费开支内容包括日常公务、环境执法、项目验收监督等公务车的燃料费、维修费、保险费等支出。公务用车购置数0辆，公务用车保有量5辆。国有资产占用情况中固定资产车辆5辆，与公务用车保有量差异原因是：本单位</w:t>
      </w:r>
      <w:r>
        <w:rPr>
          <w:rFonts w:hint="eastAsia" w:ascii="仿宋_GB2312" w:eastAsia="仿宋_GB2312"/>
          <w:b w:val="0"/>
          <w:sz w:val="32"/>
          <w:szCs w:val="32"/>
          <w:lang w:eastAsia="zh-CN"/>
        </w:rPr>
        <w:t>有</w:t>
      </w:r>
      <w:r>
        <w:rPr>
          <w:rFonts w:ascii="仿宋_GB2312" w:eastAsia="仿宋_GB2312"/>
          <w:b w:val="0"/>
          <w:sz w:val="32"/>
          <w:szCs w:val="32"/>
        </w:rPr>
        <w:t>编制</w:t>
      </w:r>
      <w:r>
        <w:rPr>
          <w:rFonts w:hint="eastAsia" w:ascii="仿宋_GB2312" w:eastAsia="仿宋_GB2312"/>
          <w:b w:val="0"/>
          <w:sz w:val="32"/>
          <w:szCs w:val="32"/>
          <w:lang w:eastAsia="zh-CN"/>
        </w:rPr>
        <w:t>车辆</w:t>
      </w:r>
      <w:r>
        <w:rPr>
          <w:rFonts w:ascii="仿宋_GB2312" w:eastAsia="仿宋_GB2312"/>
          <w:b w:val="0"/>
          <w:sz w:val="32"/>
          <w:szCs w:val="32"/>
        </w:rPr>
        <w:t>4辆，</w:t>
      </w:r>
      <w:r>
        <w:rPr>
          <w:rFonts w:hint="eastAsia" w:ascii="仿宋_GB2312" w:eastAsia="仿宋_GB2312"/>
          <w:b w:val="0"/>
          <w:sz w:val="32"/>
          <w:szCs w:val="32"/>
          <w:lang w:eastAsia="zh-CN"/>
        </w:rPr>
        <w:t>无编制车辆</w:t>
      </w:r>
      <w:r>
        <w:rPr>
          <w:rFonts w:ascii="仿宋_GB2312" w:eastAsia="仿宋_GB2312"/>
          <w:b w:val="0"/>
          <w:sz w:val="32"/>
          <w:szCs w:val="32"/>
        </w:rPr>
        <w:t>1辆，共计5辆，无差异。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公务接待费0.00万元，开支内容包括本单位无公务接待人员，无此项经费支出。单位全年安排的国内公务接待0批次，0人次。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1.74万元，决算数1.31万元，预决算差异率-24.71%，主要原因是：本单位厉行节约，严格控制三公经费支出。其中：因公出国（境）费全年预算数0.00万元，决算数0.00万元，预决算差异率0.00%，主要原因是：本单位无因公出国（境）人员，无此项经费支出。公务用车购置费全年预算数0.00万元，决算数0.00万元，预决算差异率0.00%，主要原因是：本单位厉行节约要求，从严控制“三公”经费开支，预决算无差异。公务用车运行维护费全年预算数1.74万元，决算数1.31万元，预决算差异率-24.71%，主要原因是：本单位厉行节约，严格控制公务用车运行支出。公务接待费全年预算数0.00万元，决算数0.00万元，预决算差异率0.00%，主要原因是：本单位无公务接待，无此项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2024年度库尔勒市朝阳街道办事处单位机关运行经费支出180.01万元，比上年增加147.92万元，增长460.95%，主要原因是：本年度</w:t>
      </w:r>
      <w:r>
        <w:rPr>
          <w:rFonts w:hint="eastAsia" w:ascii="仿宋_GB2312" w:eastAsia="仿宋_GB2312"/>
          <w:b w:val="0"/>
          <w:sz w:val="32"/>
          <w:szCs w:val="32"/>
          <w:lang w:eastAsia="zh-CN"/>
        </w:rPr>
        <w:t>支出</w:t>
      </w:r>
      <w:r>
        <w:rPr>
          <w:rFonts w:ascii="仿宋_GB2312" w:eastAsia="仿宋_GB2312"/>
          <w:b w:val="0"/>
          <w:sz w:val="32"/>
          <w:szCs w:val="32"/>
        </w:rPr>
        <w:t>临聘人员的劳务</w:t>
      </w:r>
      <w:r>
        <w:rPr>
          <w:rFonts w:hint="eastAsia" w:ascii="仿宋_GB2312" w:eastAsia="仿宋_GB2312"/>
          <w:b w:val="0"/>
          <w:sz w:val="32"/>
          <w:szCs w:val="32"/>
          <w:lang w:eastAsia="zh-CN"/>
        </w:rPr>
        <w:t>费</w:t>
      </w:r>
      <w:r>
        <w:rPr>
          <w:rFonts w:ascii="仿宋_GB2312" w:eastAsia="仿宋_GB2312"/>
          <w:b w:val="0"/>
          <w:sz w:val="32"/>
          <w:szCs w:val="32"/>
        </w:rPr>
        <w:t>，</w:t>
      </w:r>
      <w:r>
        <w:rPr>
          <w:rFonts w:hint="eastAsia" w:ascii="仿宋_GB2312" w:eastAsia="仿宋_GB2312"/>
          <w:b w:val="0"/>
          <w:sz w:val="32"/>
          <w:szCs w:val="32"/>
          <w:lang w:eastAsia="zh-CN"/>
        </w:rPr>
        <w:t>街道社区办公费增加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2024年度政府采购支出总额7.69万元，其中：政府采购货物支出1.34万元、政府采购工程支出1.71万元、政府采购服务支出4.64万元。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授予中小企业合同金额7.69万元，占政府采购支出总额的100.00%，其中：授予小微企业合同金额5.64万元，占政府采购支出总额的73.34%。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3,626.00平方米，价值606.52万元。车辆5辆，价值45.04万元，其中：副部（省）级及以上领导用车0辆、主要负责人用车0辆、机要通信用车0辆、应急保障用车0辆、执法执勤用车0辆、特种专业技术用车0辆、离退休干部服务用车0辆、其他用车5辆，其他用车主要是：街道、纪工委和各社区开展业务用车;单价100万元（含）以上设备（不含车辆）0台。</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1,938.25万元，实际执行总额1,938.25万元；预算绩效评价项目11个，全年预算数145.28万元，全年执行数137.06万元。预算绩效管理取得的成效：在项目资金使用过程中，严格落实把关，再三审核。同时做好监督检查工作，严格按照项目管理规范进行，按照项目资金使用范围做好审核工作，让项目资金落于实处。 在项目完成后，通过利益相关深度，公众参与评价，通过问卷满意度调查，盛情邀请退休人员进行评价填写，将群众的意见纳入评价结果，做好调查工作。发现的问题及原因：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下一步改进措施：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anchor distT="0" distB="0" distL="114300" distR="114300" simplePos="0" relativeHeight="251659264" behindDoc="0" locked="0" layoutInCell="1" allowOverlap="1">
            <wp:simplePos x="0" y="0"/>
            <wp:positionH relativeFrom="column">
              <wp:posOffset>-53340</wp:posOffset>
            </wp:positionH>
            <wp:positionV relativeFrom="page">
              <wp:posOffset>1357630</wp:posOffset>
            </wp:positionV>
            <wp:extent cx="5479415" cy="6643370"/>
            <wp:effectExtent l="0" t="0" r="6985" b="508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5479415" cy="664337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anchor distT="0" distB="0" distL="114300" distR="114300" simplePos="0" relativeHeight="251660288" behindDoc="0" locked="0" layoutInCell="1" allowOverlap="1">
            <wp:simplePos x="0" y="0"/>
            <wp:positionH relativeFrom="column">
              <wp:posOffset>0</wp:posOffset>
            </wp:positionH>
            <wp:positionV relativeFrom="page">
              <wp:posOffset>1239520</wp:posOffset>
            </wp:positionV>
            <wp:extent cx="5475605" cy="7153910"/>
            <wp:effectExtent l="0" t="0" r="10795" b="889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5475605" cy="71539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anchor distT="0" distB="0" distL="114300" distR="114300" simplePos="0" relativeHeight="251661312" behindDoc="0" locked="0" layoutInCell="1" allowOverlap="1">
            <wp:simplePos x="0" y="0"/>
            <wp:positionH relativeFrom="column">
              <wp:posOffset>0</wp:posOffset>
            </wp:positionH>
            <wp:positionV relativeFrom="page">
              <wp:posOffset>1076960</wp:posOffset>
            </wp:positionV>
            <wp:extent cx="5478145" cy="7594600"/>
            <wp:effectExtent l="0" t="0" r="8255" b="6350"/>
            <wp:wrapNone/>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stretch>
                      <a:fillRect/>
                    </a:stretch>
                  </pic:blipFill>
                  <pic:spPr>
                    <a:xfrm>
                      <a:off x="0" y="0"/>
                      <a:ext cx="5478145" cy="75946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bidi w:val="0"/>
        <w:rPr>
          <w:rFonts w:asciiTheme="minorHAnsi" w:hAnsiTheme="minorHAnsi" w:eastAsiaTheme="minorEastAsia" w:cstheme="minorBidi"/>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195"/>
        </w:tabs>
        <w:bidi w:val="0"/>
        <w:jc w:val="left"/>
        <w:rPr>
          <w:rFonts w:hint="eastAsia"/>
          <w:lang w:eastAsia="zh-CN"/>
        </w:rPr>
      </w:pPr>
      <w:r>
        <w:rPr>
          <w:rFonts w:hint="eastAsia"/>
          <w:lang w:eastAsia="zh-CN"/>
        </w:rPr>
        <w:tab/>
      </w:r>
    </w:p>
    <w:p>
      <w:pPr>
        <w:tabs>
          <w:tab w:val="left" w:pos="1195"/>
        </w:tabs>
        <w:bidi w:val="0"/>
        <w:jc w:val="left"/>
        <w:rPr>
          <w:rFonts w:hint="eastAsia"/>
          <w:lang w:eastAsia="zh-CN"/>
        </w:rPr>
      </w:pPr>
    </w:p>
    <w:p>
      <w:pPr>
        <w:tabs>
          <w:tab w:val="left" w:pos="1195"/>
        </w:tabs>
        <w:bidi w:val="0"/>
        <w:jc w:val="left"/>
      </w:pPr>
      <w:r>
        <w:drawing>
          <wp:anchor distT="0" distB="0" distL="114300" distR="114300" simplePos="0" relativeHeight="251662336" behindDoc="0" locked="0" layoutInCell="1" allowOverlap="1">
            <wp:simplePos x="0" y="0"/>
            <wp:positionH relativeFrom="column">
              <wp:posOffset>0</wp:posOffset>
            </wp:positionH>
            <wp:positionV relativeFrom="page">
              <wp:posOffset>914400</wp:posOffset>
            </wp:positionV>
            <wp:extent cx="5480050" cy="7244715"/>
            <wp:effectExtent l="0" t="0" r="6350" b="13335"/>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5480050" cy="7244715"/>
                    </a:xfrm>
                    <a:prstGeom prst="rect">
                      <a:avLst/>
                    </a:prstGeom>
                    <a:noFill/>
                    <a:ln>
                      <a:noFill/>
                    </a:ln>
                  </pic:spPr>
                </pic:pic>
              </a:graphicData>
            </a:graphic>
          </wp:anchor>
        </w:drawing>
      </w:r>
    </w:p>
    <w:p>
      <w:pPr>
        <w:bidi w:val="0"/>
        <w:rPr>
          <w:rFonts w:hint="eastAsia" w:asciiTheme="minorHAnsi" w:hAnsiTheme="minorHAnsi" w:eastAsiaTheme="minorEastAsia" w:cstheme="minorBidi"/>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1479"/>
        </w:tabs>
        <w:bidi w:val="0"/>
        <w:jc w:val="left"/>
        <w:rPr>
          <w:rFonts w:hint="eastAsia"/>
          <w:lang w:eastAsia="zh-CN"/>
        </w:rPr>
      </w:pPr>
      <w:r>
        <w:rPr>
          <w:rFonts w:hint="eastAsia"/>
          <w:lang w:eastAsia="zh-CN"/>
        </w:rPr>
        <w:tab/>
      </w: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42545</wp:posOffset>
            </wp:positionH>
            <wp:positionV relativeFrom="page">
              <wp:posOffset>956310</wp:posOffset>
            </wp:positionV>
            <wp:extent cx="5484495" cy="7767320"/>
            <wp:effectExtent l="0" t="0" r="1905" b="5080"/>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stretch>
                      <a:fillRect/>
                    </a:stretch>
                  </pic:blipFill>
                  <pic:spPr>
                    <a:xfrm>
                      <a:off x="0" y="0"/>
                      <a:ext cx="5484495" cy="7767320"/>
                    </a:xfrm>
                    <a:prstGeom prst="rect">
                      <a:avLst/>
                    </a:prstGeom>
                    <a:noFill/>
                    <a:ln>
                      <a:noFill/>
                    </a:ln>
                  </pic:spPr>
                </pic:pic>
              </a:graphicData>
            </a:graphic>
          </wp:anchor>
        </w:drawing>
      </w: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tabs>
          <w:tab w:val="left" w:pos="1479"/>
        </w:tabs>
        <w:bidi w:val="0"/>
        <w:jc w:val="left"/>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drawing>
          <wp:anchor distT="0" distB="0" distL="114300" distR="114300" simplePos="0" relativeHeight="251664384" behindDoc="0" locked="0" layoutInCell="1" allowOverlap="1">
            <wp:simplePos x="0" y="0"/>
            <wp:positionH relativeFrom="column">
              <wp:posOffset>0</wp:posOffset>
            </wp:positionH>
            <wp:positionV relativeFrom="page">
              <wp:posOffset>1565275</wp:posOffset>
            </wp:positionV>
            <wp:extent cx="5484495" cy="7117080"/>
            <wp:effectExtent l="0" t="0" r="1905" b="7620"/>
            <wp:wrapNone/>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5484495" cy="7117080"/>
                    </a:xfrm>
                    <a:prstGeom prst="rect">
                      <a:avLst/>
                    </a:prstGeom>
                    <a:noFill/>
                    <a:ln>
                      <a:noFill/>
                    </a:ln>
                  </pic:spPr>
                </pic:pic>
              </a:graphicData>
            </a:graphic>
          </wp:anchor>
        </w:drawing>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drawing>
          <wp:anchor distT="0" distB="0" distL="114300" distR="114300" simplePos="0" relativeHeight="251665408" behindDoc="0" locked="0" layoutInCell="1" allowOverlap="1">
            <wp:simplePos x="0" y="0"/>
            <wp:positionH relativeFrom="column">
              <wp:posOffset>0</wp:posOffset>
            </wp:positionH>
            <wp:positionV relativeFrom="page">
              <wp:posOffset>1402715</wp:posOffset>
            </wp:positionV>
            <wp:extent cx="5483860" cy="3104515"/>
            <wp:effectExtent l="0" t="0" r="2540" b="635"/>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0"/>
                    <a:stretch>
                      <a:fillRect/>
                    </a:stretch>
                  </pic:blipFill>
                  <pic:spPr>
                    <a:xfrm>
                      <a:off x="0" y="0"/>
                      <a:ext cx="5483860" cy="3104515"/>
                    </a:xfrm>
                    <a:prstGeom prst="rect">
                      <a:avLst/>
                    </a:prstGeom>
                    <a:noFill/>
                    <a:ln>
                      <a:noFill/>
                    </a:ln>
                  </pic:spPr>
                </pic:pic>
              </a:graphicData>
            </a:graphic>
          </wp:anchor>
        </w:drawing>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drawing>
          <wp:anchor distT="0" distB="0" distL="114300" distR="114300" simplePos="0" relativeHeight="251666432" behindDoc="0" locked="0" layoutInCell="1" allowOverlap="1">
            <wp:simplePos x="0" y="0"/>
            <wp:positionH relativeFrom="column">
              <wp:posOffset>0</wp:posOffset>
            </wp:positionH>
            <wp:positionV relativeFrom="page">
              <wp:posOffset>1228725</wp:posOffset>
            </wp:positionV>
            <wp:extent cx="5482590" cy="3187700"/>
            <wp:effectExtent l="0" t="0" r="3810" b="12700"/>
            <wp:wrapNone/>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1"/>
                    <a:stretch>
                      <a:fillRect/>
                    </a:stretch>
                  </pic:blipFill>
                  <pic:spPr>
                    <a:xfrm>
                      <a:off x="0" y="0"/>
                      <a:ext cx="5482590" cy="3187700"/>
                    </a:xfrm>
                    <a:prstGeom prst="rect">
                      <a:avLst/>
                    </a:prstGeom>
                    <a:noFill/>
                    <a:ln>
                      <a:noFill/>
                    </a:ln>
                  </pic:spPr>
                </pic:pic>
              </a:graphicData>
            </a:graphic>
          </wp:anchor>
        </w:drawing>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drawing>
          <wp:anchor distT="0" distB="0" distL="114300" distR="114300" simplePos="0" relativeHeight="251667456" behindDoc="0" locked="0" layoutInCell="1" allowOverlap="1">
            <wp:simplePos x="0" y="0"/>
            <wp:positionH relativeFrom="column">
              <wp:posOffset>0</wp:posOffset>
            </wp:positionH>
            <wp:positionV relativeFrom="page">
              <wp:posOffset>1239520</wp:posOffset>
            </wp:positionV>
            <wp:extent cx="5479415" cy="2789555"/>
            <wp:effectExtent l="0" t="0" r="6985" b="10795"/>
            <wp:wrapNone/>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2"/>
                    <a:stretch>
                      <a:fillRect/>
                    </a:stretch>
                  </pic:blipFill>
                  <pic:spPr>
                    <a:xfrm>
                      <a:off x="0" y="0"/>
                      <a:ext cx="5479415" cy="2789555"/>
                    </a:xfrm>
                    <a:prstGeom prst="rect">
                      <a:avLst/>
                    </a:prstGeom>
                    <a:noFill/>
                    <a:ln>
                      <a:noFill/>
                    </a:ln>
                  </pic:spPr>
                </pic:pic>
              </a:graphicData>
            </a:graphic>
          </wp:anchor>
        </w:drawing>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663CA"/>
    <w:rsid w:val="01EA084C"/>
    <w:rsid w:val="021C24F0"/>
    <w:rsid w:val="02A534A2"/>
    <w:rsid w:val="037F03ED"/>
    <w:rsid w:val="03E13B35"/>
    <w:rsid w:val="045156E4"/>
    <w:rsid w:val="05F0207D"/>
    <w:rsid w:val="06475862"/>
    <w:rsid w:val="06EC139D"/>
    <w:rsid w:val="07115CFC"/>
    <w:rsid w:val="07C820C7"/>
    <w:rsid w:val="08326B0A"/>
    <w:rsid w:val="09630994"/>
    <w:rsid w:val="0A0D6FB4"/>
    <w:rsid w:val="0A4820EA"/>
    <w:rsid w:val="0A563997"/>
    <w:rsid w:val="0AC51157"/>
    <w:rsid w:val="0B001B1B"/>
    <w:rsid w:val="0B05430A"/>
    <w:rsid w:val="0B1A6251"/>
    <w:rsid w:val="0BCD2EFC"/>
    <w:rsid w:val="0C2A0888"/>
    <w:rsid w:val="0C731FC4"/>
    <w:rsid w:val="0D3E70AE"/>
    <w:rsid w:val="0DE52A3C"/>
    <w:rsid w:val="0E1B1F48"/>
    <w:rsid w:val="0E645C22"/>
    <w:rsid w:val="0FA569DE"/>
    <w:rsid w:val="115B176D"/>
    <w:rsid w:val="11A92F3D"/>
    <w:rsid w:val="11AB6BFE"/>
    <w:rsid w:val="126B0108"/>
    <w:rsid w:val="1297426F"/>
    <w:rsid w:val="12BF46A4"/>
    <w:rsid w:val="13936BB0"/>
    <w:rsid w:val="14640F14"/>
    <w:rsid w:val="14811F93"/>
    <w:rsid w:val="15957104"/>
    <w:rsid w:val="16EA5D89"/>
    <w:rsid w:val="16F42A55"/>
    <w:rsid w:val="17541DAD"/>
    <w:rsid w:val="177F0F4D"/>
    <w:rsid w:val="17F04B34"/>
    <w:rsid w:val="188F1845"/>
    <w:rsid w:val="1A3872C5"/>
    <w:rsid w:val="1A4624E4"/>
    <w:rsid w:val="1A9C7275"/>
    <w:rsid w:val="1B106A27"/>
    <w:rsid w:val="1C0F0DF9"/>
    <w:rsid w:val="1C240C75"/>
    <w:rsid w:val="1F077E78"/>
    <w:rsid w:val="1F6A3901"/>
    <w:rsid w:val="1F931D7C"/>
    <w:rsid w:val="1FCE6160"/>
    <w:rsid w:val="1FE2788E"/>
    <w:rsid w:val="20A827C3"/>
    <w:rsid w:val="20CA70EF"/>
    <w:rsid w:val="20CB3432"/>
    <w:rsid w:val="2111140F"/>
    <w:rsid w:val="21497272"/>
    <w:rsid w:val="217A5861"/>
    <w:rsid w:val="21880625"/>
    <w:rsid w:val="23097A6E"/>
    <w:rsid w:val="250D213C"/>
    <w:rsid w:val="2545354C"/>
    <w:rsid w:val="256F5DAC"/>
    <w:rsid w:val="258E3C6F"/>
    <w:rsid w:val="25A12037"/>
    <w:rsid w:val="27BF7279"/>
    <w:rsid w:val="29160862"/>
    <w:rsid w:val="291D0CC6"/>
    <w:rsid w:val="2967210E"/>
    <w:rsid w:val="2A6F17A6"/>
    <w:rsid w:val="2A806E05"/>
    <w:rsid w:val="2AB7142F"/>
    <w:rsid w:val="2B2A37DE"/>
    <w:rsid w:val="2C1F0E87"/>
    <w:rsid w:val="2E337468"/>
    <w:rsid w:val="2F955A17"/>
    <w:rsid w:val="2FAC6FAC"/>
    <w:rsid w:val="317968ED"/>
    <w:rsid w:val="32510A2E"/>
    <w:rsid w:val="32940115"/>
    <w:rsid w:val="32BD3B14"/>
    <w:rsid w:val="333B6D92"/>
    <w:rsid w:val="338A451B"/>
    <w:rsid w:val="350B3ADF"/>
    <w:rsid w:val="35360758"/>
    <w:rsid w:val="35A51993"/>
    <w:rsid w:val="369936DE"/>
    <w:rsid w:val="36CE44B9"/>
    <w:rsid w:val="371B7225"/>
    <w:rsid w:val="37532A2F"/>
    <w:rsid w:val="37E27351"/>
    <w:rsid w:val="38C57D9A"/>
    <w:rsid w:val="39212B18"/>
    <w:rsid w:val="39766650"/>
    <w:rsid w:val="3993661F"/>
    <w:rsid w:val="3AC51B4D"/>
    <w:rsid w:val="3B374167"/>
    <w:rsid w:val="3B766756"/>
    <w:rsid w:val="3CF16868"/>
    <w:rsid w:val="3D4330B1"/>
    <w:rsid w:val="3D6601FB"/>
    <w:rsid w:val="3D6F109D"/>
    <w:rsid w:val="3D93654B"/>
    <w:rsid w:val="3DD12135"/>
    <w:rsid w:val="3E1D3E39"/>
    <w:rsid w:val="3E355F37"/>
    <w:rsid w:val="3E445C64"/>
    <w:rsid w:val="3ED95149"/>
    <w:rsid w:val="3F052964"/>
    <w:rsid w:val="3F197312"/>
    <w:rsid w:val="405D7E0A"/>
    <w:rsid w:val="41395A1E"/>
    <w:rsid w:val="41611FE0"/>
    <w:rsid w:val="420B6E45"/>
    <w:rsid w:val="43047628"/>
    <w:rsid w:val="433F565B"/>
    <w:rsid w:val="440E252A"/>
    <w:rsid w:val="44291BDD"/>
    <w:rsid w:val="4436297A"/>
    <w:rsid w:val="44483E36"/>
    <w:rsid w:val="44586004"/>
    <w:rsid w:val="446E35C2"/>
    <w:rsid w:val="447731BD"/>
    <w:rsid w:val="44F625AF"/>
    <w:rsid w:val="45D963AA"/>
    <w:rsid w:val="469074C7"/>
    <w:rsid w:val="46933001"/>
    <w:rsid w:val="48673D5F"/>
    <w:rsid w:val="48FB4409"/>
    <w:rsid w:val="493B4673"/>
    <w:rsid w:val="49604A02"/>
    <w:rsid w:val="49DB676B"/>
    <w:rsid w:val="4A003E50"/>
    <w:rsid w:val="4B19506C"/>
    <w:rsid w:val="4B5C7A82"/>
    <w:rsid w:val="4B6F47C0"/>
    <w:rsid w:val="4BA749A5"/>
    <w:rsid w:val="4C807405"/>
    <w:rsid w:val="4D2446B5"/>
    <w:rsid w:val="4D2C410C"/>
    <w:rsid w:val="4D700F56"/>
    <w:rsid w:val="4D963A0D"/>
    <w:rsid w:val="4DC31D51"/>
    <w:rsid w:val="4E1721AF"/>
    <w:rsid w:val="4ED740EC"/>
    <w:rsid w:val="4FB92BAE"/>
    <w:rsid w:val="4FEF02F0"/>
    <w:rsid w:val="4FF50008"/>
    <w:rsid w:val="50A05B7C"/>
    <w:rsid w:val="51055275"/>
    <w:rsid w:val="514E6A18"/>
    <w:rsid w:val="515D4E3F"/>
    <w:rsid w:val="51631671"/>
    <w:rsid w:val="51810252"/>
    <w:rsid w:val="51C16513"/>
    <w:rsid w:val="523C00FA"/>
    <w:rsid w:val="52E707D8"/>
    <w:rsid w:val="52F07DC6"/>
    <w:rsid w:val="537A54BA"/>
    <w:rsid w:val="539065BF"/>
    <w:rsid w:val="53A60F11"/>
    <w:rsid w:val="548946B4"/>
    <w:rsid w:val="554C4855"/>
    <w:rsid w:val="555C4555"/>
    <w:rsid w:val="55680842"/>
    <w:rsid w:val="558A52F4"/>
    <w:rsid w:val="559D7589"/>
    <w:rsid w:val="56555583"/>
    <w:rsid w:val="56D15B83"/>
    <w:rsid w:val="57001605"/>
    <w:rsid w:val="5712695E"/>
    <w:rsid w:val="573F1552"/>
    <w:rsid w:val="577072A2"/>
    <w:rsid w:val="5795269C"/>
    <w:rsid w:val="57E8436D"/>
    <w:rsid w:val="58102B66"/>
    <w:rsid w:val="581369CE"/>
    <w:rsid w:val="58362A2D"/>
    <w:rsid w:val="5974363E"/>
    <w:rsid w:val="59AE0A3B"/>
    <w:rsid w:val="5A587F58"/>
    <w:rsid w:val="5A8B4BC0"/>
    <w:rsid w:val="5B42184D"/>
    <w:rsid w:val="5BCF688F"/>
    <w:rsid w:val="5C464544"/>
    <w:rsid w:val="5C5C7E2C"/>
    <w:rsid w:val="5C8C0260"/>
    <w:rsid w:val="5D6D0618"/>
    <w:rsid w:val="5D9E5458"/>
    <w:rsid w:val="5DD67DF5"/>
    <w:rsid w:val="5E2B5FD0"/>
    <w:rsid w:val="5E500162"/>
    <w:rsid w:val="5E5134C1"/>
    <w:rsid w:val="5EC73853"/>
    <w:rsid w:val="5F5C6AAF"/>
    <w:rsid w:val="5F5C7738"/>
    <w:rsid w:val="5F6E0E41"/>
    <w:rsid w:val="5FD42428"/>
    <w:rsid w:val="5FD82EF0"/>
    <w:rsid w:val="5FDF3041"/>
    <w:rsid w:val="60377AAD"/>
    <w:rsid w:val="60911655"/>
    <w:rsid w:val="61F06843"/>
    <w:rsid w:val="625A2F4F"/>
    <w:rsid w:val="625D6C07"/>
    <w:rsid w:val="626A1392"/>
    <w:rsid w:val="62BD3852"/>
    <w:rsid w:val="63965A61"/>
    <w:rsid w:val="63A45519"/>
    <w:rsid w:val="640B0E3D"/>
    <w:rsid w:val="64270FB6"/>
    <w:rsid w:val="643C08B4"/>
    <w:rsid w:val="648D493C"/>
    <w:rsid w:val="65687D59"/>
    <w:rsid w:val="658209E5"/>
    <w:rsid w:val="65A863EE"/>
    <w:rsid w:val="65E6470F"/>
    <w:rsid w:val="66363705"/>
    <w:rsid w:val="6674075D"/>
    <w:rsid w:val="66DC3C24"/>
    <w:rsid w:val="6723317E"/>
    <w:rsid w:val="673E3B0B"/>
    <w:rsid w:val="673F4329"/>
    <w:rsid w:val="67872C5C"/>
    <w:rsid w:val="67B24FBD"/>
    <w:rsid w:val="698F0DC3"/>
    <w:rsid w:val="699A2A96"/>
    <w:rsid w:val="6A2B48CC"/>
    <w:rsid w:val="6A432B3B"/>
    <w:rsid w:val="6BD034E3"/>
    <w:rsid w:val="6C91799B"/>
    <w:rsid w:val="6CE00B74"/>
    <w:rsid w:val="6D9B029F"/>
    <w:rsid w:val="6DA64122"/>
    <w:rsid w:val="6DCD300F"/>
    <w:rsid w:val="6E0E2C05"/>
    <w:rsid w:val="6E4E410E"/>
    <w:rsid w:val="6E852964"/>
    <w:rsid w:val="6ECA1A50"/>
    <w:rsid w:val="6EE76D98"/>
    <w:rsid w:val="6F214C59"/>
    <w:rsid w:val="70E66907"/>
    <w:rsid w:val="71F3176F"/>
    <w:rsid w:val="725C6DDA"/>
    <w:rsid w:val="7268324C"/>
    <w:rsid w:val="72F5082F"/>
    <w:rsid w:val="73196467"/>
    <w:rsid w:val="73B2494A"/>
    <w:rsid w:val="74856682"/>
    <w:rsid w:val="757033AD"/>
    <w:rsid w:val="762B3EF8"/>
    <w:rsid w:val="766E6A9C"/>
    <w:rsid w:val="76B319D2"/>
    <w:rsid w:val="775C6ECA"/>
    <w:rsid w:val="781F6837"/>
    <w:rsid w:val="79887EE8"/>
    <w:rsid w:val="799A19FC"/>
    <w:rsid w:val="79AB053C"/>
    <w:rsid w:val="7A441E67"/>
    <w:rsid w:val="7BCA7599"/>
    <w:rsid w:val="7C6C169B"/>
    <w:rsid w:val="7C872556"/>
    <w:rsid w:val="7D4B12C8"/>
    <w:rsid w:val="7E221EF9"/>
    <w:rsid w:val="7EEE2110"/>
    <w:rsid w:val="7F6E64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2025-08-14T10:55:00Z</dcterms:created>
  <dc:creator>Administrator</dc:creator>
  <cp:lastModifiedBy>lenovo</cp:lastModifiedBy>
  <dcterms:modified xsi:type="dcterms:W3CDTF">2025-09-02T04:08:59Z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BF18F1BDD175409A803634249455B229</vt:lpwstr>
  </property>
</Properties>
</file>