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库尔勒市普惠乡人民政府</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2024年度部门决算</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库尔勒市普惠乡人民政府是各项工作的领导核心，要紧紧围绕新时代党的治疆方略、特别是社会稳定和长治久安总目标，不断加强基层基础建设，充分发挥统揽全局的核心领导作用，夯实党在农村的执政基础。普惠乡人民政府是普惠乡的基层行政机关，要紧紧围绕促进经济发展、增加农民收入，强化公共服务、着力改善民生，加强社会管理、维护农村稳定，推进基层民主、促进农村和谐四个方面全面履行职责，提高农村公共服务水平，努力做好“三农”服务工作。普惠乡机关机构规格为正科级。</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库尔勒市普惠乡人民政府2024年度，实有人数85人，其中：在职人员73人，增加2人；离休人员0人，较上年无变化；退休人员12人，增加2人。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lang w:val="en-US" w:eastAsia="zh-CN"/>
        </w:rPr>
      </w:pPr>
      <w:r>
        <w:rPr>
          <w:rFonts w:ascii="仿宋_GB2312" w:eastAsia="仿宋_GB2312"/>
          <w:b w:val="0"/>
          <w:sz w:val="32"/>
          <w:szCs w:val="32"/>
        </w:rPr>
        <w:t>库尔勒市普惠乡人民政府无下属预算单位，</w:t>
      </w:r>
      <w:r>
        <w:rPr>
          <w:rFonts w:hint="eastAsia" w:ascii="仿宋_GB2312" w:eastAsia="仿宋_GB2312"/>
          <w:b w:val="0"/>
          <w:sz w:val="32"/>
          <w:szCs w:val="32"/>
          <w:lang w:val="en-US" w:eastAsia="zh-CN"/>
        </w:rPr>
        <w:t>普惠乡设置下列5个内设机构，机构规格均为股级。</w:t>
      </w:r>
      <w:r>
        <w:rPr>
          <w:rFonts w:ascii="仿宋_GB2312" w:eastAsia="仿宋_GB2312"/>
          <w:b w:val="0"/>
          <w:sz w:val="32"/>
          <w:szCs w:val="32"/>
        </w:rPr>
        <w:t>分别是：</w:t>
      </w:r>
      <w:r>
        <w:rPr>
          <w:rFonts w:hint="eastAsia" w:ascii="仿宋_GB2312" w:eastAsia="仿宋_GB2312"/>
          <w:b w:val="0"/>
          <w:sz w:val="32"/>
          <w:szCs w:val="32"/>
          <w:lang w:val="en-US" w:eastAsia="zh-CN"/>
        </w:rPr>
        <w:t>1.党政综合办公室，2.党建工作办公室，3.经济发展和财政办公室，4.社会事务办公室（退役军人服务站），5.综合执法办公室；</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普惠乡综合设置 5 个股级事业单位，均为公益一类，经费形式实行全额预算管理。</w:t>
      </w:r>
      <w:r>
        <w:rPr>
          <w:rFonts w:ascii="仿宋_GB2312" w:eastAsia="仿宋_GB2312"/>
          <w:b w:val="0"/>
          <w:sz w:val="32"/>
          <w:szCs w:val="32"/>
        </w:rPr>
        <w:t>分别是：</w:t>
      </w:r>
      <w:r>
        <w:rPr>
          <w:rFonts w:hint="eastAsia" w:ascii="仿宋_GB2312" w:eastAsia="仿宋_GB2312"/>
          <w:b w:val="0"/>
          <w:sz w:val="32"/>
          <w:szCs w:val="32"/>
          <w:lang w:val="en-US" w:eastAsia="zh-CN"/>
        </w:rPr>
        <w:t>1.农业发展服务中心，2.公共文化服务中心，3.村镇建设发展中心，4.综治和网格化服务中心，5.便民服务中心；</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2024年度收入总计2,209.23万元，其中：本年收入合计2,209.23万元，使用非财政拨款结余（含专用结余）0.00万元，年初结转和结余0.00万元。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2024年度支出总计2,209.23万元，其中：本年支出合计2,209.23万元，结余分配0.00万元，年末结转和结余0.00万元。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收入支出总体与上年相比，减少11,925.37万元，下降84.37%，主要原因是：</w:t>
      </w:r>
      <w:r>
        <w:rPr>
          <w:rFonts w:hint="eastAsia" w:ascii="仿宋_GB2312" w:eastAsia="仿宋_GB2312"/>
          <w:color w:val="auto"/>
          <w:spacing w:val="0"/>
          <w:sz w:val="32"/>
          <w:szCs w:val="32"/>
          <w:highlight w:val="none"/>
          <w:lang w:val="en-US" w:eastAsia="zh-CN"/>
        </w:rPr>
        <w:t>本年减少棉花目标价格补贴等惠民补贴资金，未列入为2024年部门决算</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本年收入2,209.23万元，其中：财政拨款收入2,207.23万元,占99.91%；上级补助收入0.00万元,占0.00%；事业收入0.00万元，占0.00%；经营收入0.00万元,占0.00%；附属单位上缴收入0.00万元，占0.00%；其他收入2.00万元，占0.09%。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本年支出2,209.23万元，其中：基本支出2,124.83万元，占96.18%；项目支出84.40万元，占3.82%；上缴上级支出0.00万元，占0.00%；经营支出0.00万元，占0.00%；对附属单位补助支出0.00万元，占0.00%。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2,207.23万元，其中：年初财政拨款结转和结余0.00万元，本年财政拨款收入2,207.23万元。财政拨款支出总计2,207.23万元，其中：年末财政拨款结转和结余0.00万元，本年财政拨款支出2,207.23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财政拨款收入支出总体与上年相比，减少11,927.37万元，下降84.38%，主要原因是：</w:t>
      </w:r>
      <w:r>
        <w:rPr>
          <w:rFonts w:hint="eastAsia" w:ascii="仿宋_GB2312" w:eastAsia="仿宋_GB2312"/>
          <w:color w:val="auto"/>
          <w:spacing w:val="0"/>
          <w:sz w:val="32"/>
          <w:szCs w:val="32"/>
          <w:highlight w:val="none"/>
          <w:lang w:val="en-US" w:eastAsia="zh-CN"/>
        </w:rPr>
        <w:t>本年减少棉花目标价格补贴等惠民补贴资金，未列入为2024年部门决算</w:t>
      </w:r>
      <w:r>
        <w:rPr>
          <w:rFonts w:ascii="仿宋_GB2312" w:eastAsia="仿宋_GB2312"/>
          <w:b w:val="0"/>
          <w:sz w:val="32"/>
          <w:szCs w:val="32"/>
        </w:rPr>
        <w:t>。与年初预算相比，年初预算数2,777.71万元，决算数2,207.23万元，预决算差异率-20.54%，主要原因是：</w:t>
      </w:r>
      <w:r>
        <w:rPr>
          <w:rFonts w:hint="eastAsia" w:ascii="仿宋_GB2312" w:eastAsia="仿宋_GB2312"/>
          <w:b w:val="0"/>
          <w:sz w:val="32"/>
          <w:szCs w:val="32"/>
          <w:lang w:val="en-US" w:eastAsia="zh-CN"/>
        </w:rPr>
        <w:t>本年减少在职在编工资福利支出、为民办实事经费、乡村建设经费、工作队人员补助、村两委人员工资等支出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2,122.83万元，占本年支出合计的96.09%。与上年相比，减少11,993.77万元，下降84.96%，主要原因是：。与年初预算相比，年初预算数2,775.71万元，决算数2,122.83万元，预决算差异率-23.52%，主要原因是：</w:t>
      </w:r>
      <w:r>
        <w:rPr>
          <w:rFonts w:hint="eastAsia" w:ascii="仿宋_GB2312" w:eastAsia="仿宋_GB2312"/>
          <w:b w:val="0"/>
          <w:sz w:val="32"/>
          <w:szCs w:val="32"/>
          <w:lang w:val="en-US" w:eastAsia="zh-CN"/>
        </w:rPr>
        <w:t>本年减少在职在编工资福利支出、为民办实事经费、乡村建设经费、工作队人员补助、村两委人员工资等支出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一般公共服务支出（类）1,751.51万元，占82.51%。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教育支出（类）4.68万元，占0.22%。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科学技术支出（类）1.80万元，占0.08%。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文化旅游体育与传媒支出（类）3.31万元，占0.16%。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社会保障和就业支出（类）139.99万元，占6.59%。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卫生健康支出（类）60.88万元，占2.87%。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农林水支出（类）60.04万元，占2.83%。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住房保障支出（类）93.63万元，占4.41%。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其他支出（类）7.00万元，占0.33%。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一般公共服务支出（类）人大事务（款）代表工作（项）：支出决算数为8.95万元，比上年决算增加5.47万元，增长157.18%，主要原因是：</w:t>
      </w:r>
      <w:r>
        <w:rPr>
          <w:rFonts w:hint="eastAsia" w:ascii="仿宋_GB2312" w:eastAsia="仿宋_GB2312"/>
          <w:b w:val="0"/>
          <w:sz w:val="32"/>
          <w:szCs w:val="32"/>
        </w:rPr>
        <w:t>本年增加人大代表开会及培训，因此增加相应的经费支出。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一般公共服务支出（类）人大事务（款）其他人大事务支出（项）：支出决算数为1.00万元，比上年决算增加1.00万元，增长100.00%，主要原因是：</w:t>
      </w:r>
      <w:r>
        <w:rPr>
          <w:rFonts w:hint="eastAsia" w:eastAsia="仿宋_GB2312" w:cs="Times New Roman"/>
          <w:color w:val="auto"/>
          <w:kern w:val="2"/>
          <w:sz w:val="32"/>
          <w:szCs w:val="32"/>
          <w:highlight w:val="none"/>
          <w:lang w:val="en-US" w:eastAsia="zh-CN" w:bidi="ar-SA"/>
        </w:rPr>
        <w:t>本年增加人大代表开会及培训，因此增加相应的经费支出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一般公共服务支出（类）政府办公厅（室）及相关机构事务（款）行政运行（项）：支出决算数为1,477.88万元，比上年决算减少81.47万元，下降5.22%，主要原因是：</w:t>
      </w:r>
      <w:r>
        <w:rPr>
          <w:rFonts w:hint="eastAsia" w:ascii="仿宋_GB2312" w:hAnsi="仿宋_GB2312" w:eastAsia="仿宋_GB2312" w:cs="仿宋_GB2312"/>
          <w:color w:val="auto"/>
          <w:kern w:val="0"/>
          <w:sz w:val="32"/>
          <w:szCs w:val="32"/>
          <w:lang w:val="en-US" w:eastAsia="zh-CN"/>
        </w:rPr>
        <w:t>减少</w:t>
      </w:r>
      <w:r>
        <w:rPr>
          <w:rFonts w:hint="eastAsia" w:ascii="仿宋_GB2312" w:eastAsia="仿宋_GB2312"/>
          <w:color w:val="auto"/>
          <w:sz w:val="32"/>
          <w:szCs w:val="32"/>
        </w:rPr>
        <w:t>相应的</w:t>
      </w:r>
      <w:r>
        <w:rPr>
          <w:rFonts w:hint="eastAsia" w:ascii="仿宋_GB2312" w:eastAsia="仿宋_GB2312"/>
          <w:color w:val="auto"/>
          <w:sz w:val="32"/>
          <w:szCs w:val="32"/>
          <w:lang w:val="en-US" w:eastAsia="zh-CN"/>
        </w:rPr>
        <w:t>机关</w:t>
      </w:r>
      <w:r>
        <w:rPr>
          <w:rFonts w:hint="eastAsia" w:ascii="仿宋_GB2312" w:eastAsia="仿宋_GB2312"/>
          <w:color w:val="auto"/>
          <w:sz w:val="32"/>
          <w:szCs w:val="32"/>
        </w:rPr>
        <w:t>运行经费及</w:t>
      </w:r>
      <w:r>
        <w:rPr>
          <w:rFonts w:hint="eastAsia" w:ascii="仿宋_GB2312" w:eastAsia="仿宋_GB2312"/>
          <w:color w:val="auto"/>
          <w:sz w:val="32"/>
          <w:szCs w:val="32"/>
          <w:lang w:val="en-US" w:eastAsia="zh-CN"/>
        </w:rPr>
        <w:t>临聘</w:t>
      </w:r>
      <w:r>
        <w:rPr>
          <w:rFonts w:hint="eastAsia" w:ascii="仿宋_GB2312" w:eastAsia="仿宋_GB2312"/>
          <w:color w:val="auto"/>
          <w:sz w:val="32"/>
          <w:szCs w:val="32"/>
        </w:rPr>
        <w:t>人员工资</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减少相应的项目支出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一般公共服务支出（类）政府办公厅（室）及相关机构事务（款）其他政府办公厅（室）及相关机构事务支出（项）：支出决算数为110.09万元，比上年决算增加37.06万元，增长50.75%，主要原因是：</w:t>
      </w:r>
      <w:r>
        <w:rPr>
          <w:rFonts w:hint="eastAsia" w:eastAsia="仿宋_GB2312" w:cs="Times New Roman"/>
          <w:color w:val="auto"/>
          <w:kern w:val="2"/>
          <w:sz w:val="32"/>
          <w:szCs w:val="32"/>
          <w:highlight w:val="none"/>
          <w:lang w:val="en-US" w:eastAsia="zh-CN" w:bidi="ar-SA"/>
        </w:rPr>
        <w:t>本年年中追加</w:t>
      </w:r>
      <w:r>
        <w:rPr>
          <w:rFonts w:hint="eastAsia" w:ascii="仿宋_GB2312" w:eastAsia="仿宋_GB2312"/>
          <w:color w:val="auto"/>
          <w:sz w:val="32"/>
          <w:szCs w:val="32"/>
        </w:rPr>
        <w:t>相应的</w:t>
      </w:r>
      <w:r>
        <w:rPr>
          <w:rFonts w:hint="eastAsia" w:ascii="仿宋_GB2312" w:eastAsia="仿宋_GB2312"/>
          <w:color w:val="auto"/>
          <w:sz w:val="32"/>
          <w:szCs w:val="32"/>
          <w:lang w:val="en-US" w:eastAsia="zh-CN"/>
        </w:rPr>
        <w:t>机关</w:t>
      </w:r>
      <w:r>
        <w:rPr>
          <w:rFonts w:hint="eastAsia" w:ascii="仿宋_GB2312" w:eastAsia="仿宋_GB2312"/>
          <w:color w:val="auto"/>
          <w:sz w:val="32"/>
          <w:szCs w:val="32"/>
        </w:rPr>
        <w:t>运行经费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增加相应的项目支出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一般公共服务支出（类）纪检监察事务（款）其他纪检监察事务支出（项）：支出决算数为2.00万元，比上年决算增加0.15万元，增长8.11%，主要原因是：</w:t>
      </w:r>
      <w:r>
        <w:rPr>
          <w:rFonts w:hint="eastAsia" w:eastAsia="仿宋_GB2312" w:cs="Times New Roman"/>
          <w:color w:val="auto"/>
          <w:kern w:val="2"/>
          <w:sz w:val="32"/>
          <w:szCs w:val="32"/>
          <w:highlight w:val="none"/>
          <w:lang w:val="en-US" w:eastAsia="zh-CN" w:bidi="ar-SA"/>
        </w:rPr>
        <w:t>本年对</w:t>
      </w:r>
      <w:r>
        <w:rPr>
          <w:rFonts w:hint="eastAsia" w:ascii="Times New Roman" w:hAnsi="Times New Roman" w:eastAsia="仿宋_GB2312" w:cs="Times New Roman"/>
          <w:color w:val="auto"/>
          <w:kern w:val="2"/>
          <w:sz w:val="32"/>
          <w:szCs w:val="32"/>
          <w:highlight w:val="none"/>
          <w:lang w:val="en-US" w:eastAsia="zh-CN" w:bidi="ar-SA"/>
        </w:rPr>
        <w:t>纪检监察事务支出</w:t>
      </w:r>
      <w:r>
        <w:rPr>
          <w:rFonts w:hint="eastAsia" w:eastAsia="仿宋_GB2312" w:cs="Times New Roman"/>
          <w:color w:val="auto"/>
          <w:kern w:val="2"/>
          <w:sz w:val="32"/>
          <w:szCs w:val="32"/>
          <w:highlight w:val="none"/>
          <w:lang w:val="en-US" w:eastAsia="zh-CN" w:bidi="ar-SA"/>
        </w:rPr>
        <w:t>的投入增加。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一般公共服务支出（类）组织事务（款）其他组织事务支出（项）：支出决算数为151.58万元，比上年决算增加70.66万元，增长87.32%，主要原因是：</w:t>
      </w:r>
      <w:r>
        <w:rPr>
          <w:rFonts w:hint="eastAsia" w:eastAsia="仿宋_GB2312" w:cs="Times New Roman"/>
          <w:color w:val="auto"/>
          <w:kern w:val="2"/>
          <w:sz w:val="32"/>
          <w:szCs w:val="32"/>
          <w:highlight w:val="none"/>
          <w:lang w:val="en-US" w:eastAsia="zh-CN" w:bidi="ar-SA"/>
        </w:rPr>
        <w:t>本年</w:t>
      </w:r>
      <w:r>
        <w:rPr>
          <w:rFonts w:hint="eastAsia" w:ascii="仿宋_GB2312" w:hAnsi="仿宋_GB2312" w:eastAsia="仿宋_GB2312" w:cs="仿宋_GB2312"/>
          <w:color w:val="auto"/>
          <w:kern w:val="0"/>
          <w:sz w:val="32"/>
          <w:szCs w:val="32"/>
          <w:lang w:val="en-US" w:eastAsia="zh-CN"/>
        </w:rPr>
        <w:t>增加</w:t>
      </w:r>
      <w:r>
        <w:rPr>
          <w:rFonts w:hint="eastAsia" w:ascii="仿宋_GB2312" w:eastAsia="仿宋_GB2312"/>
          <w:color w:val="auto"/>
          <w:sz w:val="32"/>
          <w:szCs w:val="32"/>
          <w:lang w:val="en-US" w:eastAsia="zh-CN"/>
        </w:rPr>
        <w:t>机关及社区</w:t>
      </w:r>
      <w:r>
        <w:rPr>
          <w:rFonts w:hint="eastAsia" w:ascii="仿宋_GB2312" w:eastAsia="仿宋_GB2312"/>
          <w:color w:val="auto"/>
          <w:sz w:val="32"/>
          <w:szCs w:val="32"/>
        </w:rPr>
        <w:t>运行</w:t>
      </w:r>
      <w:r>
        <w:rPr>
          <w:rFonts w:hint="eastAsia" w:ascii="仿宋_GB2312" w:eastAsia="仿宋_GB2312"/>
          <w:color w:val="auto"/>
          <w:sz w:val="32"/>
          <w:szCs w:val="32"/>
          <w:lang w:val="en-US" w:eastAsia="zh-CN"/>
        </w:rPr>
        <w:t>费用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val="en-US" w:eastAsia="zh-CN"/>
        </w:rPr>
      </w:pPr>
      <w:r>
        <w:rPr>
          <w:rFonts w:ascii="仿宋_GB2312" w:eastAsia="仿宋_GB2312"/>
          <w:b w:val="0"/>
          <w:sz w:val="32"/>
          <w:szCs w:val="32"/>
        </w:rPr>
        <w:t>一般公共服务支出（类）统战事务（款）宗教事务（项）：支出决算数为0.00万元，比上年决算减少4.00万元，下降100.00%，主要原因是：</w:t>
      </w:r>
      <w:r>
        <w:rPr>
          <w:rFonts w:hint="eastAsia" w:ascii="仿宋_GB2312" w:eastAsia="仿宋_GB2312"/>
          <w:b w:val="0"/>
          <w:sz w:val="32"/>
          <w:szCs w:val="32"/>
          <w:lang w:val="en-US" w:eastAsia="zh-CN"/>
        </w:rPr>
        <w:t>本年预算未安排</w:t>
      </w:r>
      <w:r>
        <w:rPr>
          <w:rFonts w:ascii="仿宋_GB2312" w:eastAsia="仿宋_GB2312"/>
          <w:b w:val="0"/>
          <w:sz w:val="32"/>
          <w:szCs w:val="32"/>
        </w:rPr>
        <w:t>宗教事务</w:t>
      </w:r>
      <w:r>
        <w:rPr>
          <w:rFonts w:hint="eastAsia" w:ascii="仿宋_GB2312" w:eastAsia="仿宋_GB2312"/>
          <w:b w:val="0"/>
          <w:sz w:val="32"/>
          <w:szCs w:val="32"/>
          <w:lang w:val="en-US" w:eastAsia="zh-CN"/>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b w:val="0"/>
          <w:sz w:val="32"/>
          <w:szCs w:val="32"/>
        </w:rPr>
        <w:t>教育支出（类）进修及培训（款）培训支出（项）：支出决算数为4.68万元，比上年决算增加1.43万元，增长44.00%，主要原因是：</w:t>
      </w:r>
      <w:r>
        <w:rPr>
          <w:rFonts w:hint="eastAsia" w:eastAsia="仿宋_GB2312" w:cs="Times New Roman"/>
          <w:color w:val="auto"/>
          <w:kern w:val="2"/>
          <w:sz w:val="32"/>
          <w:szCs w:val="32"/>
          <w:highlight w:val="none"/>
          <w:lang w:val="en-US" w:eastAsia="zh-CN" w:bidi="ar-SA"/>
        </w:rPr>
        <w:t>本年人员参加培训次数增加，因此增加相应的培训支出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科学技术支出（类）科学技术普及（款）科普活动（项）：支出决算数为1.80万元，比上年决算增加1.80万元，增长100.00%，主要原因是：</w:t>
      </w:r>
      <w:r>
        <w:rPr>
          <w:rFonts w:hint="eastAsia" w:eastAsia="仿宋_GB2312" w:cs="Times New Roman"/>
          <w:color w:val="auto"/>
          <w:kern w:val="2"/>
          <w:sz w:val="32"/>
          <w:szCs w:val="32"/>
          <w:highlight w:val="none"/>
          <w:lang w:val="en-US" w:eastAsia="zh-CN" w:bidi="ar-SA"/>
        </w:rPr>
        <w:t>本年新增</w:t>
      </w:r>
      <w:r>
        <w:rPr>
          <w:rFonts w:ascii="仿宋_GB2312" w:eastAsia="仿宋_GB2312"/>
          <w:b w:val="0"/>
          <w:sz w:val="32"/>
          <w:szCs w:val="32"/>
        </w:rPr>
        <w:t>科普活动</w:t>
      </w:r>
      <w:r>
        <w:rPr>
          <w:rFonts w:hint="eastAsia" w:eastAsia="仿宋_GB2312" w:cs="Times New Roman"/>
          <w:color w:val="auto"/>
          <w:kern w:val="2"/>
          <w:sz w:val="32"/>
          <w:szCs w:val="32"/>
          <w:highlight w:val="none"/>
          <w:lang w:val="en-US" w:eastAsia="zh-CN" w:bidi="ar-SA"/>
        </w:rPr>
        <w:t>开支，因此增加相应的经费支出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文化旅游体育与传媒支出（类）文化和旅游（款）其他文化和旅游支出（项）：支出决算数为2.31万元，比上年决算减少2.88万元，下降55.49%，主要原因是：</w:t>
      </w:r>
      <w:r>
        <w:rPr>
          <w:rFonts w:hint="eastAsia" w:ascii="仿宋_GB2312" w:eastAsia="仿宋_GB2312"/>
          <w:b w:val="0"/>
          <w:sz w:val="32"/>
          <w:szCs w:val="32"/>
          <w:highlight w:val="none"/>
          <w:lang w:val="en-US" w:eastAsia="zh-CN"/>
        </w:rPr>
        <w:t>本年减少文化体育活动次数，因此减少相应的经费支出。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文化旅游体育与传媒支出（类）其他文化旅游体育与传媒支出（款）其他文化旅游体育与传媒支出（项）：支出决算数为1.00万元，比上年决算增加1.00万元，增长100.00%，主要原因是：</w:t>
      </w:r>
      <w:r>
        <w:rPr>
          <w:rFonts w:hint="eastAsia" w:eastAsia="仿宋_GB2312" w:cs="Times New Roman"/>
          <w:color w:val="auto"/>
          <w:kern w:val="2"/>
          <w:sz w:val="32"/>
          <w:szCs w:val="32"/>
          <w:highlight w:val="none"/>
          <w:lang w:val="en-US" w:eastAsia="zh-CN" w:bidi="ar-SA"/>
        </w:rPr>
        <w:t>本年新增</w:t>
      </w:r>
      <w:r>
        <w:rPr>
          <w:rFonts w:ascii="仿宋_GB2312" w:eastAsia="仿宋_GB2312"/>
          <w:b w:val="0"/>
          <w:sz w:val="32"/>
          <w:szCs w:val="32"/>
          <w:highlight w:val="none"/>
        </w:rPr>
        <w:t>其他文化旅游体育与传媒支出</w:t>
      </w:r>
      <w:r>
        <w:rPr>
          <w:rFonts w:hint="eastAsia" w:eastAsia="仿宋_GB2312" w:cs="Times New Roman"/>
          <w:color w:val="auto"/>
          <w:kern w:val="2"/>
          <w:sz w:val="32"/>
          <w:szCs w:val="32"/>
          <w:highlight w:val="none"/>
          <w:lang w:val="en-US" w:eastAsia="zh-CN" w:bidi="ar-SA"/>
        </w:rPr>
        <w:t>，因此增加相应的经费支出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社会保障和就业支出（类）行政事业单位养老支出（款）行政单位离退休（项）：支出决算数为6.61万元，比上年决算减少24.10万元，下降78.48%，主要原因是：</w:t>
      </w:r>
      <w:r>
        <w:rPr>
          <w:rFonts w:hint="eastAsia" w:ascii="仿宋_GB2312" w:eastAsia="仿宋_GB2312"/>
          <w:b w:val="0"/>
          <w:sz w:val="32"/>
          <w:szCs w:val="32"/>
          <w:lang w:val="en-US" w:eastAsia="zh-CN"/>
        </w:rPr>
        <w:t>本年减少退休死亡人员抚恤金。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社会保障和就业支出（类）行政事业单位养老支出（款）机关事业单位基本养老保险缴费支出（项）：支出决算数为113.42万元，比上年决算增加2.20万元，增长1.98%，主要原因是：</w:t>
      </w:r>
      <w:r>
        <w:rPr>
          <w:rFonts w:hint="eastAsia" w:ascii="仿宋_GB2312" w:eastAsia="仿宋_GB2312"/>
          <w:b w:val="0"/>
          <w:sz w:val="32"/>
          <w:szCs w:val="32"/>
          <w:lang w:val="en-US" w:eastAsia="zh-CN"/>
        </w:rPr>
        <w:t>本年调整</w:t>
      </w:r>
      <w:r>
        <w:rPr>
          <w:rFonts w:ascii="仿宋_GB2312" w:eastAsia="仿宋_GB2312"/>
          <w:b w:val="0"/>
          <w:sz w:val="32"/>
          <w:szCs w:val="32"/>
        </w:rPr>
        <w:t>行政事业单位养老</w:t>
      </w:r>
      <w:r>
        <w:rPr>
          <w:rFonts w:hint="eastAsia" w:ascii="仿宋_GB2312" w:eastAsia="仿宋_GB2312"/>
          <w:b w:val="0"/>
          <w:sz w:val="32"/>
          <w:szCs w:val="32"/>
          <w:lang w:val="en-US" w:eastAsia="zh-CN"/>
        </w:rPr>
        <w:t>保险基数，因此增加相应的经费支出。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社会保障和就业支出（类）行政事业单位养老支出（款）机关事业单位职业年金缴费支出（项）：支出决算数为14.14万元，比上年决算减少3.08万元，下降17.89%，主要原因是：</w:t>
      </w:r>
      <w:r>
        <w:rPr>
          <w:rFonts w:hint="eastAsia" w:ascii="仿宋_GB2312" w:eastAsia="仿宋_GB2312"/>
          <w:b w:val="0"/>
          <w:sz w:val="32"/>
          <w:szCs w:val="32"/>
          <w:lang w:val="en-US" w:eastAsia="zh-CN"/>
        </w:rPr>
        <w:t>本年减少办理正常退休人员数，因此减少相应的职业年金支出。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社会保障和就业支出（类）就业补助（款）公益性岗位补贴（项）：支出决算数为0.00万元，比上年决算减少36.95万元，下降100.00%，主要原因是：</w:t>
      </w:r>
      <w:r>
        <w:rPr>
          <w:rFonts w:hint="eastAsia" w:ascii="仿宋_GB2312" w:eastAsia="仿宋_GB2312"/>
          <w:b w:val="0"/>
          <w:sz w:val="32"/>
          <w:szCs w:val="32"/>
          <w:lang w:val="en-US" w:eastAsia="zh-CN"/>
        </w:rPr>
        <w:t>本年预算未安排</w:t>
      </w:r>
      <w:r>
        <w:rPr>
          <w:rFonts w:ascii="仿宋_GB2312" w:eastAsia="仿宋_GB2312"/>
          <w:b w:val="0"/>
          <w:sz w:val="32"/>
          <w:szCs w:val="32"/>
        </w:rPr>
        <w:t>公益性岗位补贴</w:t>
      </w:r>
      <w:r>
        <w:rPr>
          <w:rFonts w:hint="eastAsia" w:ascii="仿宋_GB2312" w:eastAsia="仿宋_GB2312"/>
          <w:b w:val="0"/>
          <w:sz w:val="32"/>
          <w:szCs w:val="32"/>
          <w:lang w:val="en-US" w:eastAsia="zh-CN"/>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社会保障和就业支出（类）抚恤（款）死亡抚恤（项）：支出决算数为0.00万元，比上年决算减少6.40万元，下降100.00%，主要原因是：</w:t>
      </w:r>
      <w:r>
        <w:rPr>
          <w:rFonts w:hint="eastAsia" w:ascii="仿宋_GB2312" w:eastAsia="仿宋_GB2312"/>
          <w:b w:val="0"/>
          <w:sz w:val="32"/>
          <w:szCs w:val="32"/>
          <w:lang w:val="en-US" w:eastAsia="zh-CN"/>
        </w:rPr>
        <w:t>本年预算未安排</w:t>
      </w:r>
      <w:r>
        <w:rPr>
          <w:rFonts w:ascii="仿宋_GB2312" w:eastAsia="仿宋_GB2312"/>
          <w:b w:val="0"/>
          <w:sz w:val="32"/>
          <w:szCs w:val="32"/>
        </w:rPr>
        <w:t>死亡抚恤</w:t>
      </w:r>
      <w:r>
        <w:rPr>
          <w:rFonts w:hint="eastAsia" w:ascii="仿宋_GB2312" w:eastAsia="仿宋_GB2312"/>
          <w:b w:val="0"/>
          <w:sz w:val="32"/>
          <w:szCs w:val="32"/>
          <w:lang w:val="en-US" w:eastAsia="zh-CN"/>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社会保障和就业支出（类）其他生活救助（款）其他农村生活救助（项）：支出决算数为5.83万元，比上年决算增加5.83万元，增长100.00%，主要原因是：</w:t>
      </w:r>
      <w:r>
        <w:rPr>
          <w:rFonts w:hint="eastAsia" w:ascii="仿宋_GB2312" w:eastAsia="仿宋_GB2312"/>
          <w:b w:val="0"/>
          <w:sz w:val="32"/>
          <w:szCs w:val="32"/>
          <w:lang w:val="en-US" w:eastAsia="zh-CN"/>
        </w:rPr>
        <w:t>本年新增</w:t>
      </w:r>
      <w:r>
        <w:rPr>
          <w:rFonts w:ascii="仿宋_GB2312" w:eastAsia="仿宋_GB2312"/>
          <w:b w:val="0"/>
          <w:sz w:val="32"/>
          <w:szCs w:val="32"/>
        </w:rPr>
        <w:t>其他农村生活救助</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卫生健康支出（类）公共卫生（款）突发公共卫生事件应急处置（项）：支出决算数为0.00万元，比上年决算减少44.41万元，下降100.00%，主要原因是：</w:t>
      </w:r>
      <w:r>
        <w:rPr>
          <w:rFonts w:hint="eastAsia" w:ascii="仿宋_GB2312" w:eastAsia="仿宋_GB2312"/>
          <w:b w:val="0"/>
          <w:sz w:val="32"/>
          <w:szCs w:val="32"/>
          <w:lang w:val="en-US" w:eastAsia="zh-CN"/>
        </w:rPr>
        <w:t>本年预算未安排</w:t>
      </w:r>
      <w:r>
        <w:rPr>
          <w:rFonts w:ascii="仿宋_GB2312" w:eastAsia="仿宋_GB2312"/>
          <w:b w:val="0"/>
          <w:sz w:val="32"/>
          <w:szCs w:val="32"/>
        </w:rPr>
        <w:t>突发公共卫生事件应急处置</w:t>
      </w:r>
      <w:r>
        <w:rPr>
          <w:rFonts w:hint="eastAsia" w:ascii="仿宋_GB2312" w:eastAsia="仿宋_GB2312"/>
          <w:b w:val="0"/>
          <w:sz w:val="32"/>
          <w:szCs w:val="32"/>
          <w:lang w:val="en-US" w:eastAsia="zh-CN"/>
        </w:rPr>
        <w:t>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卫生健康支出（类）行政事业单位医疗（款）行政单位医疗（项）：支出决算数为53.72万元，比上年决算增加2.18万元，增长4.23%，主要原因是：</w:t>
      </w:r>
      <w:r>
        <w:rPr>
          <w:rFonts w:hint="eastAsia" w:ascii="仿宋_GB2312" w:eastAsia="仿宋_GB2312"/>
          <w:b w:val="0"/>
          <w:sz w:val="32"/>
          <w:szCs w:val="32"/>
          <w:lang w:val="en-US" w:eastAsia="zh-CN"/>
        </w:rPr>
        <w:t>本年调整</w:t>
      </w:r>
      <w:r>
        <w:rPr>
          <w:rFonts w:ascii="仿宋_GB2312" w:eastAsia="仿宋_GB2312"/>
          <w:b w:val="0"/>
          <w:sz w:val="32"/>
          <w:szCs w:val="32"/>
        </w:rPr>
        <w:t>行政单位医疗</w:t>
      </w:r>
      <w:r>
        <w:rPr>
          <w:rFonts w:hint="eastAsia" w:ascii="仿宋_GB2312" w:eastAsia="仿宋_GB2312"/>
          <w:b w:val="0"/>
          <w:sz w:val="32"/>
          <w:szCs w:val="32"/>
          <w:lang w:val="en-US" w:eastAsia="zh-CN"/>
        </w:rPr>
        <w:t>保险基数，因此增加相应的经费支出。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卫生健康支出（类）行政事业单位医疗（款）公务员医疗补助（项）：支出决算数为7.16万元，比上年决算减少0.38万元，下降5.04%，主要原因是：</w:t>
      </w:r>
      <w:r>
        <w:rPr>
          <w:rFonts w:hint="eastAsia" w:ascii="仿宋_GB2312" w:eastAsia="仿宋_GB2312"/>
          <w:b w:val="0"/>
          <w:sz w:val="32"/>
          <w:szCs w:val="32"/>
          <w:lang w:val="en-US" w:eastAsia="zh-CN"/>
        </w:rPr>
        <w:t>本年减少行政编人员数，因此减少相应的经费支出。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农林水支出（类）巩固脱贫攻坚成果衔接乡村振兴（款）生产发展（项）：支出决算数为0.00万元，比上年决算减少385.48万元，下降100.00%，主要原因是：</w:t>
      </w:r>
      <w:r>
        <w:rPr>
          <w:rFonts w:hint="eastAsia" w:ascii="仿宋_GB2312" w:eastAsia="仿宋_GB2312"/>
          <w:b w:val="0"/>
          <w:sz w:val="32"/>
          <w:szCs w:val="32"/>
          <w:lang w:val="en-US" w:eastAsia="zh-CN"/>
        </w:rPr>
        <w:t>本年预算未安排乡村振兴</w:t>
      </w:r>
      <w:r>
        <w:rPr>
          <w:rFonts w:ascii="仿宋_GB2312" w:eastAsia="仿宋_GB2312"/>
          <w:b w:val="0"/>
          <w:sz w:val="32"/>
          <w:szCs w:val="32"/>
        </w:rPr>
        <w:t>生产发展</w:t>
      </w:r>
      <w:r>
        <w:rPr>
          <w:rFonts w:hint="eastAsia" w:ascii="仿宋_GB2312" w:eastAsia="仿宋_GB2312"/>
          <w:b w:val="0"/>
          <w:sz w:val="32"/>
          <w:szCs w:val="32"/>
          <w:lang w:val="en-US" w:eastAsia="zh-CN"/>
        </w:rPr>
        <w:t>等项目支出。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农林水支出（类）巩固脱贫攻坚成果衔接乡村振兴（款）其他巩固脱贫攻坚成果衔接乡村振兴支出（项）：支出决算数为27.76万元，比上年决算增加2.38万元，增长9.38%，主要原因是：</w:t>
      </w:r>
      <w:r>
        <w:rPr>
          <w:rFonts w:hint="eastAsia" w:ascii="仿宋_GB2312" w:eastAsia="仿宋_GB2312"/>
          <w:b w:val="0"/>
          <w:sz w:val="32"/>
          <w:szCs w:val="32"/>
          <w:lang w:val="en-US" w:eastAsia="zh-CN"/>
        </w:rPr>
        <w:t>本年增加对</w:t>
      </w:r>
      <w:r>
        <w:rPr>
          <w:rFonts w:ascii="仿宋_GB2312" w:eastAsia="仿宋_GB2312"/>
          <w:b w:val="0"/>
          <w:sz w:val="32"/>
          <w:szCs w:val="32"/>
        </w:rPr>
        <w:t>其他巩固脱贫攻坚成果衔接乡村振兴支出</w:t>
      </w:r>
      <w:r>
        <w:rPr>
          <w:rFonts w:hint="eastAsia" w:ascii="仿宋_GB2312" w:eastAsia="仿宋_GB2312"/>
          <w:b w:val="0"/>
          <w:sz w:val="32"/>
          <w:szCs w:val="32"/>
          <w:lang w:val="en-US" w:eastAsia="zh-CN"/>
        </w:rPr>
        <w:t>的投入。</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农林水支出（类）农村综合改革（款）对村民委员会和村党支部的补助（项）：支出决算数为32.28万元，比上年决算减少109.76万元，下降77.27%，主要原因是：</w:t>
      </w:r>
      <w:r>
        <w:rPr>
          <w:rFonts w:hint="eastAsia" w:eastAsia="仿宋_GB2312" w:cs="Times New Roman"/>
          <w:color w:val="auto"/>
          <w:kern w:val="2"/>
          <w:sz w:val="32"/>
          <w:szCs w:val="32"/>
          <w:highlight w:val="none"/>
          <w:lang w:val="en-US" w:eastAsia="zh-CN" w:bidi="ar-SA"/>
        </w:rPr>
        <w:t>本年减少村两委及小组长工资支出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农林水支出（类）目标价格补贴（款）棉花目标价格补贴（项）：支出决算数为0.00万元，比上年决算减少11,328.07万元，下降100.00%，主要原因是：</w:t>
      </w:r>
      <w:r>
        <w:rPr>
          <w:rFonts w:hint="eastAsia" w:ascii="仿宋_GB2312" w:eastAsia="仿宋_GB2312"/>
          <w:b w:val="0"/>
          <w:sz w:val="32"/>
          <w:szCs w:val="32"/>
          <w:lang w:val="en-US" w:eastAsia="zh-CN"/>
        </w:rPr>
        <w:t>本年部门决算未列入</w:t>
      </w:r>
      <w:r>
        <w:rPr>
          <w:rFonts w:ascii="仿宋_GB2312" w:eastAsia="仿宋_GB2312"/>
          <w:b w:val="0"/>
          <w:sz w:val="32"/>
          <w:szCs w:val="32"/>
        </w:rPr>
        <w:t>棉花目标价格补贴</w:t>
      </w:r>
      <w:r>
        <w:rPr>
          <w:rFonts w:hint="eastAsia" w:ascii="仿宋_GB2312" w:eastAsia="仿宋_GB2312"/>
          <w:b w:val="0"/>
          <w:sz w:val="32"/>
          <w:szCs w:val="32"/>
          <w:lang w:val="en-US" w:eastAsia="zh-CN"/>
        </w:rPr>
        <w:t>支出，因此减少相应的支出。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住房保障支出（类）住房改革支出（款）住房公积金（项）：支出决算数为93.63万元，比上年决算增加13.70万元，增长17.14%，主要原因是：</w:t>
      </w:r>
      <w:r>
        <w:rPr>
          <w:rFonts w:hint="eastAsia" w:ascii="仿宋_GB2312" w:eastAsia="仿宋_GB2312"/>
          <w:b w:val="0"/>
          <w:sz w:val="32"/>
          <w:szCs w:val="32"/>
          <w:lang w:val="en-US" w:eastAsia="zh-CN"/>
        </w:rPr>
        <w:t>本年调整</w:t>
      </w:r>
      <w:r>
        <w:rPr>
          <w:rFonts w:ascii="仿宋_GB2312" w:eastAsia="仿宋_GB2312"/>
          <w:b w:val="0"/>
          <w:sz w:val="32"/>
          <w:szCs w:val="32"/>
        </w:rPr>
        <w:t>住房公积金</w:t>
      </w:r>
      <w:r>
        <w:rPr>
          <w:rFonts w:hint="eastAsia" w:ascii="仿宋_GB2312" w:eastAsia="仿宋_GB2312"/>
          <w:b w:val="0"/>
          <w:sz w:val="32"/>
          <w:szCs w:val="32"/>
          <w:lang w:val="en-US" w:eastAsia="zh-CN"/>
        </w:rPr>
        <w:t>基数，因此增加相应的经费支出。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其他支出（类）其他支出（款）其他支出（项）：支出决算数为7.00万元，比上年决算减少111.65万元，下降94.10%，主要原因是：</w:t>
      </w:r>
      <w:r>
        <w:rPr>
          <w:rFonts w:hint="eastAsia" w:ascii="仿宋_GB2312" w:eastAsia="仿宋_GB2312"/>
          <w:b w:val="0"/>
          <w:sz w:val="32"/>
          <w:szCs w:val="32"/>
          <w:lang w:val="en-US" w:eastAsia="zh-CN"/>
        </w:rPr>
        <w:t>本年减少</w:t>
      </w:r>
      <w:r>
        <w:rPr>
          <w:rFonts w:hint="eastAsia" w:ascii="仿宋_GB2312" w:eastAsia="仿宋_GB2312"/>
          <w:color w:val="auto"/>
          <w:spacing w:val="0"/>
          <w:sz w:val="32"/>
          <w:szCs w:val="32"/>
          <w:highlight w:val="none"/>
          <w:lang w:val="en-US" w:eastAsia="zh-CN"/>
        </w:rPr>
        <w:t>中央基建建设项目资金。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2,122.83万元，其中：人员经费1,305.73万元，包括：基本工资、津贴补贴、奖金、机关事业单位基本养老保险缴费、职业年金缴费、职工基本医疗保险缴费、公务员医疗补助缴费、其他社会保障缴费、住房公积金、医疗费、其他工资福利支出、退休费、生活补助、救济费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公用经费817.10万元，包括：办公费、印刷费、水费、电费、邮电费、取暖费、差旅费、维修（护）费、培训费、劳务费、工会经费、福利费、公务用车运行维护费和办公设备购置。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2024年度政府性基金预算财政拨款收入总计84.40万元，其中：年初结转和结余0.00万元，本年收入84.40万元。政府性基金预算财政拨款支出总计84.40万元，其中：年末结转和结余0.00万元，本年支出84.40万元。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政府性基金预算财政拨款收入支出总体与上年相比，增加66.40万元，增长368.89%，主要原因是：</w:t>
      </w:r>
      <w:r>
        <w:rPr>
          <w:rFonts w:hint="eastAsia" w:eastAsia="仿宋_GB2312" w:cs="Times New Roman"/>
          <w:color w:val="auto"/>
          <w:sz w:val="32"/>
          <w:szCs w:val="32"/>
          <w:highlight w:val="none"/>
          <w:lang w:val="en-US" w:eastAsia="zh-CN"/>
        </w:rPr>
        <w:t>本年安排</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收入用于</w:t>
      </w:r>
      <w:r>
        <w:rPr>
          <w:rFonts w:hint="eastAsia" w:ascii="仿宋_GB2312" w:eastAsia="仿宋_GB2312"/>
          <w:color w:val="auto"/>
          <w:spacing w:val="0"/>
          <w:sz w:val="32"/>
          <w:szCs w:val="32"/>
          <w:highlight w:val="none"/>
          <w:lang w:val="en-US" w:eastAsia="zh-CN"/>
        </w:rPr>
        <w:t>中央基建建设项目</w:t>
      </w:r>
      <w:r>
        <w:rPr>
          <w:rFonts w:hint="eastAsia" w:eastAsia="仿宋_GB2312" w:cs="Times New Roman"/>
          <w:color w:val="auto"/>
          <w:sz w:val="32"/>
          <w:szCs w:val="32"/>
          <w:highlight w:val="none"/>
          <w:lang w:val="en-US" w:eastAsia="zh-CN"/>
        </w:rPr>
        <w:t>，因此增加相应的</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收入支出</w:t>
      </w:r>
      <w:r>
        <w:rPr>
          <w:rFonts w:ascii="仿宋_GB2312" w:eastAsia="仿宋_GB2312"/>
          <w:b w:val="0"/>
          <w:sz w:val="32"/>
          <w:szCs w:val="32"/>
        </w:rPr>
        <w:t>。与年初预算相比，年初预算数2.00万元，决算数84.40万元，预决算差异率4,120.00%，主要原因是：</w:t>
      </w:r>
      <w:r>
        <w:rPr>
          <w:rFonts w:hint="eastAsia" w:eastAsia="仿宋_GB2312" w:cs="Times New Roman"/>
          <w:color w:val="auto"/>
          <w:sz w:val="32"/>
          <w:szCs w:val="32"/>
          <w:highlight w:val="none"/>
          <w:lang w:val="en-US" w:eastAsia="zh-CN"/>
        </w:rPr>
        <w:t>本年安排</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收入用于</w:t>
      </w:r>
      <w:r>
        <w:rPr>
          <w:rFonts w:hint="eastAsia" w:ascii="仿宋_GB2312" w:eastAsia="仿宋_GB2312"/>
          <w:color w:val="auto"/>
          <w:spacing w:val="0"/>
          <w:sz w:val="32"/>
          <w:szCs w:val="32"/>
          <w:highlight w:val="none"/>
          <w:lang w:val="en-US" w:eastAsia="zh-CN"/>
        </w:rPr>
        <w:t>中央基建建设项目</w:t>
      </w:r>
      <w:r>
        <w:rPr>
          <w:rFonts w:hint="eastAsia" w:eastAsia="仿宋_GB2312" w:cs="Times New Roman"/>
          <w:color w:val="auto"/>
          <w:sz w:val="32"/>
          <w:szCs w:val="32"/>
          <w:highlight w:val="none"/>
          <w:lang w:val="en-US" w:eastAsia="zh-CN"/>
        </w:rPr>
        <w:t>，因此增加相应的</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收入支出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政府性基金预算财政拨款支出84.40万元。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节能环保支出（类）超长期特别国债安排的支出（款）“三北”工程建设（项）：支出决算数为2.17万元，比上年决算增加2.17万元，增长100.00%，主要原因是：</w:t>
      </w:r>
      <w:r>
        <w:rPr>
          <w:rFonts w:hint="eastAsia" w:ascii="仿宋_GB2312" w:eastAsia="仿宋_GB2312"/>
          <w:b w:val="0"/>
          <w:sz w:val="32"/>
          <w:szCs w:val="32"/>
          <w:lang w:val="en-US" w:eastAsia="zh-CN"/>
        </w:rPr>
        <w:t>本年新增</w:t>
      </w:r>
      <w:r>
        <w:rPr>
          <w:rFonts w:ascii="仿宋_GB2312" w:eastAsia="仿宋_GB2312"/>
          <w:b w:val="0"/>
          <w:sz w:val="32"/>
          <w:szCs w:val="32"/>
        </w:rPr>
        <w:t>“三北”</w:t>
      </w:r>
      <w:r>
        <w:rPr>
          <w:rFonts w:hint="eastAsia" w:ascii="仿宋_GB2312" w:eastAsia="仿宋_GB2312"/>
          <w:b w:val="0"/>
          <w:sz w:val="32"/>
          <w:szCs w:val="32"/>
          <w:lang w:val="en-US" w:eastAsia="zh-CN"/>
        </w:rPr>
        <w:t>塔里木河干流综合生态整治</w:t>
      </w:r>
      <w:r>
        <w:rPr>
          <w:rFonts w:ascii="仿宋_GB2312" w:eastAsia="仿宋_GB2312"/>
          <w:b w:val="0"/>
          <w:sz w:val="32"/>
          <w:szCs w:val="32"/>
        </w:rPr>
        <w:t>建设</w:t>
      </w:r>
      <w:r>
        <w:rPr>
          <w:rFonts w:hint="eastAsia" w:ascii="仿宋_GB2312" w:eastAsia="仿宋_GB2312"/>
          <w:b w:val="0"/>
          <w:sz w:val="32"/>
          <w:szCs w:val="32"/>
          <w:lang w:val="en-US" w:eastAsia="zh-CN"/>
        </w:rPr>
        <w:t>项目</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城乡社区支出（类）国有土地使用权出让收入安排的支出（款）农村基础设施建设支出（项）：支出决算数为82.23万元，比上年决算增加82.23万元，增长100.00%，主要原因是：</w:t>
      </w:r>
      <w:r>
        <w:rPr>
          <w:rFonts w:hint="eastAsia" w:ascii="仿宋_GB2312" w:eastAsia="仿宋_GB2312"/>
          <w:b w:val="0"/>
          <w:sz w:val="32"/>
          <w:szCs w:val="32"/>
          <w:lang w:val="en-US" w:eastAsia="zh-CN"/>
        </w:rPr>
        <w:t>本年新增</w:t>
      </w:r>
      <w:r>
        <w:rPr>
          <w:rFonts w:hint="eastAsia" w:ascii="仿宋_GB2312" w:eastAsia="仿宋_GB2312"/>
          <w:color w:val="auto"/>
          <w:spacing w:val="0"/>
          <w:sz w:val="32"/>
          <w:szCs w:val="32"/>
          <w:highlight w:val="none"/>
          <w:lang w:val="en-US" w:eastAsia="zh-CN"/>
        </w:rPr>
        <w:t>中央基建建设项目</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因此增加相应的经费支出。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城乡社区支出（类）国有土地使用权出让收入安排的支出（款）其他国有土地使用权出让收入安排的支出（项）：支出决算数为0.00万元，比上年决算减少18.00万元，下降100.00%，主要原因是：</w:t>
      </w:r>
      <w:r>
        <w:rPr>
          <w:rFonts w:hint="eastAsia" w:ascii="仿宋_GB2312" w:eastAsia="仿宋_GB2312"/>
          <w:b w:val="0"/>
          <w:sz w:val="32"/>
          <w:szCs w:val="32"/>
          <w:lang w:val="en-US" w:eastAsia="zh-CN"/>
        </w:rPr>
        <w:t>本年预算未安排</w:t>
      </w:r>
      <w:r>
        <w:rPr>
          <w:rFonts w:ascii="仿宋_GB2312" w:eastAsia="仿宋_GB2312"/>
          <w:b w:val="0"/>
          <w:sz w:val="32"/>
          <w:szCs w:val="32"/>
        </w:rPr>
        <w:t>其他国有土地使用权出让收入安排的支出</w:t>
      </w:r>
      <w:r>
        <w:rPr>
          <w:rFonts w:hint="eastAsia" w:ascii="仿宋_GB2312" w:eastAsia="仿宋_GB2312"/>
          <w:b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2024年度财政拨款“三公”经费支出15.43万元，比上年减少0.01万元，下降0.06%，主要原因是：</w:t>
      </w:r>
      <w:r>
        <w:rPr>
          <w:rFonts w:hint="eastAsia" w:ascii="仿宋_GB2312" w:eastAsia="仿宋_GB2312"/>
          <w:b w:val="0"/>
          <w:sz w:val="32"/>
          <w:szCs w:val="32"/>
          <w:lang w:val="en-US" w:eastAsia="zh-CN"/>
        </w:rPr>
        <w:t>本年压缩</w:t>
      </w:r>
      <w:r>
        <w:rPr>
          <w:rFonts w:ascii="仿宋_GB2312" w:eastAsia="仿宋_GB2312"/>
          <w:b w:val="0"/>
          <w:sz w:val="32"/>
          <w:szCs w:val="32"/>
        </w:rPr>
        <w:t>“三公”经费支出。其中：因公出国（境）费支出0.00万元,占0.00%，与上年相比无变化，主要原因是：</w:t>
      </w:r>
      <w:r>
        <w:rPr>
          <w:rFonts w:hint="eastAsia" w:ascii="仿宋_GB2312" w:eastAsia="仿宋_GB2312"/>
          <w:b w:val="0"/>
          <w:sz w:val="32"/>
          <w:szCs w:val="32"/>
          <w:lang w:val="en-US" w:eastAsia="zh-CN"/>
        </w:rPr>
        <w:t>本年无</w:t>
      </w:r>
      <w:r>
        <w:rPr>
          <w:rFonts w:ascii="仿宋_GB2312" w:eastAsia="仿宋_GB2312"/>
          <w:b w:val="0"/>
          <w:sz w:val="32"/>
          <w:szCs w:val="32"/>
        </w:rPr>
        <w:t>因公出国（境）费支出；公务用车购置及运行维护费支出15.43万元，占100.00%，比上年减少0.01万元，下降0.06%，主要原因是：</w:t>
      </w:r>
      <w:r>
        <w:rPr>
          <w:rFonts w:hint="eastAsia" w:ascii="仿宋_GB2312" w:eastAsia="仿宋_GB2312"/>
          <w:b w:val="0"/>
          <w:sz w:val="32"/>
          <w:szCs w:val="32"/>
          <w:lang w:val="en-US" w:eastAsia="zh-CN"/>
        </w:rPr>
        <w:t>本年压缩</w:t>
      </w:r>
      <w:r>
        <w:rPr>
          <w:rFonts w:ascii="仿宋_GB2312" w:eastAsia="仿宋_GB2312"/>
          <w:b w:val="0"/>
          <w:sz w:val="32"/>
          <w:szCs w:val="32"/>
        </w:rPr>
        <w:t>公务用车购置及运行维护费支出；公务接待费支出0.00万元，占0.00%，与上年相比无变化，主要原因是：</w:t>
      </w:r>
      <w:r>
        <w:rPr>
          <w:rFonts w:hint="eastAsia" w:ascii="仿宋_GB2312" w:eastAsia="仿宋_GB2312"/>
          <w:b w:val="0"/>
          <w:sz w:val="32"/>
          <w:szCs w:val="32"/>
          <w:lang w:val="en-US" w:eastAsia="zh-CN"/>
        </w:rPr>
        <w:t>本年无</w:t>
      </w:r>
      <w:r>
        <w:rPr>
          <w:rFonts w:ascii="仿宋_GB2312" w:eastAsia="仿宋_GB2312"/>
          <w:b w:val="0"/>
          <w:sz w:val="32"/>
          <w:szCs w:val="32"/>
        </w:rPr>
        <w:t>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15.43万元，其中：公务用车购置费0.00万元，公务用车运行维护费15.43万元。公务用车运行维护费开支内容包括。公务用车购置数0辆，公务用车保有量12辆。国有资产占用情况中固定资产车辆12辆，与公务用车保有量差异原因是：公务用车保有量</w:t>
      </w:r>
      <w:r>
        <w:rPr>
          <w:rFonts w:hint="eastAsia" w:ascii="仿宋_GB2312" w:eastAsia="仿宋_GB2312"/>
          <w:b w:val="0"/>
          <w:sz w:val="32"/>
          <w:szCs w:val="32"/>
          <w:lang w:val="en-US" w:eastAsia="zh-CN"/>
        </w:rPr>
        <w:t>无变动</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与全年预算相比，财政拨款“三公”经费支出全年预算数15.43万元，决算数15.43万元，预决算差异率0.00%，主要原因是：“三公”经费支出</w:t>
      </w:r>
      <w:r>
        <w:rPr>
          <w:rFonts w:hint="eastAsia" w:ascii="仿宋_GB2312" w:eastAsia="仿宋_GB2312"/>
          <w:b w:val="0"/>
          <w:sz w:val="32"/>
          <w:szCs w:val="32"/>
          <w:lang w:val="en-US" w:eastAsia="zh-CN"/>
        </w:rPr>
        <w:t>无变动</w:t>
      </w:r>
      <w:r>
        <w:rPr>
          <w:rFonts w:ascii="仿宋_GB2312" w:eastAsia="仿宋_GB2312"/>
          <w:b w:val="0"/>
          <w:sz w:val="32"/>
          <w:szCs w:val="32"/>
        </w:rPr>
        <w:t>。其中：因公出国（境）费全年预算数0.00万元，决算数0.00万元，预决算差异率0.00%，主要原因是：因公出国（境）费</w:t>
      </w:r>
      <w:r>
        <w:rPr>
          <w:rFonts w:hint="eastAsia" w:ascii="仿宋_GB2312" w:eastAsia="仿宋_GB2312"/>
          <w:b w:val="0"/>
          <w:sz w:val="32"/>
          <w:szCs w:val="32"/>
          <w:lang w:val="en-US" w:eastAsia="zh-CN"/>
        </w:rPr>
        <w:t>无变动</w:t>
      </w:r>
      <w:r>
        <w:rPr>
          <w:rFonts w:ascii="仿宋_GB2312" w:eastAsia="仿宋_GB2312"/>
          <w:b w:val="0"/>
          <w:sz w:val="32"/>
          <w:szCs w:val="32"/>
        </w:rPr>
        <w:t>。公务用车购置费全年预算数0.00万元，决算数0.00万元，预决算差异率0.00%，主要原因是：公务用车购置费</w:t>
      </w:r>
      <w:r>
        <w:rPr>
          <w:rFonts w:hint="eastAsia" w:ascii="仿宋_GB2312" w:eastAsia="仿宋_GB2312"/>
          <w:b w:val="0"/>
          <w:sz w:val="32"/>
          <w:szCs w:val="32"/>
          <w:lang w:val="en-US" w:eastAsia="zh-CN"/>
        </w:rPr>
        <w:t>无变动</w:t>
      </w:r>
      <w:r>
        <w:rPr>
          <w:rFonts w:ascii="仿宋_GB2312" w:eastAsia="仿宋_GB2312"/>
          <w:b w:val="0"/>
          <w:sz w:val="32"/>
          <w:szCs w:val="32"/>
        </w:rPr>
        <w:t>。公务用车运行维护费全年预算数15.43万元，决算数15.43万元，预决算差异率0.00%，主要原因是：公务用车运行维护费</w:t>
      </w:r>
      <w:r>
        <w:rPr>
          <w:rFonts w:hint="eastAsia" w:ascii="仿宋_GB2312" w:eastAsia="仿宋_GB2312"/>
          <w:b w:val="0"/>
          <w:sz w:val="32"/>
          <w:szCs w:val="32"/>
          <w:lang w:val="en-US" w:eastAsia="zh-CN"/>
        </w:rPr>
        <w:t>无变动</w:t>
      </w:r>
      <w:r>
        <w:rPr>
          <w:rFonts w:ascii="仿宋_GB2312" w:eastAsia="仿宋_GB2312"/>
          <w:b w:val="0"/>
          <w:sz w:val="32"/>
          <w:szCs w:val="32"/>
        </w:rPr>
        <w:t>。公务接待费全年预算数0.00万元，决算数0.00万元，预决算差异率0.00%，主要原因是：公务接待费</w:t>
      </w:r>
      <w:r>
        <w:rPr>
          <w:rFonts w:hint="eastAsia" w:ascii="仿宋_GB2312" w:eastAsia="仿宋_GB2312"/>
          <w:b w:val="0"/>
          <w:sz w:val="32"/>
          <w:szCs w:val="32"/>
          <w:lang w:val="en-US" w:eastAsia="zh-CN"/>
        </w:rPr>
        <w:t>无变动</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2024年度库尔勒市普惠乡人民政府单位机关运行经费支出817.10万元，比上年增加60.81万元，增长8.04%，主要原因是：</w:t>
      </w:r>
      <w:r>
        <w:rPr>
          <w:rFonts w:hint="eastAsia" w:eastAsia="仿宋_GB2312" w:cs="Times New Roman"/>
          <w:color w:val="auto"/>
          <w:sz w:val="32"/>
          <w:szCs w:val="32"/>
          <w:highlight w:val="none"/>
          <w:lang w:val="en-US" w:eastAsia="zh-CN"/>
        </w:rPr>
        <w:t>本年增加相应</w:t>
      </w:r>
      <w:r>
        <w:rPr>
          <w:rFonts w:hint="eastAsia" w:ascii="Times New Roman" w:hAnsi="Times New Roman" w:eastAsia="仿宋_GB2312" w:cs="Times New Roman"/>
          <w:color w:val="auto"/>
          <w:sz w:val="32"/>
          <w:szCs w:val="32"/>
          <w:highlight w:val="none"/>
          <w:lang w:val="en-US" w:eastAsia="zh-CN"/>
        </w:rPr>
        <w:t>机关运行经费支出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2024年度政府采购支出总额35.37万元，其中：政府采购货物支出4.85万元、政府采购工程支出0.00万元、政府采购服务支出30.52万元。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授予中小企业合同金额35.37万元，占政府采购支出总额的100.00%，其中：授予小微企业合同金额34.68万元，占政府采购支出总额的98.05%。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8,758.00平方米，价值1,605.47万元。车辆12辆，价值139.61万元，其中：副部（省）级及以上领导用车0辆、主要负责人用车0辆、机要通信用车0辆、应急保障用车0辆、执法执勤用车3辆、特种专业技术用车0辆、离退休干部服务用车0辆、其他用车9辆，其他用车主要是：;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2777.71</w:t>
      </w:r>
      <w:r>
        <w:rPr>
          <w:rFonts w:ascii="仿宋_GB2312" w:eastAsia="仿宋_GB2312"/>
          <w:b w:val="0"/>
          <w:sz w:val="32"/>
          <w:szCs w:val="32"/>
        </w:rPr>
        <w:t>万元，实际执行总额</w:t>
      </w:r>
      <w:r>
        <w:rPr>
          <w:rFonts w:hint="eastAsia" w:ascii="仿宋_GB2312" w:eastAsia="仿宋_GB2312"/>
          <w:b w:val="0"/>
          <w:sz w:val="32"/>
          <w:szCs w:val="32"/>
          <w:lang w:val="en-US" w:eastAsia="zh-CN"/>
        </w:rPr>
        <w:t>2209.23</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12</w:t>
      </w:r>
      <w:r>
        <w:rPr>
          <w:rFonts w:ascii="仿宋_GB2312" w:eastAsia="仿宋_GB2312"/>
          <w:b w:val="0"/>
          <w:sz w:val="32"/>
          <w:szCs w:val="32"/>
        </w:rPr>
        <w:t>个，全年预算数</w:t>
      </w:r>
      <w:r>
        <w:rPr>
          <w:rFonts w:hint="eastAsia" w:ascii="仿宋_GB2312" w:eastAsia="仿宋_GB2312"/>
          <w:b w:val="0"/>
          <w:sz w:val="32"/>
          <w:szCs w:val="32"/>
          <w:lang w:val="en-US" w:eastAsia="zh-CN"/>
        </w:rPr>
        <w:t>185.07</w:t>
      </w:r>
      <w:r>
        <w:rPr>
          <w:rFonts w:ascii="仿宋_GB2312" w:eastAsia="仿宋_GB2312"/>
          <w:b w:val="0"/>
          <w:sz w:val="32"/>
          <w:szCs w:val="32"/>
        </w:rPr>
        <w:t>万元，全年执行数</w:t>
      </w:r>
      <w:r>
        <w:rPr>
          <w:rFonts w:hint="eastAsia" w:ascii="仿宋_GB2312" w:eastAsia="仿宋_GB2312"/>
          <w:b w:val="0"/>
          <w:sz w:val="32"/>
          <w:szCs w:val="32"/>
          <w:lang w:val="en-US" w:eastAsia="zh-CN"/>
        </w:rPr>
        <w:t>151.61</w:t>
      </w:r>
      <w:bookmarkStart w:id="0" w:name="_GoBack"/>
      <w:bookmarkEnd w:id="0"/>
      <w:r>
        <w:rPr>
          <w:rFonts w:ascii="仿宋_GB2312" w:eastAsia="仿宋_GB2312"/>
          <w:b w:val="0"/>
          <w:sz w:val="32"/>
          <w:szCs w:val="32"/>
        </w:rPr>
        <w:t>万元。预算绩效管理取得的成效：</w:t>
      </w:r>
      <w:r>
        <w:rPr>
          <w:rFonts w:hint="eastAsia" w:ascii="仿宋_GB2312" w:eastAsia="仿宋_GB2312"/>
          <w:color w:val="auto"/>
          <w:sz w:val="32"/>
          <w:szCs w:val="32"/>
        </w:rPr>
        <w:t>一是</w:t>
      </w:r>
      <w:r>
        <w:rPr>
          <w:rFonts w:hint="eastAsia" w:ascii="仿宋_GB2312" w:eastAsia="仿宋_GB2312"/>
          <w:color w:val="auto"/>
          <w:sz w:val="32"/>
          <w:szCs w:val="32"/>
          <w:lang w:val="en-US" w:eastAsia="zh-CN"/>
        </w:rPr>
        <w:t>提高了绩效目标的科学性、规范性、使用性</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开展绩效自评提升了自评质量</w:t>
      </w:r>
      <w:r>
        <w:rPr>
          <w:rFonts w:ascii="仿宋_GB2312" w:eastAsia="仿宋_GB2312"/>
          <w:b w:val="0"/>
          <w:sz w:val="32"/>
          <w:szCs w:val="32"/>
        </w:rPr>
        <w:t>。发现的问题及原因：</w:t>
      </w:r>
      <w:r>
        <w:rPr>
          <w:rFonts w:hint="eastAsia" w:ascii="仿宋_GB2312" w:eastAsia="仿宋_GB2312"/>
          <w:b w:val="0"/>
          <w:sz w:val="32"/>
          <w:szCs w:val="32"/>
          <w:lang w:val="en-US" w:eastAsia="zh-CN"/>
        </w:rPr>
        <w:t>一是</w:t>
      </w:r>
      <w:r>
        <w:rPr>
          <w:rFonts w:hint="eastAsia" w:ascii="仿宋_GB2312" w:eastAsia="仿宋_GB2312"/>
          <w:b w:val="0"/>
          <w:sz w:val="32"/>
          <w:szCs w:val="32"/>
        </w:rPr>
        <w:t>预算绩效观念不深入。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eastAsia="仿宋_GB2312"/>
          <w:b w:val="0"/>
          <w:sz w:val="32"/>
          <w:szCs w:val="32"/>
          <w:lang w:val="en-US" w:eastAsia="zh-CN"/>
        </w:rPr>
        <w:t>二是</w:t>
      </w:r>
      <w:r>
        <w:rPr>
          <w:rFonts w:hint="eastAsia" w:ascii="仿宋_GB2312" w:eastAsia="仿宋_GB2312"/>
          <w:b w:val="0"/>
          <w:sz w:val="32"/>
          <w:szCs w:val="32"/>
        </w:rPr>
        <w:t>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w:t>
      </w:r>
      <w:r>
        <w:rPr>
          <w:rFonts w:hint="eastAsia" w:ascii="仿宋_GB2312" w:eastAsia="仿宋_GB2312"/>
          <w:b w:val="0"/>
          <w:sz w:val="32"/>
          <w:szCs w:val="32"/>
          <w:lang w:eastAsia="zh-CN"/>
        </w:rPr>
        <w:t>。</w:t>
      </w:r>
      <w:r>
        <w:rPr>
          <w:rFonts w:ascii="仿宋_GB2312" w:eastAsia="仿宋_GB2312"/>
          <w:b w:val="0"/>
          <w:sz w:val="32"/>
          <w:szCs w:val="32"/>
        </w:rPr>
        <w:t>下一步改进措施：</w:t>
      </w:r>
      <w:r>
        <w:rPr>
          <w:rFonts w:hint="eastAsia" w:ascii="仿宋_GB2312" w:eastAsia="仿宋_GB2312"/>
          <w:b w:val="0"/>
          <w:sz w:val="32"/>
          <w:szCs w:val="32"/>
          <w:lang w:val="en-US" w:eastAsia="zh-CN"/>
        </w:rPr>
        <w:t>一是</w:t>
      </w:r>
      <w:r>
        <w:rPr>
          <w:rFonts w:hint="eastAsia" w:ascii="仿宋_GB2312" w:eastAsia="仿宋_GB2312"/>
          <w:b w:val="0"/>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Fonts w:hint="eastAsia" w:ascii="仿宋_GB2312" w:eastAsia="仿宋_GB2312"/>
          <w:b w:val="0"/>
          <w:sz w:val="32"/>
          <w:szCs w:val="32"/>
          <w:lang w:val="en-US" w:eastAsia="zh-CN"/>
        </w:rPr>
        <w:t>二是</w:t>
      </w:r>
      <w:r>
        <w:rPr>
          <w:rFonts w:hint="eastAsia" w:ascii="仿宋_GB2312" w:eastAsia="仿宋_GB2312"/>
          <w:b w:val="0"/>
          <w:sz w:val="32"/>
          <w:szCs w:val="32"/>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r>
        <w:rPr>
          <w:b w:val="0"/>
          <w:sz w:val="0"/>
          <w:szCs w:val="0"/>
        </w:rPr>
        <w:br w:type="page"/>
      </w: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-633095</wp:posOffset>
            </wp:positionH>
            <wp:positionV relativeFrom="paragraph">
              <wp:posOffset>252095</wp:posOffset>
            </wp:positionV>
            <wp:extent cx="6770370" cy="7565390"/>
            <wp:effectExtent l="0" t="0" r="11430" b="16510"/>
            <wp:wrapNone/>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4"/>
                    <a:stretch>
                      <a:fillRect/>
                    </a:stretch>
                  </pic:blipFill>
                  <pic:spPr>
                    <a:xfrm>
                      <a:off x="0" y="0"/>
                      <a:ext cx="6770370" cy="756539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-641350</wp:posOffset>
            </wp:positionH>
            <wp:positionV relativeFrom="paragraph">
              <wp:posOffset>29845</wp:posOffset>
            </wp:positionV>
            <wp:extent cx="6748780" cy="7539355"/>
            <wp:effectExtent l="0" t="0" r="13970" b="4445"/>
            <wp:wrapNone/>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5"/>
                    <a:stretch>
                      <a:fillRect/>
                    </a:stretch>
                  </pic:blipFill>
                  <pic:spPr>
                    <a:xfrm>
                      <a:off x="0" y="0"/>
                      <a:ext cx="6748780" cy="753935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-606425</wp:posOffset>
            </wp:positionH>
            <wp:positionV relativeFrom="paragraph">
              <wp:posOffset>0</wp:posOffset>
            </wp:positionV>
            <wp:extent cx="6732905" cy="7604760"/>
            <wp:effectExtent l="0" t="0" r="10795" b="15240"/>
            <wp:wrapNone/>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6"/>
                    <a:stretch>
                      <a:fillRect/>
                    </a:stretch>
                  </pic:blipFill>
                  <pic:spPr>
                    <a:xfrm>
                      <a:off x="0" y="0"/>
                      <a:ext cx="6732905" cy="760476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-614045</wp:posOffset>
            </wp:positionH>
            <wp:positionV relativeFrom="paragraph">
              <wp:posOffset>0</wp:posOffset>
            </wp:positionV>
            <wp:extent cx="6757670" cy="7309485"/>
            <wp:effectExtent l="0" t="0" r="5080" b="5715"/>
            <wp:wrapNone/>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7"/>
                    <a:stretch>
                      <a:fillRect/>
                    </a:stretch>
                  </pic:blipFill>
                  <pic:spPr>
                    <a:xfrm>
                      <a:off x="0" y="0"/>
                      <a:ext cx="6757670" cy="730948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-614680</wp:posOffset>
            </wp:positionH>
            <wp:positionV relativeFrom="paragraph">
              <wp:posOffset>104140</wp:posOffset>
            </wp:positionV>
            <wp:extent cx="6757035" cy="7997825"/>
            <wp:effectExtent l="0" t="0" r="5715" b="3175"/>
            <wp:wrapNone/>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8"/>
                    <a:stretch>
                      <a:fillRect/>
                    </a:stretch>
                  </pic:blipFill>
                  <pic:spPr>
                    <a:xfrm>
                      <a:off x="0" y="0"/>
                      <a:ext cx="6757035" cy="799782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-579120</wp:posOffset>
            </wp:positionH>
            <wp:positionV relativeFrom="paragraph">
              <wp:posOffset>0</wp:posOffset>
            </wp:positionV>
            <wp:extent cx="6690360" cy="7602855"/>
            <wp:effectExtent l="0" t="0" r="15240" b="17145"/>
            <wp:wrapNone/>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9"/>
                    <a:stretch>
                      <a:fillRect/>
                    </a:stretch>
                  </pic:blipFill>
                  <pic:spPr>
                    <a:xfrm>
                      <a:off x="0" y="0"/>
                      <a:ext cx="6690360" cy="760285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-588010</wp:posOffset>
            </wp:positionH>
            <wp:positionV relativeFrom="paragraph">
              <wp:posOffset>48260</wp:posOffset>
            </wp:positionV>
            <wp:extent cx="6674485" cy="3660140"/>
            <wp:effectExtent l="0" t="0" r="12065" b="16510"/>
            <wp:wrapNone/>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0"/>
                    <a:stretch>
                      <a:fillRect/>
                    </a:stretch>
                  </pic:blipFill>
                  <pic:spPr>
                    <a:xfrm>
                      <a:off x="0" y="0"/>
                      <a:ext cx="6674485" cy="366014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8480" behindDoc="0" locked="0" layoutInCell="1" allowOverlap="1">
            <wp:simplePos x="0" y="0"/>
            <wp:positionH relativeFrom="column">
              <wp:posOffset>-272415</wp:posOffset>
            </wp:positionH>
            <wp:positionV relativeFrom="page">
              <wp:posOffset>1269365</wp:posOffset>
            </wp:positionV>
            <wp:extent cx="5863590" cy="2190750"/>
            <wp:effectExtent l="0" t="0" r="3810" b="381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63590" cy="219075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-657225</wp:posOffset>
            </wp:positionH>
            <wp:positionV relativeFrom="paragraph">
              <wp:posOffset>433070</wp:posOffset>
            </wp:positionV>
            <wp:extent cx="6836410" cy="2659380"/>
            <wp:effectExtent l="0" t="0" r="2540" b="7620"/>
            <wp:wrapNone/>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2"/>
                    <a:stretch>
                      <a:fillRect/>
                    </a:stretch>
                  </pic:blipFill>
                  <pic:spPr>
                    <a:xfrm>
                      <a:off x="0" y="0"/>
                      <a:ext cx="6836410" cy="2659380"/>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ocumentProtection w:enforcement="0"/>
  <w:compat>
    <w:useFELayout/>
    <w:splitPgBreakAndParaMark/>
    <w:compatSetting w:name="compatibilityMode" w:uri="http://schemas.microsoft.com/office/word" w:val="12"/>
  </w:compat>
  <w:rsids>
    <w:rsidRoot w:val="00172A27"/>
    <w:rsid w:val="027628B8"/>
    <w:rsid w:val="02BD03B4"/>
    <w:rsid w:val="07D50C9F"/>
    <w:rsid w:val="08A17EE6"/>
    <w:rsid w:val="0B45222C"/>
    <w:rsid w:val="0B951A08"/>
    <w:rsid w:val="0BC4304A"/>
    <w:rsid w:val="0F2D1BCE"/>
    <w:rsid w:val="1371416C"/>
    <w:rsid w:val="1778778A"/>
    <w:rsid w:val="17A91A26"/>
    <w:rsid w:val="187062BD"/>
    <w:rsid w:val="1E122958"/>
    <w:rsid w:val="1E307134"/>
    <w:rsid w:val="1F1C1DE7"/>
    <w:rsid w:val="1F3661CA"/>
    <w:rsid w:val="22FF10FC"/>
    <w:rsid w:val="24F84B43"/>
    <w:rsid w:val="26A10986"/>
    <w:rsid w:val="27F0693D"/>
    <w:rsid w:val="295C140D"/>
    <w:rsid w:val="29684E37"/>
    <w:rsid w:val="2FA1023D"/>
    <w:rsid w:val="344E544B"/>
    <w:rsid w:val="38D12596"/>
    <w:rsid w:val="39ED66FE"/>
    <w:rsid w:val="3B305EAE"/>
    <w:rsid w:val="3C313266"/>
    <w:rsid w:val="3DEE6DAB"/>
    <w:rsid w:val="407F39EB"/>
    <w:rsid w:val="40E13CF9"/>
    <w:rsid w:val="464066D5"/>
    <w:rsid w:val="46BA36CD"/>
    <w:rsid w:val="48596218"/>
    <w:rsid w:val="4C977671"/>
    <w:rsid w:val="518057B9"/>
    <w:rsid w:val="52783D51"/>
    <w:rsid w:val="536E3FB6"/>
    <w:rsid w:val="58C2451D"/>
    <w:rsid w:val="5A333033"/>
    <w:rsid w:val="5AAE7BAE"/>
    <w:rsid w:val="5B290766"/>
    <w:rsid w:val="5C086410"/>
    <w:rsid w:val="5FB458F2"/>
    <w:rsid w:val="63731CA2"/>
    <w:rsid w:val="67E148F1"/>
    <w:rsid w:val="69854090"/>
    <w:rsid w:val="69F84559"/>
    <w:rsid w:val="6D7E38D1"/>
    <w:rsid w:val="6F200D02"/>
    <w:rsid w:val="6FA40338"/>
    <w:rsid w:val="6FF776DA"/>
    <w:rsid w:val="70C87921"/>
    <w:rsid w:val="73956647"/>
    <w:rsid w:val="745B3A09"/>
    <w:rsid w:val="76754627"/>
    <w:rsid w:val="7906710A"/>
    <w:rsid w:val="7BBF30A8"/>
    <w:rsid w:val="7C3F4260"/>
    <w:rsid w:val="7FD61B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2025-08-13T03:11:00Z</dcterms:created>
  <dc:creator>Administrator</dc:creator>
  <cp:lastModifiedBy>Administrator</cp:lastModifiedBy>
  <dcterms:modified xsi:type="dcterms:W3CDTF">2025-08-20T10:14:39Z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