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库尔勒民俗文化博物馆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ind w:firstLine="640" w:firstLineChars="200"/>
        <w:rPr>
          <w:rFonts w:hint="eastAsia" w:ascii="仿宋_GB2312" w:eastAsia="仿宋_GB2312"/>
          <w:sz w:val="32"/>
          <w:szCs w:val="32"/>
        </w:rPr>
      </w:pPr>
      <w:r>
        <w:rPr>
          <w:rFonts w:hint="eastAsia" w:ascii="仿宋_GB2312" w:eastAsia="仿宋_GB2312"/>
          <w:sz w:val="32"/>
          <w:szCs w:val="32"/>
        </w:rPr>
        <w:t>1、负责征集、收藏、保管、陈列、展示民间遗产和具有历史、艺术、科学、人文价值的可移动文物；</w:t>
      </w:r>
    </w:p>
    <w:p>
      <w:pPr>
        <w:ind w:firstLine="640" w:firstLineChars="200"/>
        <w:rPr>
          <w:rFonts w:hint="eastAsia" w:ascii="仿宋_GB2312" w:eastAsia="仿宋_GB2312"/>
          <w:sz w:val="32"/>
          <w:szCs w:val="32"/>
        </w:rPr>
      </w:pPr>
      <w:r>
        <w:rPr>
          <w:rFonts w:hint="eastAsia" w:ascii="仿宋_GB2312" w:eastAsia="仿宋_GB2312"/>
          <w:sz w:val="32"/>
          <w:szCs w:val="32"/>
        </w:rPr>
        <w:t>2、负责场馆的日常运行、维护和馆藏文物的防火、防盗等安全工作；</w:t>
      </w:r>
    </w:p>
    <w:p>
      <w:pPr>
        <w:ind w:firstLine="640" w:firstLineChars="200"/>
        <w:rPr>
          <w:rFonts w:hint="eastAsia" w:ascii="仿宋_GB2312" w:eastAsia="仿宋_GB2312"/>
          <w:sz w:val="32"/>
          <w:szCs w:val="32"/>
        </w:rPr>
      </w:pPr>
      <w:r>
        <w:rPr>
          <w:rFonts w:hint="eastAsia" w:ascii="仿宋_GB2312" w:eastAsia="仿宋_GB2312"/>
          <w:sz w:val="32"/>
          <w:szCs w:val="32"/>
        </w:rPr>
        <w:t>3、负责组织开展针对馆藏文物的爱国主义宣传教育活动；</w:t>
      </w:r>
    </w:p>
    <w:p>
      <w:pPr>
        <w:ind w:firstLine="640" w:firstLineChars="200"/>
        <w:rPr>
          <w:rFonts w:hint="eastAsia" w:ascii="仿宋_GB2312" w:eastAsia="仿宋_GB2312"/>
          <w:sz w:val="32"/>
          <w:szCs w:val="32"/>
        </w:rPr>
      </w:pPr>
      <w:r>
        <w:rPr>
          <w:rFonts w:hint="eastAsia" w:ascii="仿宋_GB2312" w:eastAsia="仿宋_GB2312"/>
          <w:sz w:val="32"/>
          <w:szCs w:val="32"/>
        </w:rPr>
        <w:t>4、负责馆藏文物的管理、保护和整理研究工作；</w:t>
      </w:r>
    </w:p>
    <w:p>
      <w:pPr>
        <w:ind w:firstLine="640" w:firstLineChars="200"/>
        <w:rPr>
          <w:rFonts w:ascii="仿宋_GB2312" w:eastAsia="仿宋_GB2312"/>
          <w:sz w:val="32"/>
          <w:szCs w:val="32"/>
        </w:rPr>
      </w:pPr>
      <w:r>
        <w:rPr>
          <w:rFonts w:hint="eastAsia" w:ascii="仿宋_GB2312" w:eastAsia="仿宋_GB2312"/>
          <w:sz w:val="32"/>
          <w:szCs w:val="32"/>
        </w:rPr>
        <w:t>5、承办市委、市人民政府交办的其他任务。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库尔勒民俗文化博物馆2024年度，实有人数5人，其中：在职人员5人，较上年无变化；离休人员0人，较上年无变化；退休人员0人，较上年无变化；</w:t>
      </w:r>
    </w:p>
    <w:p>
      <w:pPr>
        <w:ind w:firstLine="640" w:firstLineChars="200"/>
        <w:rPr>
          <w:rFonts w:ascii="仿宋_GB2312" w:hAnsi="宋体" w:eastAsia="仿宋_GB2312" w:cs="宋体"/>
          <w:kern w:val="0"/>
          <w:sz w:val="32"/>
          <w:szCs w:val="32"/>
        </w:rPr>
      </w:pPr>
      <w:r>
        <w:rPr>
          <w:rFonts w:ascii="仿宋_GB2312" w:eastAsia="仿宋_GB2312"/>
          <w:b w:val="0"/>
          <w:sz w:val="32"/>
          <w:szCs w:val="32"/>
        </w:rPr>
        <w:t>库尔勒民俗文化博物馆无下属预算单位，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办公室，财务室、陈列部、宣教部。</w:t>
      </w: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2024年度收入总计262.18万元，其中：本年收入合计262.18万元，使用非财政拨款结余（含专用结余）0.00万元，年初结转和结余0.00万元。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2024年度支出总计262.18万元，其中：本年支出合计262.18万元，结余分配0.00万元，年末结转和结余0.00万元。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收入支出总体与上年相比，减少305.08万元，下降53.78%，主要原因是：</w:t>
      </w:r>
      <w:r>
        <w:rPr>
          <w:rFonts w:hint="eastAsia" w:ascii="仿宋_GB2312" w:eastAsia="仿宋_GB2312"/>
          <w:b w:val="0"/>
          <w:sz w:val="32"/>
          <w:szCs w:val="32"/>
          <w:lang w:val="en-US" w:eastAsia="zh-CN"/>
        </w:rPr>
        <w:t>本年度</w:t>
      </w:r>
      <w:r>
        <w:rPr>
          <w:rFonts w:hint="eastAsia" w:ascii="仿宋_GB2312" w:eastAsia="仿宋_GB2312"/>
          <w:b w:val="0"/>
          <w:sz w:val="32"/>
          <w:szCs w:val="32"/>
        </w:rPr>
        <w:t>减少了文物保护项目支出，辞退了5名编外人员</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本年收入262.18万元，其中：财政拨款收入262.18万元,占100.00%；上级补助收入0.00万元,占0.00%；事业收入0.00万元，占0.00%；经营收入0.00万元,占0.00%；附属单位上缴收入0.00万元，占0.00%；其他收入0.00万元，占0.00%。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本年支出262.18万元，其中：基本支出118.58万元，占45.23%；项目支出143.60万元，占54.77%；上缴上级支出0.00万元，占0.00%；经营支出0.00万元，占0.00%；对附属单位补助支出0.00万元，占0.00%。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2024年度财政拨款收入总计262.18万元，其中：年初财政拨款结转和结余0.00万元，本年财政拨款收入262.18万元。财政拨款支出总计262.18万元，其中：年末财政拨款结转和结余0.00万元，本年财政拨款支出262.18万元。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财政拨款收入支出总体与上年相比，减少305.08万元，下降53.78%，主要原因是：。与年初预算相比，年初预算数210.41万元，决算数262.18万元，预决算差异率24.60%，主要原因是：。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2024年度一般公共预算财政拨款支出262.18万元，占本年支出合计的100.00%。与上年相比，减少305.08万元，下降53.78%，主要原因是：</w:t>
      </w:r>
      <w:r>
        <w:rPr>
          <w:rFonts w:hint="eastAsia" w:ascii="仿宋_GB2312" w:eastAsia="仿宋_GB2312"/>
          <w:b w:val="0"/>
          <w:sz w:val="32"/>
          <w:szCs w:val="32"/>
          <w:lang w:val="en-US" w:eastAsia="zh-CN"/>
        </w:rPr>
        <w:t>本年度</w:t>
      </w:r>
      <w:r>
        <w:rPr>
          <w:rFonts w:hint="eastAsia" w:ascii="仿宋_GB2312" w:eastAsia="仿宋_GB2312"/>
          <w:b w:val="0"/>
          <w:sz w:val="32"/>
          <w:szCs w:val="32"/>
        </w:rPr>
        <w:t>减少了文物保护项目支出，辞退了5名编外人员</w:t>
      </w:r>
      <w:r>
        <w:rPr>
          <w:rFonts w:ascii="仿宋_GB2312" w:eastAsia="仿宋_GB2312"/>
          <w:b w:val="0"/>
          <w:sz w:val="32"/>
          <w:szCs w:val="32"/>
        </w:rPr>
        <w:t>。与年初预算相比，年初预算数210.41万元，决算数262.18万元，预决算差异率24.60%，主要原因是：</w:t>
      </w:r>
      <w:r>
        <w:rPr>
          <w:rFonts w:hint="eastAsia" w:ascii="仿宋_GB2312" w:eastAsia="仿宋_GB2312"/>
          <w:b w:val="0"/>
          <w:sz w:val="32"/>
          <w:szCs w:val="32"/>
          <w:lang w:val="en-US" w:eastAsia="zh-CN"/>
        </w:rPr>
        <w:t>本年度在职人员晋升，工资上调，社保及公积金缴费基数上调，同时本年度存在未支付完成的文物保护项目资金。</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文化旅游体育与传媒支出（类）262.18万元，占100.00%。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文化旅游体育与传媒支出（类）文物（款）文物保护（项）：支出决算数为38.07万元，比上年决算减少97.97万元，下降72.02%，主要原因是：</w:t>
      </w:r>
      <w:r>
        <w:rPr>
          <w:rFonts w:hint="eastAsia" w:ascii="仿宋_GB2312" w:eastAsia="仿宋_GB2312"/>
          <w:b w:val="0"/>
          <w:sz w:val="32"/>
          <w:szCs w:val="32"/>
          <w:lang w:val="en-US" w:eastAsia="zh-CN"/>
        </w:rPr>
        <w:t xml:space="preserve">本年度减少了文物保护项目的支出。                                                                                                                                                                                                                                                                                                                                                                                                                                                 </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文化旅游体育与传媒支出（类）文物（款）博物馆（项）：支出决算数为221.60万元，比上年决算减少209.62万元，下降48.61%，主要原因是：</w:t>
      </w:r>
      <w:r>
        <w:rPr>
          <w:rFonts w:hint="eastAsia" w:ascii="仿宋_GB2312" w:eastAsia="仿宋_GB2312"/>
          <w:b w:val="0"/>
          <w:sz w:val="32"/>
          <w:szCs w:val="32"/>
          <w:lang w:val="en-US" w:eastAsia="zh-CN"/>
        </w:rPr>
        <w:t>本年度辞退编外人员5名。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文化旅游体育与传媒支出（类）其他文化旅游体育与传媒支出（款）其他文化旅游体育与传媒支出（项）：支出决算数为2.50万元，比上年决算增加2.50万元，增长100.00%，主要原因是：</w:t>
      </w:r>
      <w:r>
        <w:rPr>
          <w:rFonts w:hint="eastAsia" w:ascii="仿宋_GB2312" w:eastAsia="仿宋_GB2312"/>
          <w:b w:val="0"/>
          <w:sz w:val="32"/>
          <w:szCs w:val="32"/>
          <w:lang w:val="en-US" w:eastAsia="zh-CN"/>
        </w:rPr>
        <w:t>购买维护文物用品专用材料费。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118.58万元，其中：人员经费115.35万元，包括：基本工资、津贴补贴、奖金、机关事业单位基本养老保险缴费、职工基本医疗保险缴费、其他社会保障缴费、住房公积金和其他工资福利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公用经费3.23万元，包括：办公费、培训费、工会经费和福利费。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sz w:val="32"/>
          <w:szCs w:val="32"/>
          <w:lang w:val="zh-CN"/>
        </w:rPr>
        <w:t>单位厉行节约，全年未安排“三公”经费支出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我单位无因公出国支出</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val="en-US" w:eastAsia="zh-CN"/>
        </w:rPr>
        <w:t>我单位无公务用车运行维护费支出</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我单位无公务接待支出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sz w:val="32"/>
          <w:szCs w:val="32"/>
          <w:lang w:val="zh-CN"/>
        </w:rPr>
        <w:t>本年未安排因公出国（境）费支出</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zh-CN"/>
        </w:rPr>
        <w:t>我单位无公务用车运行维护费</w:t>
      </w:r>
      <w:r>
        <w:rPr>
          <w:rFonts w:ascii="仿宋_GB2312" w:eastAsia="仿宋_GB2312"/>
          <w:b w:val="0"/>
          <w:sz w:val="32"/>
          <w:szCs w:val="32"/>
        </w:rPr>
        <w:t>。公务用车购置数0辆，公务用车保有量0辆。国有资产占用情况中固定资产车辆0辆，与公务用车保有量差异原因是：</w:t>
      </w:r>
      <w:r>
        <w:rPr>
          <w:rFonts w:hint="eastAsia" w:ascii="仿宋_GB2312" w:eastAsia="仿宋_GB2312"/>
          <w:sz w:val="32"/>
          <w:szCs w:val="32"/>
          <w:lang w:val="en-US" w:eastAsia="zh-CN"/>
        </w:rPr>
        <w:t>与公务用车无差异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sz w:val="32"/>
          <w:szCs w:val="32"/>
          <w:lang w:val="zh-CN"/>
        </w:rPr>
        <w:t>本年未安排公务接待费支出</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sz w:val="32"/>
          <w:szCs w:val="32"/>
          <w:lang w:val="en-US" w:eastAsia="zh-CN"/>
        </w:rPr>
        <w:t>我单位无三公经费支出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lang w:val="en-US" w:eastAsia="zh-CN"/>
        </w:rPr>
        <w:t>我单位无因公出国支出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sz w:val="32"/>
          <w:szCs w:val="32"/>
          <w:lang w:val="en-US" w:eastAsia="zh-CN"/>
        </w:rPr>
        <w:t>我单位无公务用车购置支出</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sz w:val="32"/>
          <w:szCs w:val="32"/>
          <w:lang w:val="en-US" w:eastAsia="zh-CN"/>
        </w:rPr>
        <w:t>我单位无公务用车运行支出</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val="en-US" w:eastAsia="zh-CN"/>
        </w:rPr>
        <w:t>我单位无公务接待支出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2024年度公用经费支出3.23万元，比上年增加2.36万元，增长271.26%，主要原因是：</w:t>
      </w:r>
      <w:r>
        <w:rPr>
          <w:rFonts w:hint="eastAsia" w:ascii="仿宋_GB2312" w:eastAsia="仿宋_GB2312"/>
          <w:b w:val="0"/>
          <w:sz w:val="32"/>
          <w:szCs w:val="32"/>
        </w:rPr>
        <w:t>本年度增加了代理记账支出及办公用品支出</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2024年度政府采购支出总额22.23万元，其中：政府采购货物支出6.07万元、政府采购工程支出0.00万元、政府采购服务支出16.16万元。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授予中小企业合同金额20.95万元，占政府采购支出总额的94.24%，其中：授予小微企业合同金额20.00万元，占政府采购支出总额的89.97%。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eastAsia="仿宋_GB2312"/>
          <w:sz w:val="32"/>
          <w:szCs w:val="32"/>
          <w:lang w:val="zh-CN"/>
        </w:rPr>
        <w:t>无其他用车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262.17</w:t>
      </w:r>
      <w:r>
        <w:rPr>
          <w:rFonts w:ascii="仿宋_GB2312" w:eastAsia="仿宋_GB2312"/>
          <w:b w:val="0"/>
          <w:sz w:val="32"/>
          <w:szCs w:val="32"/>
        </w:rPr>
        <w:t>万元，实际执行总额</w:t>
      </w:r>
      <w:r>
        <w:rPr>
          <w:rFonts w:hint="eastAsia" w:ascii="仿宋_GB2312" w:eastAsia="仿宋_GB2312"/>
          <w:b w:val="0"/>
          <w:sz w:val="32"/>
          <w:szCs w:val="32"/>
          <w:lang w:val="en-US" w:eastAsia="zh-CN"/>
        </w:rPr>
        <w:t>262.17</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71.46</w:t>
      </w:r>
      <w:r>
        <w:rPr>
          <w:rFonts w:ascii="仿宋_GB2312" w:eastAsia="仿宋_GB2312"/>
          <w:b w:val="0"/>
          <w:sz w:val="32"/>
          <w:szCs w:val="32"/>
        </w:rPr>
        <w:t>万元，全年执行数</w:t>
      </w:r>
      <w:r>
        <w:rPr>
          <w:rFonts w:hint="eastAsia" w:ascii="仿宋_GB2312" w:eastAsia="仿宋_GB2312"/>
          <w:b w:val="0"/>
          <w:sz w:val="32"/>
          <w:szCs w:val="32"/>
          <w:lang w:val="en-US" w:eastAsia="zh-CN"/>
        </w:rPr>
        <w:t>70.57</w:t>
      </w:r>
      <w:r>
        <w:rPr>
          <w:rFonts w:ascii="仿宋_GB2312" w:eastAsia="仿宋_GB2312"/>
          <w:b w:val="0"/>
          <w:sz w:val="32"/>
          <w:szCs w:val="32"/>
        </w:rPr>
        <w:t>万元。预算绩效管理取得的成效：</w:t>
      </w:r>
      <w:r>
        <w:rPr>
          <w:rFonts w:hint="eastAsia" w:ascii="仿宋_GB2312" w:eastAsia="仿宋_GB2312"/>
          <w:sz w:val="32"/>
          <w:szCs w:val="32"/>
        </w:rPr>
        <w:t>一是提高了绩效目标的科学性、规范性、使用性；二是开展绩效自评提升了自评质量</w:t>
      </w:r>
      <w:r>
        <w:rPr>
          <w:rFonts w:ascii="仿宋_GB2312" w:eastAsia="仿宋_GB2312"/>
          <w:b w:val="0"/>
          <w:sz w:val="32"/>
          <w:szCs w:val="32"/>
        </w:rPr>
        <w:t>。发现的问题及原因：</w:t>
      </w:r>
      <w:r>
        <w:rPr>
          <w:rFonts w:hint="eastAsia" w:ascii="仿宋_GB2312" w:eastAsia="仿宋_GB2312"/>
          <w:b w:val="0"/>
          <w:sz w:val="32"/>
          <w:szCs w:val="32"/>
          <w:lang w:val="en-US" w:eastAsia="zh-CN"/>
        </w:rPr>
        <w:t>一是</w:t>
      </w:r>
      <w:r>
        <w:rPr>
          <w:rFonts w:hint="eastAsia" w:ascii="仿宋_GB2312" w:eastAsia="仿宋_GB2312"/>
          <w:sz w:val="32"/>
          <w:szCs w:val="32"/>
        </w:rPr>
        <w:t>缺少文物相关的专业人才。人才是博物馆事业发展和兴旺的基本保障和强大支撑，是博物馆事业发展和进步的重要推动力量。目前，馆内人员无文博专业的人才，同时缺乏馆内人员的专岗专项培训；</w:t>
      </w:r>
      <w:r>
        <w:rPr>
          <w:rFonts w:hint="eastAsia" w:ascii="仿宋_GB2312" w:eastAsia="仿宋_GB2312"/>
          <w:sz w:val="32"/>
          <w:szCs w:val="32"/>
          <w:lang w:val="en-US" w:eastAsia="zh-CN"/>
        </w:rPr>
        <w:t>二</w:t>
      </w:r>
      <w:r>
        <w:rPr>
          <w:rFonts w:hint="eastAsia" w:ascii="仿宋_GB2312" w:eastAsia="仿宋_GB2312"/>
          <w:sz w:val="32"/>
          <w:szCs w:val="32"/>
        </w:rPr>
        <w:t>是争取的项目资金使用困难。截至目前我馆已争取到了展陈改造项目、可移动文物预防性保护项目，但在支付方面困难重重，导致项目已验收，但钱还未支付完成或者拖拉的现象；</w:t>
      </w:r>
      <w:r>
        <w:rPr>
          <w:rFonts w:hint="eastAsia" w:ascii="仿宋_GB2312" w:eastAsia="仿宋_GB2312"/>
          <w:sz w:val="32"/>
          <w:szCs w:val="32"/>
          <w:lang w:val="en-US" w:eastAsia="zh-CN"/>
        </w:rPr>
        <w:t>三</w:t>
      </w:r>
      <w:r>
        <w:rPr>
          <w:rFonts w:hint="eastAsia" w:ascii="仿宋_GB2312" w:eastAsia="仿宋_GB2312"/>
          <w:sz w:val="32"/>
          <w:szCs w:val="32"/>
        </w:rPr>
        <w:t>是缺乏文物征集专项费用。我馆现已开馆9年，目前藏品量仅1000余件，其中只有310套在国家文物局网站，没有定级文物镇馆，历史性、故事性文物匮乏严重；</w:t>
      </w:r>
      <w:r>
        <w:rPr>
          <w:rFonts w:hint="eastAsia" w:ascii="仿宋_GB2312" w:eastAsia="仿宋_GB2312"/>
          <w:sz w:val="32"/>
          <w:szCs w:val="32"/>
          <w:lang w:val="en-US" w:eastAsia="zh-CN"/>
        </w:rPr>
        <w:t>四</w:t>
      </w:r>
      <w:r>
        <w:rPr>
          <w:rFonts w:hint="eastAsia" w:ascii="仿宋_GB2312" w:eastAsia="仿宋_GB2312"/>
          <w:sz w:val="32"/>
          <w:szCs w:val="32"/>
        </w:rPr>
        <w:t>是人员抽调频繁。我馆人员本就不足，但时常被相关部门抽调，导致馆内人员严重不足，在一定程度上，影响和制约了博物馆的有序发展</w:t>
      </w:r>
      <w:r>
        <w:rPr>
          <w:rFonts w:ascii="仿宋_GB2312" w:eastAsia="仿宋_GB2312"/>
          <w:b w:val="0"/>
          <w:sz w:val="32"/>
          <w:szCs w:val="32"/>
        </w:rPr>
        <w:t>。下一步改进措施：</w:t>
      </w:r>
      <w:r>
        <w:rPr>
          <w:rFonts w:hint="eastAsia" w:ascii="仿宋_GB2312" w:eastAsia="仿宋_GB2312"/>
          <w:sz w:val="32"/>
          <w:szCs w:val="32"/>
        </w:rPr>
        <w:t>一是把恢复开馆作为中心任务，为受益群众提供更好的参观场地；二是提高绩效管理水平，加强指标设置的科学性和合理性，提高绩效目标和指标的质量；三是加强预算绩效运行监控，在项目实施过程中注意有关佐证材料的留存整理，提高绩效自评的质量；四是加强业务学习，通过对相关人员的绩效知识培训，提高绩效管理工作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-615315</wp:posOffset>
            </wp:positionH>
            <wp:positionV relativeFrom="paragraph">
              <wp:posOffset>169545</wp:posOffset>
            </wp:positionV>
            <wp:extent cx="6988175" cy="7674610"/>
            <wp:effectExtent l="0" t="0" r="3175" b="254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988175" cy="76746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-622935</wp:posOffset>
            </wp:positionH>
            <wp:positionV relativeFrom="paragraph">
              <wp:posOffset>1083310</wp:posOffset>
            </wp:positionV>
            <wp:extent cx="6924675" cy="4323080"/>
            <wp:effectExtent l="0" t="0" r="9525" b="127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6924675" cy="432308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-354330</wp:posOffset>
            </wp:positionH>
            <wp:positionV relativeFrom="paragraph">
              <wp:posOffset>717550</wp:posOffset>
            </wp:positionV>
            <wp:extent cx="6461760" cy="4592955"/>
            <wp:effectExtent l="0" t="0" r="15240" b="1714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6461760" cy="45929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-354330</wp:posOffset>
            </wp:positionH>
            <wp:positionV relativeFrom="paragraph">
              <wp:posOffset>386715</wp:posOffset>
            </wp:positionV>
            <wp:extent cx="6381750" cy="5970270"/>
            <wp:effectExtent l="0" t="0" r="0" b="1143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381750" cy="59702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-216535</wp:posOffset>
            </wp:positionH>
            <wp:positionV relativeFrom="paragraph">
              <wp:posOffset>372745</wp:posOffset>
            </wp:positionV>
            <wp:extent cx="6035040" cy="4446905"/>
            <wp:effectExtent l="0" t="0" r="3810" b="1079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6035040" cy="444690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-367030</wp:posOffset>
            </wp:positionH>
            <wp:positionV relativeFrom="paragraph">
              <wp:posOffset>579755</wp:posOffset>
            </wp:positionV>
            <wp:extent cx="6392545" cy="6784975"/>
            <wp:effectExtent l="0" t="0" r="8255" b="1587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392545" cy="67849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83860" cy="1725295"/>
            <wp:effectExtent l="0" t="0" r="2540" b="1206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0"/>
                    <a:stretch>
                      <a:fillRect/>
                    </a:stretch>
                  </pic:blipFill>
                  <pic:spPr>
                    <a:xfrm>
                      <a:off x="0" y="0"/>
                      <a:ext cx="5483860" cy="172529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9415" cy="1748790"/>
            <wp:effectExtent l="0" t="0" r="6985" b="381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5479415" cy="174879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bookmarkStart w:id="0" w:name="_GoBack"/>
      <w:bookmarkEnd w:id="0"/>
      <w:r>
        <w:drawing>
          <wp:inline distT="0" distB="0" distL="114300" distR="114300">
            <wp:extent cx="5483860" cy="1972310"/>
            <wp:effectExtent l="0" t="0" r="2540" b="889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2"/>
                    <a:stretch>
                      <a:fillRect/>
                    </a:stretch>
                  </pic:blipFill>
                  <pic:spPr>
                    <a:xfrm>
                      <a:off x="0" y="0"/>
                      <a:ext cx="5483860" cy="197231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D3E29ED"/>
    <w:rsid w:val="2DCA7B0E"/>
    <w:rsid w:val="478775BC"/>
    <w:rsid w:val="67EF6031"/>
    <w:rsid w:val="6D0D20EA"/>
    <w:rsid w:val="711D25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2025-08-13T10:04:00Z</dcterms:created>
  <dc:creator>Administrator</dc:creator>
  <cp:lastModifiedBy>lenovo</cp:lastModifiedBy>
  <dcterms:modified xsi:type="dcterms:W3CDTF">2025-08-19T11:26:36Z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1C47DFE2FE9D4A348EDDF2693D6B3274</vt:lpwstr>
  </property>
</Properties>
</file>