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库尔勒市文化馆</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承担大型文化活动策划、组织与实施，指导全市开展各种形式的文化活动；举办各类文化艺术培训、文艺演出、展览、文艺创作、鉴赏等活动；承办上级主管部门布置的各种群文工作；组织文艺骨干培训，组织开展群众业余文化艺术交流、研讨；负责场馆日常运行和维护工作，保障文化活动场地设施、文化阵地建设、公共文化服务；搜集、整理、保护民族民间文化艺术遗产；承办市委市人民政府交办的其他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库尔勒市文化馆内设4个科室（办公室、培训策划演出部、外宣部、非遗办）。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库尔勒市文化馆编制数12，实有人数12人，其中：在职10人，增加0人；退休2人，增加2人；离休0人，增加0人。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目标1：承担文化活动策划、组织、实施开展各种形式群众文化活动不少于4次。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目标2：举办展览，开展公共教育和观众体验拓展活动提高各类宣传文化活动、培训、绿化、日常办公质量 ,发扬传承优秀文化艺术，文化艺术群众普及，丰富群众精神文化需求。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目标3：文化活动场地、设备维修及更新，成为使群众文化惠民活动理想满意的场所，提高艺术活动设备的质量和品质，更好的创作文化品牌活动。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目标4：出版《库尔勒赛乃姆舞蹈部分》教材1 版，组织拍摄《非物质文化遗产——库尔勒赛乃姆》专题宣传片1部，编撰《新疆维吾尔族库尔勒赛乃姆民间艺术合集》1部。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一是抓好理论学习。组织开展党的二十大精神、习近平新时代中国特色社会主义思想专题摘编、习近平总书记系列</w:t>
      </w:r>
      <w:r>
        <w:rPr>
          <w:rFonts w:hint="eastAsia" w:ascii="仿宋_GB2312" w:hAnsi="宋体" w:eastAsia="仿宋_GB2312"/>
          <w:bCs/>
          <w:sz w:val="32"/>
          <w:szCs w:val="32"/>
          <w:lang w:val="en-US" w:eastAsia="zh-CN"/>
        </w:rPr>
        <w:t>重要</w:t>
      </w:r>
      <w:r>
        <w:rPr>
          <w:rFonts w:hint="eastAsia" w:ascii="仿宋_GB2312" w:hAnsi="宋体" w:eastAsia="仿宋_GB2312"/>
          <w:bCs/>
          <w:sz w:val="32"/>
          <w:szCs w:val="32"/>
        </w:rPr>
        <w:t>讲话精神学习和党纪学习教育。二是抓好党建制度落实。落实“三会一课”、主、题党日等党的组织生活制度，召开支部党员大会，完成上级交办的各项任务。三是确保意识形态阵地和领域安全。每周开展意识形态专题学习，每季度按要求召开意识形态分析研判会，紧盯我馆演出节目、培训教案、展览作品、举办各类活动、非遗等各项意识形态薄弱环节，加强各类审读工作，维护我馆意识形态领域安全。四是加强党风廉政建设。开展节前廉政谈话，廉政教育，举办廉洁文化作品展等。五是开展文化活动。围绕“我们的节日”主题开展节庆文化品牌活动，春节、元宵、清明、端午、七夕、中秋、重阳举办传统节日文化体验活动，融入非遗剪纸、茶艺和传统文化书法、戏曲活动，举办各类展览。六是文化培训服务。在春、秋两季开展群众免费开放培训，寒暑假针对青少年开办免费培训班，开设音乐、舞蹈、美术、书法等课程。七是文化下基层活动。丰富群众文化生活，落实文化惠民政策，开展文化下基层、文化进万家演出活动送社区、送乡镇、送街道。八是文化遗产保护传承。开展非遗活动，举办非遗传承人技能培训班，举办“非遗日”库尔勒赛乃姆展演比赛，举办非遗展览，在各乡镇开展国家级非遗项目库尔勒赛乃姆文艺队巡回演出，邀请专家对库尔勒赛乃姆歌曲进行编曲，做好库尔勒市级、州级、区级非遗项申报工作。九是公共文化设施维修维护。改善了群众文化活动的硬件条件，保障设施免费开放与高效利用，场馆设施进行优化升级，维护更新设备和场地，充分发挥了公共文化设施的服务功能。</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 xml:space="preserve">2024年库尔勒市文化馆年初预算安排369.40万元，其中财政拨款369.40万元，其他资金0万元，主要用于库尔勒市文化馆13名在职人员及14名外聘人员的工资、津贴、补贴、社保、医保、绩效、公积金；文化活动策划、组织、实施开展各种形式群众文化活动；举办各类展览，开展公共教育和观众体验拓展活动；文化活动场地、设备维修及更新等；出版《库尔勒赛乃姆舞蹈部分》教材，组织拍摄《非物质文化遗产—库尔勒赛乃姆》专题宣传片等。年中调整14.93万元，调整后全年预算354.47万元，预算调整率4.04%，调整预算的主要原因为一是在职人员薪酬结构调整，根据最新工资政策标准补发工资。二是临聘人员社保医保年度基数调整，推动了人员经费预算的调整。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紧密围绕传承弘扬中华传统文化、推进文化服务的核心工作，科学谋划预算资金布局。严格遵循财政单位规定的编制程序和要求，结合场馆人员配置、文化项目、免费开放等实际需求，及时、精准完成单位预算编制申报工作。同时，针对国家非遗保护项目、免费开放补助资金等重点项目，合理设定入库项目绩效指标与年度目标值，构建起涵盖非遗保护成效、公共服务质量、资金使用效率等维度的单位整体支出核心绩效指标体系，并规范编报单位整体预算申请绩效报告，切实提升财政资金配置的科学性与效益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库尔勒市财政批复预算后，库尔勒市文化馆迅速响应，依据批复内容及时制定并报批单位预算支出计划。严格落实预算执行定期分析机制，每月对人员经费、免费开放经费、非遗保护专项经费、场馆运营费用等支出情况进行梳理研判，动态调整执行节奏，确保资金使用与业务开展紧密衔接。始终严守财经纪律，强化预算刚性约束，持续深化厉行节约理念，严格控制差旅、会议等一般性支出，通过优化采购流程、盘活存量资产等措施，有效降低场馆事业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2024年，库尔勒市文化馆全面贯彻财政单位关于预算绩效管理的工作要求，将绩效管理贯穿预算编制、执行、监督全过程：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①注重绩效目标编制。在预算编制环节，结合非遗保护、免费开放、公共文化活动开展等实际业务需求，细化量化预算资金使用方向，科学选取培训项目完成率、展览观众满意度、活动覆盖率等绩效指标，并合理设置绩效目标值。同时，严格按照财政统一规范，编制事前绩效报告，详细阐述项目实施必要性、资金测算依据及预期效益，为财政资金精准投放奠定坚实基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②落实绩效“双监控”。在预算执行过程中，以年度支出计划为基准，建立常态化的预算执行与绩效目标落实情况分析机制。依托财政预算绩效管理平台，分别于5月、8月开展两次预算执行动态监控，重点关注非遗保护项目进度、免费开放服务质量等核心指标，对执行偏差及时预警并采取纠偏措施，确保绩效目标如期实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③扎实开展自评工作。年度结束后，库尔勒市文化馆组织专业力量，对全年预算绩效目标完成情况开展全面、深入的单位审核与自评工作。通过对比绩效目标与实际完成情况，客观评价财政资金使用效益，总结经验、查摆问题，为后续预算管理和业务优化提供有力参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我单位已按要求在库尔勒市人民政府门户网站公开单位预算信息，同步公开绩效目标表；在库尔勒市人民政府门户网站公开单位决算信息，同步公开自评表及自评报告。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255.29万元，包括工资福利支出251.72万元，商品和服务支出2.69万元，对个人和家庭的补助0.88万元，资本性支出0.00万元。其中：“三公”经费支出0.00万元，比上年增加0.00万元，主要原因是我单位无此项支出；会议费支出0.00万元，比上年增加0.00万元，主要原因是我单位无此项支出；培训费支出0.35万元，比上年增加0.35万元，主要原因是为提高工作人员专业素养，培养复合型人才，参加文化活动、演出、比赛等，往返交通、住宿等费用共同推动差旅费较去年显著增加。</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2024年专项项目支出99.18万元，占总支出的27.98％，主要用于：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（1）文化馆公共文化服务：使用公共文化服务体系建设补助资金，用于开展丰富多彩文化艺术活动，提升文化素养，确保全年开展文化艺术演出活动，购买文旅公司全年演出服务，文化艺术演出。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文化馆免费开放服务：使用中央美术馆、公共图书馆文化馆免费开放补助资金，用于丰富人民群众的精神文化生活”的要求，充分发挥“三馆一站”在提高公民鉴赏能力、提高各族群众思想道德和科学文化素质的作用，保障文化活动场地正常运行，实现群众文化艺术普及，弘扬中华传统文化、提高群众满意度，为确保文化馆免费开放群众文化艺术普及，免费开放场馆入馆群众安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非物质文化遗传承保护：使用国家级非物质文化遗产补助费资金，用于贯彻落实国家关于文化保护传承，弘扬中华民族优秀传统文化，进一步加强库尔勒地区非物质文化遗产的系统性保护、传承与深入研究工作，举办库尔勒赛乃姆歌舞比赛、巡演、广场舞大赛、库尔勒赛乃姆培训，组织拍摄《非物质文化遗产—库尔勒赛乃姆》专题宣传片，</w:t>
      </w:r>
      <w:r>
        <w:rPr>
          <w:rFonts w:hint="eastAsia" w:ascii="仿宋_GB2312" w:hAnsi="宋体" w:eastAsia="仿宋_GB2312"/>
          <w:bCs/>
          <w:sz w:val="32"/>
          <w:szCs w:val="32"/>
          <w:lang w:val="en-US" w:eastAsia="zh-CN"/>
        </w:rPr>
        <w:t>编纂</w:t>
      </w:r>
      <w:bookmarkStart w:id="1" w:name="_GoBack"/>
      <w:bookmarkEnd w:id="1"/>
      <w:r>
        <w:rPr>
          <w:rFonts w:hint="eastAsia" w:ascii="仿宋_GB2312" w:hAnsi="宋体" w:eastAsia="仿宋_GB2312"/>
          <w:bCs/>
          <w:sz w:val="32"/>
          <w:szCs w:val="32"/>
        </w:rPr>
        <w:t xml:space="preserve">《新疆维吾尔族库尔勒赛乃姆民间艺术合集》等。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制定的国家非物质文化遗产保护项目、文化馆免费开放补助项目、公共文化服务体系建设补助项目专项工作计划，对项目的工作分工、任务分配、资金落实、完成时限等提出了明确、具体的要求，以确保项目保质、保量、按时完成。截至2024年12月31日，已完成专项3个专项工作任务，达成预期绩效目标，切实提升了公民鉴赏能力，丰富群众精神文化需求，提高文化素养和增强公共文化服务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为强化专项资金管理，提高资金使用效益，文化馆通过“制度建设、规范核算、科学实施、严格验收”四项举措，保障专款专用，具体工作成效如下：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健全管理制度，规范资金使用流程：结合工作实际，制定《库尔勒市文化馆国家非遗保护专项资金管理办法》、《文化馆免费开放补助资金使用规范》、《库尔勒市文化馆公共文化专项资金管理办法》，细化资金申请、审批、拨付及监督流程。涉及专项资金分配、重大展陈项目立项、大额设备采购等“三重一大”事项，均严格提交馆务会议审议决策，确保资金使用公开透明、合规高效。</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设立专项账目，强化财务核算监督：针对国家非遗保护项目、免费开放补助资金、公共文化补助资金等专项经费，分别建立独立专账，实现收支明细单独核算、分类管理。通过规范票据审核、台账登记及定期财务审计，确保资金流向清晰可溯，有效防范财务风险。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优化项目方案，保障工作有序推进：编制《非物质文化遗产传承保护实施方案》、《免费开放培训实施方案》、《公共文化服务实施方案》等专项方案，明确项目实施步骤、技术标准及质量要求。结合弘扬传统文化与公众文化需求，科学规划文化服务计划、免费开放培训课程调整及公众文化活动安排，为项目顺利实施提供制度保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严格验收程序，确保项目实施成效：组建由文化艺术专家、财务人员、业务骨干构成的验收小组，对照项目实施方案与绩效目标，对文化演出节目质量、免费开放场地和设备维护、免费开放服务质量提升等内容进行全面验收。通过现场勘查、数据核查、效果评估等方式，确保各专项工作达到预期标准，财政资金切实发挥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通过上述措施，库尔勒市文化馆2024年专项工作全面完成，不仅丰富群众精神文化需求、传承保护非物质文化遗产，还通过免费开放服务惠及群众超7万人次，公众满意度达95%以上，有效推动地方文化传承与公共文化服务高质量发展。</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2024年库尔勒市文化馆总支出354.47万元，预算执行率100%，其中文化创作与保护支出17万元,其他文化和旅游支出291.45万元,其他文化旅游体育与传媒支出46.02万元。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2024年，库尔勒市文化馆基本支出255.29万元，占总支出的72.02％，其中：其他文化和旅游支出255.29万元。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2024年，库尔勒市文化馆项目支出99.18万元，占总支出的27.98％。其中：文化创作与保护支出17万元,其他文化和旅游支出36.16万元,其他文化旅游体育与传媒支出46.02万元。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年初我单位设置单位整体绩效目标中包括一级指标1个，二级指标1个，三级指标3个，指标完成情况分析如下：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指标1：出版《库尔勒赛乃姆舞蹈部分》教材数量，指标值：≧1版 ，年中监控完成值：1版，自评完成值：1版，指标完成率100%，偏差0.00%，指标成效分析：通过出版《库尔勒赛乃姆舞蹈部分》教材1版，为库尔勒赛乃姆舞蹈的教学和传承提供了权威的参考资料。该教材有助于舞蹈爱好者和专业学习者系统地了解库尔勒赛乃姆舞蹈的动作规范、文化内涵，促进了这一优秀民族文化艺术在更广泛群体中的传播与传承，提升了民族文化的影响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组织拍摄专题宣传片数量，指标值：≧1部，年中监控完成值：1部，自评完成值：1部，指标完成率100%，偏差0.00%，指标成效分析：组织拍摄《非物质文化遗产——库尔勒赛乃姆》专题宣传片1部，以生动形象的视听形式展示了库尔勒赛乃姆的独特魅力，让更多人直观地了解这一非物质文化遗产。宣传片的传播有助于吸引社会各界对库尔勒赛乃姆的关注，激发人们对民族文化遗产保护和传承的意识，推动文化遗产保护事业的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场馆维修维护次数，指标值：≧1次，年中监控完成值：0次，自评完成值：1次，指标完成率100%，偏差0.00%，指标成效分析通过完成场馆维修维护1次，有效改善了场馆的硬件条件，确保文化活动场地的安全性和功能性。良好的场馆设施为各类群众文化活动的开展提供了坚实保障，提升了活动的举办质量，吸引更多群众参与文化活动，丰富了群众的精神文化生活。</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举办各类文艺演出活动次数，指标值：≧4次，年中监控完成值：2次，自评完成值：4次，指标完成率100%，偏差0.00%，指标成效分析通过完成举办各类文艺演出活动4次，为群众搭建了欣赏和参与文化艺术的平台，丰富了群众的精神文化生活。演出活动的开展不仅展示了库尔勒赛乃姆等优秀民族文化艺术的魅力，还促进了不同文化艺术形式的交流与融合，提升了群众的文化素养和审美水平，营造了良好的文化氛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2024年度单位整体支出绩效评价综合得分100分，评价结果为“优”。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执行精准度有待提高：在部分专项项目实施过程中，存在预算执行进度与项目实际推进节奏不匹配的情况。例如，非遗保护项目因专业人员审核流程繁琐、对接延迟，导致资金支付滞后；免费开放项目中，部分设计方案反复修改，使得相关费用支出超出预算预期，影响了财政资金的使用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绩效指标体系不够完善：现有绩效指标在量化程度和针对性方面存在不足。部分指标设置较为笼统，如“提升公众文化服务水平”缺乏具体衡量标准，难以准确评估工作成效；对新兴业务如线上展览推广、文创产品开发等缺乏对应的绩效指标，无法全面反映文化馆创新发展成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项目管理协同性不足：在多单位协作的项目中，如免费开放服务优化项目，涉及演出、外宣、培训等多个单位，但单位间沟通协调机制不完善，存在信息传递不及时、职责划分模糊等问题，导致项目推进过程中出现重复工作或衔接不畅的情况，降低了项目实施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数字化建设人才短缺：随着文化馆数字化业务的拓展，对具备文化数字化处理、数字化设计、线上平台运营等专业技能的人才需求激增。然而，目前馆内相关专业人才储备不足，现有人员专业培训不够系统，制约了数字化项目的高质量推进，影响了绩效目标中数字化服务提升的实现程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强化预算动态管理：建立预算执行预警机制，每月对项目预算执行情况进行跟踪分析，结合项目实际进度及时调整资金支付计划。优化采购流程，提前做好设备采购、服务招标等前期准备工作；加强与供应商、合作方的沟通协调，明确时间节点，确保预算执行与项目实施同步推进。同时，定期开展预算执行分析会议，针对超支或执行缓慢的项目深入剖析原因，制定整改措施。</w:t>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完善绩效指标体系：组织专业人员深入研究文化馆业务发展需求，结合行业标准和实际工作情况，细化、量化绩效指标。对于公众文化服务水平，新增“线上展览浏览量”“文创产品销售额”“观众线上互动参与率”等可量化指标；针对非遗保护项目，增加“文化数字化完成率”“文化需求提升率”等专业指标。定期对绩效指标体系进行评估和更新，确保其全面、科学地反映工作成效。 </w:t>
      </w:r>
      <w:r>
        <w:rPr>
          <w:rFonts w:hint="eastAsia" w:ascii="仿宋_GB2312" w:hAnsi="宋体" w:eastAsia="仿宋_GB2312"/>
          <w:bCs/>
          <w:sz w:val="32"/>
          <w:szCs w:val="32"/>
        </w:rPr>
        <w:br w:type="textWrapping"/>
      </w:r>
      <w:r>
        <w:rPr>
          <w:rFonts w:hint="eastAsia" w:ascii="仿宋_GB2312" w:hAnsi="宋体" w:eastAsia="仿宋_GB2312"/>
          <w:bCs/>
          <w:sz w:val="32"/>
          <w:szCs w:val="32"/>
        </w:rPr>
        <w:t>3.优化项目协同管理机制：在多单位协作项目中，成立专项工作小组，明确各单位职责分工，制定详细的项目协同工作流程和沟通机制。建立定期例会制度，及时通报项目进展情况，协调解决存在的问题；利用数字化办公平台，实现项目信息实时共享，提高沟通效率。同时，加强单位间的业务培训和交流，增进相互了解，提升团队协作能力。</w:t>
      </w:r>
      <w:r>
        <w:rPr>
          <w:rFonts w:hint="eastAsia" w:ascii="仿宋_GB2312" w:hAnsi="宋体" w:eastAsia="仿宋_GB2312"/>
          <w:bCs/>
          <w:sz w:val="32"/>
          <w:szCs w:val="32"/>
        </w:rPr>
        <w:br w:type="textWrapping"/>
      </w:r>
      <w:r>
        <w:rPr>
          <w:rFonts w:hint="eastAsia" w:ascii="仿宋_GB2312" w:hAnsi="宋体" w:eastAsia="仿宋_GB2312"/>
          <w:bCs/>
          <w:sz w:val="32"/>
          <w:szCs w:val="32"/>
        </w:rPr>
        <w:t>4.加强人才队伍建设：制定数字化人才专项引进计划，通过公开招聘、人才引进政策等方式，吸引具有文化数字化、数字媒体等专业背景的人才。与高校、科研机构合作，建立人才培养基地，定期组织馆内人员参加专业培训和学术交流活动，提升现有人员的数字化业务能力。此外，设立内部激励机制，鼓励员工自主学习和创新，对在数字化建设中表现突出的个人给予奖励，营造良好的人才发展环境。</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96910DA"/>
    <w:rsid w:val="0D1922F1"/>
    <w:rsid w:val="0FD93C32"/>
    <w:rsid w:val="10DF6E84"/>
    <w:rsid w:val="1438599A"/>
    <w:rsid w:val="200F4073"/>
    <w:rsid w:val="24B86128"/>
    <w:rsid w:val="253D79A8"/>
    <w:rsid w:val="46D20803"/>
    <w:rsid w:val="51C70EA9"/>
    <w:rsid w:val="54F842B6"/>
    <w:rsid w:val="64F5745B"/>
    <w:rsid w:val="656071F2"/>
    <w:rsid w:val="6BF1756B"/>
    <w:rsid w:val="6F5E1AA3"/>
    <w:rsid w:val="7B490BE0"/>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2025-09-02T03:49:53Z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