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880" w:firstLineChars="200"/>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880" w:firstLineChars="200"/>
        <w:jc w:val="left"/>
        <w:textAlignment w:val="auto"/>
        <w:rPr>
          <w:rFonts w:ascii="宋体" w:eastAsia="宋体"/>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宋体" w:eastAsia="方正小标宋_GBK" w:cs="Times New Roman"/>
          <w:kern w:val="2"/>
          <w:sz w:val="44"/>
          <w:szCs w:val="44"/>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t>库尔勒市文化体育广播电视和旅游局(库尔勒市文物局)2024年度部门决算</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t>公开说明</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br w:type="page"/>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bCs w:val="0"/>
          <w:kern w:val="0"/>
          <w:sz w:val="36"/>
          <w:szCs w:val="36"/>
          <w:highlight w:val="none"/>
          <w:lang w:val="en-US" w:eastAsia="zh-CN" w:bidi="ar-SA"/>
        </w:rPr>
        <w:t>目  录</w:t>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TOC \o "1-3" \n  \h \u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_Toc31918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2"/>
          <w:sz w:val="32"/>
          <w:szCs w:val="32"/>
          <w:highlight w:val="none"/>
          <w:lang w:val="en-US" w:eastAsia="zh-CN" w:bidi="ar-SA"/>
        </w:rPr>
        <w:t>第一部分 部门（单位）概况</w:t>
      </w:r>
      <w:r>
        <w:rPr>
          <w:rFonts w:hint="eastAsia" w:ascii="仿宋_GB2312" w:hAnsi="仿宋_GB2312" w:eastAsia="仿宋_GB2312" w:cs="仿宋_GB2312"/>
          <w:b/>
          <w:bCs/>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_Toc2898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一、主要职能</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_Toc1387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二、机构设置及人员情况</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_Toc7559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2"/>
          <w:sz w:val="32"/>
          <w:szCs w:val="32"/>
          <w:highlight w:val="none"/>
          <w:lang w:val="en-US" w:eastAsia="zh-CN" w:bidi="ar-SA"/>
        </w:rPr>
        <w:t>第二部分 部门决算情况说明</w:t>
      </w:r>
      <w:r>
        <w:rPr>
          <w:rFonts w:hint="eastAsia" w:ascii="仿宋_GB2312" w:hAnsi="仿宋_GB2312" w:eastAsia="仿宋_GB2312" w:cs="仿宋_GB2312"/>
          <w:b/>
          <w:bCs/>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_Toc6321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一、收入支出决算总体情况说明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_Toc6311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二、收入决算情况说明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_Toc20629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三、支出决算情况说明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_Toc7371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四、财政拨款收入支出决算总体情况说明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_Toc18905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五、一般公共预算财政拨款支出决算情况说明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_Toc1165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kern w:val="2"/>
          <w:sz w:val="32"/>
          <w:szCs w:val="32"/>
          <w:highlight w:val="none"/>
          <w:lang w:val="en-US" w:eastAsia="zh-CN" w:bidi="ar-SA"/>
        </w:rPr>
        <w:t>（一）一般公共预算财政拨款支出决算总体情况</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_Toc27147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kern w:val="2"/>
          <w:sz w:val="32"/>
          <w:szCs w:val="32"/>
          <w:highlight w:val="none"/>
          <w:lang w:val="en-US" w:eastAsia="zh-CN" w:bidi="ar-SA"/>
        </w:rPr>
        <w:t>（二）一般公共预算财政拨款支出决算结构情况</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_Toc10037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kern w:val="2"/>
          <w:sz w:val="32"/>
          <w:szCs w:val="32"/>
          <w:highlight w:val="none"/>
          <w:lang w:val="en-US" w:eastAsia="zh-CN" w:bidi="ar-SA"/>
        </w:rPr>
        <w:t>（三）一般公共预算财政拨款支出决算具体情况</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_Toc23415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六、一般公共预算财政拨款基本支出决算情况说明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_Toc7523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七、政府性基金预算财政拨款收入支出决算情况说明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_Toc5563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八、国有资本经营预算财政拨款收入支出决算情况说明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_Toc9161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九、财政拨款“三公”经费支出决算情况说明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_Toc16395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十、其他重要事项的情况说明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_Toc21748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kern w:val="2"/>
          <w:sz w:val="32"/>
          <w:szCs w:val="32"/>
          <w:highlight w:val="none"/>
          <w:lang w:val="en-US" w:eastAsia="zh-CN" w:bidi="ar-SA"/>
        </w:rPr>
        <w:t>（一）机关运行经费及公用经费支出情况</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_Toc25177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kern w:val="2"/>
          <w:sz w:val="32"/>
          <w:szCs w:val="32"/>
          <w:highlight w:val="none"/>
          <w:lang w:val="en-US" w:eastAsia="zh-CN" w:bidi="ar-SA"/>
        </w:rPr>
        <w:t>（二）政府采购情况</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_Toc31294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kern w:val="2"/>
          <w:sz w:val="32"/>
          <w:szCs w:val="32"/>
          <w:highlight w:val="none"/>
          <w:lang w:val="en-US" w:eastAsia="zh-CN" w:bidi="ar-SA"/>
        </w:rPr>
        <w:t>（三）国有资产占用情况说明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_Toc17664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十一、预算绩效的情况说明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_Toc30038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2"/>
          <w:sz w:val="32"/>
          <w:szCs w:val="32"/>
          <w:highlight w:val="none"/>
          <w:lang w:val="en-US" w:eastAsia="zh-CN" w:bidi="ar-SA"/>
        </w:rPr>
        <w:t>第三部分 专业名词解释</w:t>
      </w:r>
      <w:r>
        <w:rPr>
          <w:rFonts w:hint="eastAsia" w:ascii="仿宋_GB2312" w:hAnsi="仿宋_GB2312" w:eastAsia="仿宋_GB2312" w:cs="仿宋_GB2312"/>
          <w:b/>
          <w:bCs/>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_Toc6831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2"/>
          <w:sz w:val="32"/>
          <w:szCs w:val="32"/>
          <w:highlight w:val="none"/>
          <w:lang w:val="en-US" w:eastAsia="zh-CN" w:bidi="ar-SA"/>
        </w:rPr>
        <w:t>第四部分 部门决算报表（见附表）</w:t>
      </w:r>
      <w:r>
        <w:rPr>
          <w:rFonts w:hint="eastAsia" w:ascii="仿宋_GB2312" w:hAnsi="仿宋_GB2312" w:eastAsia="仿宋_GB2312" w:cs="仿宋_GB2312"/>
          <w:b/>
          <w:bCs/>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_Toc3845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一、《收入支出决算总表》</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_Toc11927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二、《收入决算表》</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_Toc7443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三、《支出决算表》</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_Toc24884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四、《财政拨款收入支出决算总表》</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_Toc16518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五、《一般公共预算财政拨款支出决算表》</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_Toc20514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六、《一般公共预算财政拨款基本支出决算表》</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_Toc18055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七、《政府性基金预算财政拨款收入支出决算表》</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_Toc10719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八、《国有资本经营预算财政拨款收入支出决算表》</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_Toc18861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九、《财政拨款“三公”经费支出决算表》</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kern w:val="2"/>
          <w:sz w:val="32"/>
          <w:szCs w:val="32"/>
          <w:highlight w:val="none"/>
          <w:lang w:val="en-US" w:eastAsia="zh-CN" w:bidi="ar-SA"/>
        </w:rPr>
        <w:fldChar w:fldCharType="end"/>
      </w:r>
      <w:r>
        <w:rPr>
          <w:b w:val="0"/>
          <w:sz w:val="0"/>
          <w:szCs w:val="0"/>
        </w:rPr>
        <w:br w:type="page"/>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黑体" w:hAnsi="黑体" w:eastAsia="黑体" w:cs="Times New Roman"/>
          <w:kern w:val="2"/>
          <w:sz w:val="32"/>
          <w:szCs w:val="32"/>
          <w:highlight w:val="none"/>
          <w:lang w:val="en-US" w:eastAsia="zh-CN" w:bidi="ar-SA"/>
        </w:rPr>
      </w:pPr>
      <w:r>
        <w:rPr>
          <w:rFonts w:hint="eastAsia" w:ascii="黑体" w:hAnsi="黑体" w:eastAsia="黑体" w:cs="Times New Roman"/>
          <w:kern w:val="2"/>
          <w:sz w:val="32"/>
          <w:szCs w:val="32"/>
          <w:highlight w:val="none"/>
          <w:lang w:val="en-US" w:eastAsia="zh-CN" w:bidi="ar-SA"/>
        </w:rPr>
        <w:t>第一部分单位概况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kern w:val="0"/>
          <w:sz w:val="32"/>
          <w:szCs w:val="32"/>
          <w:highlight w:val="none"/>
          <w:lang w:val="en-US" w:eastAsia="zh-CN" w:bidi="ar-SA"/>
        </w:rPr>
      </w:pPr>
      <w:r>
        <w:rPr>
          <w:rFonts w:hint="eastAsia" w:ascii="黑体" w:hAnsi="黑体" w:eastAsia="黑体" w:cs="宋体"/>
          <w:bCs/>
          <w:kern w:val="0"/>
          <w:sz w:val="32"/>
          <w:szCs w:val="32"/>
          <w:highlight w:val="none"/>
          <w:lang w:val="en-US" w:eastAsia="zh-CN" w:bidi="ar-SA"/>
        </w:rPr>
        <w:t>一、</w:t>
      </w:r>
      <w:r>
        <w:rPr>
          <w:rFonts w:hint="eastAsia" w:ascii="黑体" w:hAnsi="黑体" w:eastAsia="黑体" w:cs="宋体"/>
          <w:bCs/>
          <w:kern w:val="0"/>
          <w:sz w:val="32"/>
          <w:szCs w:val="32"/>
          <w:highlight w:val="none"/>
          <w:lang w:val="en-US" w:eastAsia="zh-CN" w:bidi="ar-SA"/>
        </w:rPr>
        <w:t>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一）贯彻落实党和国家文化体育广播电视和旅游方针政策，发展中国特色社会主义文化，实施旅游兴市战略。牢牢掌握意识形态工作的领导权和主动权，指导文化体育广播电视和旅游人才队伍建设，拟订文化体育广播电视和旅游政策措施并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（二）统筹文化体育和旅游事业、产业振兴发展，拟订库尔勒市文化和旅游发展规划并组织实施，推进文化和旅游创新融合绿色发展，实施“文化体育和旅游+”。落实文化和旅游体制机制改革。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三）管理全市重大文化体育和旅游活动，指导库尔勒市重点文化体育和旅游设施建设，组织文化体育和旅游整体形象推广，构建全媒体时代的宣传营销平台和机制。促进文化和旅游产业对外合作和市场推广，拟订旅游市场开发战略并组织实施。统筹文化和旅游景区管理、指导、推进全域旅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（四）指导、管理文艺事业，指导艺术创作生产及艺术研究、评论，扶持坚守中华文化立场、体现社会主义核心价值观、具有导向性</w:t>
      </w:r>
      <w:r>
        <w:rPr>
          <w:rFonts w:hint="eastAsia" w:ascii="仿宋_GB2312" w:hAnsi="Times New Roman" w:eastAsia="仿宋_GB2312" w:cs="Times New Roman"/>
          <w:kern w:val="2"/>
          <w:sz w:val="32"/>
          <w:szCs w:val="32"/>
          <w:highlight w:val="none"/>
          <w:lang w:val="en-US" w:eastAsia="zh-CN" w:bidi="ar-SA"/>
        </w:rPr>
        <w:t>、</w:t>
      </w:r>
      <w:r>
        <w:rPr>
          <w:rFonts w:hint="default" w:ascii="仿宋_GB2312" w:hAnsi="Times New Roman" w:eastAsia="仿宋_GB2312" w:cs="Times New Roman"/>
          <w:kern w:val="2"/>
          <w:sz w:val="32"/>
          <w:szCs w:val="32"/>
          <w:highlight w:val="none"/>
          <w:lang w:val="en-US" w:eastAsia="zh-CN" w:bidi="ar-SA"/>
        </w:rPr>
        <w:t>代表性</w:t>
      </w:r>
      <w:r>
        <w:rPr>
          <w:rFonts w:hint="eastAsia" w:ascii="仿宋_GB2312" w:hAnsi="Times New Roman" w:eastAsia="仿宋_GB2312" w:cs="Times New Roman"/>
          <w:kern w:val="2"/>
          <w:sz w:val="32"/>
          <w:szCs w:val="32"/>
          <w:highlight w:val="none"/>
          <w:lang w:val="en-US" w:eastAsia="zh-CN" w:bidi="ar-SA"/>
        </w:rPr>
        <w:t>、</w:t>
      </w:r>
      <w:r>
        <w:rPr>
          <w:rFonts w:hint="default" w:ascii="仿宋_GB2312" w:hAnsi="Times New Roman" w:eastAsia="仿宋_GB2312" w:cs="Times New Roman"/>
          <w:kern w:val="2"/>
          <w:sz w:val="32"/>
          <w:szCs w:val="32"/>
          <w:highlight w:val="none"/>
          <w:lang w:val="en-US" w:eastAsia="zh-CN" w:bidi="ar-SA"/>
        </w:rPr>
        <w:t>示范性的文艺作品，推动各门类艺术、各艺术品种发展。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（五）负责公共文化事业发展，推进库尔勒市公共文化服务体系建设和旅游公共服务建设，深入实施文化惠民工程，统筹推进基本公共文化服务标准化、均等化。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（六）指导文化和旅游科技创新发展，推进文化和旅游行业信息化、标准化建设。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（七）负责非物质文化遗产事业发展，推动非物质文化遗产的保护、传承、普及、弘扬和振兴。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八）统筹规划文化体育和旅游产业，组织实施文化和旅游资源的普查、挖掘、保护与利用工作，推动文化体育和旅游产业投融资体系建设，促进文化体育和旅游产业发展。结合乡村振兴战略，推进文化和旅游扶贫。指导全市打响文化旅游品牌，构建打造文化旅游强市和南疆丝绸之路旅游目的地和集散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 xml:space="preserve">（九）指导文化和旅游市场发展，推进文化和旅游行业信用体系建设。指导库尔勒市文化旅游市场综合执法，对文化、体育和旅游市场经营进行行业监管，依法规范文化、体育和旅游市场。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（十）负责文化和旅游安全的综合协调与监督管理，指导文化和旅游应急救援工作。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（十一）指导、管理文化和旅游对外交流、合作、宣传、推广，组织大型文化和旅游对外交流活动，推动中华文化走出去。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（十二）指导统筹文物工作。负责文物保护管理、抢救维修、考古发掘、科技研究、宣传教育等工作。指导博物馆和革命文物工作。依法规范社会文物流通、经销和拍卖活动等工作。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（十三）统筹规划库尔勒市竞技体育发展，设置体育运动项目，指导协调体育训练和体育竞赛，承办和参加自治区、自治州以及库尔勒市的运动竞赛，指导运动队伍建设，协调、监督体育运动中的反兴奋剂工作。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十四）统筹规划库尔勒市青少年体育发展，指导和推进青少年体育工作；规范体育服务管理，推动体育标准化建设；负责体育彩票发行管理；组织实施全民健身计划，推动建立和完善全民健身服务体系，推行社会体育指导员和国民体质监测制度；负责公共体育设施项目的申报、监督和管理工作；指导群众性体育项目的训练竞赛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（十五）负责制定广播电视领域事业产业发展政策和规划，开展广播电视交流与合作。指导、监督广播电视重点基础设施建设。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（十六）组织实施广播电视、网络视听节目服务管理行业标准，对广播电视机构进行业务指导和行业监管，会同有关部门对网络视听节目服务机构进行管理。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hint="default" w:ascii="仿宋_GB2312" w:hAnsi="Times New Roman" w:eastAsia="仿宋_GB2312" w:cs="Times New Roman"/>
          <w:kern w:val="2"/>
          <w:sz w:val="32"/>
          <w:szCs w:val="32"/>
          <w:highlight w:val="none"/>
          <w:lang w:val="en-US" w:eastAsia="zh-CN" w:bidi="ar-SA"/>
        </w:rPr>
        <w:t>（十七）</w:t>
      </w:r>
      <w:r>
        <w:rPr>
          <w:rFonts w:hint="eastAsia" w:ascii="仿宋_GB2312" w:hAnsi="Times New Roman" w:eastAsia="仿宋_GB2312" w:cs="Times New Roman"/>
          <w:kern w:val="2"/>
          <w:sz w:val="32"/>
          <w:szCs w:val="32"/>
          <w:highlight w:val="none"/>
          <w:lang w:val="en-US" w:eastAsia="zh-CN" w:bidi="ar-SA"/>
        </w:rPr>
        <w:t>完成</w:t>
      </w:r>
      <w:r>
        <w:rPr>
          <w:rFonts w:hint="default" w:ascii="仿宋_GB2312" w:hAnsi="Times New Roman" w:eastAsia="仿宋_GB2312" w:cs="Times New Roman"/>
          <w:kern w:val="2"/>
          <w:sz w:val="32"/>
          <w:szCs w:val="32"/>
          <w:highlight w:val="none"/>
          <w:lang w:val="en-US" w:eastAsia="zh-CN" w:bidi="ar-SA"/>
        </w:rPr>
        <w:t>市党委、市人民政府交办的其他事项。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kern w:val="0"/>
          <w:sz w:val="32"/>
          <w:szCs w:val="32"/>
          <w:highlight w:val="none"/>
          <w:lang w:val="en-US" w:eastAsia="zh-CN" w:bidi="ar-SA"/>
        </w:rPr>
      </w:pPr>
      <w:r>
        <w:rPr>
          <w:rFonts w:hint="eastAsia" w:ascii="黑体" w:hAnsi="黑体" w:eastAsia="黑体" w:cs="宋体"/>
          <w:bCs/>
          <w:kern w:val="0"/>
          <w:sz w:val="32"/>
          <w:szCs w:val="32"/>
          <w:highlight w:val="none"/>
          <w:lang w:val="en-US" w:eastAsia="zh-CN" w:bidi="ar-SA"/>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库尔勒市文化体育广播电视和旅游局(库尔勒市文物局)2024年度，实有人数95人，其中：在职人员39人，较上年无变化；离休人员0人，较上年无变化；退休人员56人，增加</w:t>
      </w:r>
      <w:r>
        <w:rPr>
          <w:rFonts w:hint="eastAsia" w:ascii="仿宋_GB2312" w:hAnsi="Times New Roman" w:eastAsia="仿宋_GB2312" w:cs="Times New Roman"/>
          <w:kern w:val="2"/>
          <w:sz w:val="32"/>
          <w:szCs w:val="32"/>
          <w:highlight w:val="none"/>
          <w:lang w:val="en-US" w:eastAsia="zh-CN" w:bidi="ar-SA"/>
        </w:rPr>
        <w:t>3</w:t>
      </w:r>
      <w:r>
        <w:rPr>
          <w:rFonts w:hint="default" w:ascii="仿宋_GB2312" w:hAnsi="Times New Roman" w:eastAsia="仿宋_GB2312" w:cs="Times New Roman"/>
          <w:kern w:val="2"/>
          <w:sz w:val="32"/>
          <w:szCs w:val="32"/>
          <w:highlight w:val="none"/>
          <w:lang w:val="en-US" w:eastAsia="zh-CN" w:bidi="ar-SA"/>
        </w:rPr>
        <w:t>人</w:t>
      </w:r>
      <w:r>
        <w:rPr>
          <w:rFonts w:hint="eastAsia" w:ascii="仿宋_GB2312" w:hAnsi="Times New Roman" w:eastAsia="仿宋_GB2312" w:cs="Times New Roman"/>
          <w:kern w:val="2"/>
          <w:sz w:val="32"/>
          <w:szCs w:val="32"/>
          <w:highlight w:val="none"/>
          <w:lang w:val="en-US" w:eastAsia="zh-CN" w:bidi="ar-SA"/>
        </w:rPr>
        <w:t>，新考录3人</w:t>
      </w:r>
      <w:r>
        <w:rPr>
          <w:rFonts w:hint="default" w:ascii="仿宋_GB2312" w:hAnsi="Times New Roman" w:eastAsia="仿宋_GB2312" w:cs="Times New Roman"/>
          <w:kern w:val="2"/>
          <w:sz w:val="32"/>
          <w:szCs w:val="32"/>
          <w:highlight w:val="none"/>
          <w:lang w:val="en-US" w:eastAsia="zh-CN" w:bidi="ar-SA"/>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库尔勒市文化体育广播电视和旅游局(库尔勒市文物局)</w:t>
      </w:r>
      <w:r>
        <w:rPr>
          <w:rFonts w:hint="eastAsia" w:ascii="仿宋_GB2312" w:eastAsia="仿宋_GB2312"/>
          <w:b w:val="0"/>
          <w:sz w:val="32"/>
          <w:szCs w:val="32"/>
          <w:lang w:val="en-US" w:eastAsia="zh-CN"/>
        </w:rPr>
        <w:t>8个</w:t>
      </w:r>
      <w:r>
        <w:rPr>
          <w:rFonts w:ascii="仿宋_GB2312" w:eastAsia="仿宋_GB2312"/>
          <w:b w:val="0"/>
          <w:sz w:val="32"/>
          <w:szCs w:val="32"/>
        </w:rPr>
        <w:t>下属预算单位，下设个，分别是：</w:t>
      </w:r>
      <w:r>
        <w:rPr>
          <w:rFonts w:hint="default" w:ascii="仿宋_GB2312" w:eastAsia="仿宋_GB2312"/>
          <w:b w:val="0"/>
          <w:sz w:val="32"/>
          <w:szCs w:val="32"/>
          <w:lang w:val="en-US" w:eastAsia="zh-CN"/>
        </w:rPr>
        <w:t>广电科、文化科、新闻出版科、文管所、行政办、体育科、文化稽查大队、质检所</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pPr>
      <w:r>
        <w:rPr>
          <w:b w:val="0"/>
          <w:sz w:val="0"/>
          <w:szCs w:val="0"/>
        </w:rPr>
        <w:br w:type="page"/>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hint="eastAsia" w:ascii="黑体" w:hAnsi="黑体" w:eastAsia="黑体" w:cs="宋体"/>
          <w:bCs/>
          <w:kern w:val="0"/>
          <w:sz w:val="32"/>
          <w:szCs w:val="32"/>
          <w:highlight w:val="none"/>
          <w:lang w:val="en-US" w:eastAsia="zh-CN" w:bidi="ar-SA"/>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2024年度收入总计1,904.85万元，其中：本年收入合计1,904.85万元，使用非财政拨款结余（含专用结余）0.00万元，年初结转和结余0.00万元。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2024年度支出总计1,904.85万元，其中：本年支出合计1,904.85万元，结余分配0.00万元，年末结转和结余0.00万元。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收入支出总体与上年相比，增加829.03万元，增长77.06%，主要原因是：</w:t>
      </w:r>
      <w:r>
        <w:rPr>
          <w:rFonts w:hint="eastAsia" w:ascii="仿宋_GB2312" w:hAnsi="Times New Roman" w:eastAsia="仿宋_GB2312" w:cs="Times New Roman"/>
          <w:b w:val="0"/>
          <w:sz w:val="32"/>
          <w:szCs w:val="32"/>
        </w:rPr>
        <w:t>本年主要是增加了巴音郭楞体育公园项目和乡村振兴兴边富民项目建设经费360</w:t>
      </w:r>
      <w:r>
        <w:rPr>
          <w:rFonts w:hint="eastAsia" w:ascii="仿宋_GB2312" w:eastAsia="仿宋_GB2312" w:cs="Times New Roman"/>
          <w:b w:val="0"/>
          <w:sz w:val="32"/>
          <w:szCs w:val="32"/>
          <w:lang w:val="en-US" w:eastAsia="zh-CN"/>
        </w:rPr>
        <w:t>.</w:t>
      </w:r>
      <w:r>
        <w:rPr>
          <w:rFonts w:hint="eastAsia" w:ascii="仿宋_GB2312" w:hAnsi="Times New Roman" w:eastAsia="仿宋_GB2312" w:cs="Times New Roman"/>
          <w:b w:val="0"/>
          <w:sz w:val="32"/>
          <w:szCs w:val="32"/>
        </w:rPr>
        <w:t>4</w:t>
      </w:r>
      <w:r>
        <w:rPr>
          <w:rFonts w:hint="eastAsia" w:ascii="仿宋_GB2312" w:eastAsia="仿宋_GB2312" w:cs="Times New Roman"/>
          <w:b w:val="0"/>
          <w:sz w:val="32"/>
          <w:szCs w:val="32"/>
          <w:lang w:val="en-US" w:eastAsia="zh-CN"/>
        </w:rPr>
        <w:t>9</w:t>
      </w:r>
      <w:r>
        <w:rPr>
          <w:rFonts w:hint="eastAsia" w:ascii="仿宋_GB2312" w:hAnsi="Times New Roman" w:eastAsia="仿宋_GB2312" w:cs="Times New Roman"/>
          <w:b w:val="0"/>
          <w:sz w:val="32"/>
          <w:szCs w:val="32"/>
        </w:rPr>
        <w:t>元，支付2023年农家书屋欠款24</w:t>
      </w:r>
      <w:r>
        <w:rPr>
          <w:rFonts w:hint="eastAsia" w:ascii="仿宋_GB2312" w:eastAsia="仿宋_GB2312" w:cs="Times New Roman"/>
          <w:b w:val="0"/>
          <w:sz w:val="32"/>
          <w:szCs w:val="32"/>
          <w:lang w:val="en-US" w:eastAsia="zh-CN"/>
        </w:rPr>
        <w:t>.</w:t>
      </w:r>
      <w:r>
        <w:rPr>
          <w:rFonts w:hint="eastAsia" w:ascii="仿宋_GB2312" w:hAnsi="Times New Roman" w:eastAsia="仿宋_GB2312" w:cs="Times New Roman"/>
          <w:b w:val="0"/>
          <w:sz w:val="32"/>
          <w:szCs w:val="32"/>
        </w:rPr>
        <w:t>23712</w:t>
      </w:r>
      <w:r>
        <w:rPr>
          <w:rFonts w:hint="eastAsia" w:ascii="仿宋_GB2312" w:eastAsia="仿宋_GB2312" w:cs="Times New Roman"/>
          <w:b w:val="0"/>
          <w:sz w:val="32"/>
          <w:szCs w:val="32"/>
          <w:lang w:val="en-US" w:eastAsia="zh-CN"/>
        </w:rPr>
        <w:t>万</w:t>
      </w:r>
      <w:r>
        <w:rPr>
          <w:rFonts w:hint="eastAsia" w:ascii="仿宋_GB2312" w:hAnsi="Times New Roman" w:eastAsia="仿宋_GB2312" w:cs="Times New Roman"/>
          <w:b w:val="0"/>
          <w:sz w:val="32"/>
          <w:szCs w:val="32"/>
        </w:rPr>
        <w:t>元，支付了2019年全民健身中心欠款229</w:t>
      </w:r>
      <w:r>
        <w:rPr>
          <w:rFonts w:hint="eastAsia" w:ascii="仿宋_GB2312" w:eastAsia="仿宋_GB2312" w:cs="Times New Roman"/>
          <w:b w:val="0"/>
          <w:sz w:val="32"/>
          <w:szCs w:val="32"/>
          <w:lang w:val="en-US" w:eastAsia="zh-CN"/>
        </w:rPr>
        <w:t>.</w:t>
      </w:r>
      <w:r>
        <w:rPr>
          <w:rFonts w:hint="eastAsia" w:ascii="仿宋_GB2312" w:hAnsi="Times New Roman" w:eastAsia="仿宋_GB2312" w:cs="Times New Roman"/>
          <w:b w:val="0"/>
          <w:sz w:val="32"/>
          <w:szCs w:val="32"/>
        </w:rPr>
        <w:t>9228</w:t>
      </w:r>
      <w:r>
        <w:rPr>
          <w:rFonts w:hint="eastAsia" w:ascii="仿宋_GB2312" w:eastAsia="仿宋_GB2312" w:cs="Times New Roman"/>
          <w:b w:val="0"/>
          <w:sz w:val="32"/>
          <w:szCs w:val="32"/>
          <w:lang w:val="en-US" w:eastAsia="zh-CN"/>
        </w:rPr>
        <w:t>万</w:t>
      </w:r>
      <w:r>
        <w:rPr>
          <w:rFonts w:hint="eastAsia" w:ascii="仿宋_GB2312" w:hAnsi="Times New Roman" w:eastAsia="仿宋_GB2312" w:cs="Times New Roman"/>
          <w:b w:val="0"/>
          <w:sz w:val="32"/>
          <w:szCs w:val="32"/>
        </w:rPr>
        <w:t>元</w:t>
      </w:r>
      <w:r>
        <w:rPr>
          <w:rFonts w:ascii="仿宋_GB2312" w:eastAsia="仿宋_GB2312"/>
          <w:b w:val="0"/>
          <w:sz w:val="32"/>
          <w:szCs w:val="32"/>
        </w:rPr>
        <w:t>。</w:t>
      </w:r>
      <w:r>
        <w:rPr>
          <w:rFonts w:hint="eastAsia" w:ascii="仿宋_GB2312" w:eastAsia="仿宋_GB2312"/>
          <w:b w:val="0"/>
          <w:sz w:val="32"/>
          <w:szCs w:val="32"/>
        </w:rPr>
        <w:t>本年度增加了2024年马拉松项目组织策划实施经费183</w:t>
      </w:r>
      <w:r>
        <w:rPr>
          <w:rFonts w:hint="eastAsia" w:ascii="仿宋_GB2312" w:eastAsia="仿宋_GB2312"/>
          <w:b w:val="0"/>
          <w:sz w:val="32"/>
          <w:szCs w:val="32"/>
          <w:lang w:val="en-US" w:eastAsia="zh-CN"/>
        </w:rPr>
        <w:t>.</w:t>
      </w:r>
      <w:r>
        <w:rPr>
          <w:rFonts w:hint="eastAsia" w:ascii="仿宋_GB2312" w:eastAsia="仿宋_GB2312"/>
          <w:b w:val="0"/>
          <w:sz w:val="32"/>
          <w:szCs w:val="32"/>
        </w:rPr>
        <w:t>30</w:t>
      </w:r>
      <w:r>
        <w:rPr>
          <w:rFonts w:hint="eastAsia" w:ascii="仿宋_GB2312" w:eastAsia="仿宋_GB2312"/>
          <w:b w:val="0"/>
          <w:sz w:val="32"/>
          <w:szCs w:val="32"/>
          <w:lang w:val="en-US" w:eastAsia="zh-CN"/>
        </w:rPr>
        <w:t>万</w:t>
      </w:r>
      <w:r>
        <w:rPr>
          <w:rFonts w:hint="eastAsia" w:ascii="仿宋_GB2312" w:eastAsia="仿宋_GB2312"/>
          <w:b w:val="0"/>
          <w:sz w:val="32"/>
          <w:szCs w:val="32"/>
        </w:rPr>
        <w:t>元。2024年青少年围棋、篮球、田径、足球、轮滑等竞标赛23</w:t>
      </w:r>
      <w:r>
        <w:rPr>
          <w:rFonts w:hint="eastAsia" w:ascii="仿宋_GB2312" w:eastAsia="仿宋_GB2312"/>
          <w:b w:val="0"/>
          <w:sz w:val="32"/>
          <w:szCs w:val="32"/>
          <w:lang w:val="en-US" w:eastAsia="zh-CN"/>
        </w:rPr>
        <w:t>.</w:t>
      </w:r>
      <w:r>
        <w:rPr>
          <w:rFonts w:hint="eastAsia" w:ascii="仿宋_GB2312" w:eastAsia="仿宋_GB2312"/>
          <w:b w:val="0"/>
          <w:sz w:val="32"/>
          <w:szCs w:val="32"/>
        </w:rPr>
        <w:t>0662元。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本年收入1,904.85万元，其中：财政拨款收入1,874.53万元,占98.41%；上级补助收入0.00万元,占0.00%；事业收入0.00万元，占0.00%；经营收入0.00万元,占0.00%；附属单位上缴收入0.00万元，占0.00%；其他收入30.32万元，占1.59%。</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本年支出1,904.85万元，其中：基本支出831.85万元，占43.67%；项目支出1,073.00万元，占56.33%；上缴上级支出0.00万元，占0.00%；经营支出0.00万元，占0.00%；对附属单位补助支出0.00万元，占0.00%。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1,874.53万元，其中：年初财政拨款结转和结余0.00万元，本年财政拨款收入1,874.53万元。财政拨款支出总计1,874.53万元，其中：年末财政拨款结转和结余0.00万元，本年财政拨款支出1,874.53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财政拨款收入支出总体与上年相比，增加858.12万元，增长84.43%，主要原因是</w:t>
      </w:r>
      <w:r>
        <w:rPr>
          <w:rFonts w:hint="eastAsia" w:ascii="仿宋_GB2312" w:eastAsia="仿宋_GB2312"/>
          <w:b w:val="0"/>
          <w:sz w:val="32"/>
          <w:szCs w:val="32"/>
          <w:lang w:eastAsia="zh-CN"/>
        </w:rPr>
        <w:t>：本年基本支出</w:t>
      </w:r>
      <w:r>
        <w:rPr>
          <w:rFonts w:hint="eastAsia" w:ascii="仿宋_GB2312" w:eastAsia="仿宋_GB2312"/>
          <w:b w:val="0"/>
          <w:sz w:val="32"/>
          <w:szCs w:val="32"/>
          <w:lang w:val="en-US" w:eastAsia="zh-CN"/>
        </w:rPr>
        <w:t>增加、</w:t>
      </w:r>
      <w:r>
        <w:rPr>
          <w:rFonts w:hint="eastAsia" w:ascii="仿宋_GB2312" w:eastAsia="仿宋_GB2312"/>
          <w:b w:val="0"/>
          <w:sz w:val="32"/>
          <w:szCs w:val="32"/>
          <w:lang w:eastAsia="zh-CN"/>
        </w:rPr>
        <w:t>项目经费增加了巴音郭楞体育公园项目和乡村振兴兴边富民项目建设经费</w:t>
      </w:r>
      <w:r>
        <w:rPr>
          <w:rFonts w:ascii="仿宋_GB2312" w:eastAsia="仿宋_GB2312"/>
          <w:b w:val="0"/>
          <w:sz w:val="32"/>
          <w:szCs w:val="32"/>
        </w:rPr>
        <w:t>。与年初预算相比，年初预算数1,145.66万元，决算数1,874.53万元，预决算差异率63.62%，主要原因是：</w:t>
      </w:r>
      <w:r>
        <w:rPr>
          <w:rFonts w:hint="eastAsia" w:ascii="仿宋_GB2312" w:eastAsia="仿宋_GB2312"/>
          <w:b w:val="0"/>
          <w:sz w:val="32"/>
          <w:szCs w:val="32"/>
        </w:rPr>
        <w:t>本年项目经费增加了巴音郭楞体育公园项目和乡村振兴兴边富民项目建设经费</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hAnsi="Times New Roman" w:eastAsia="仿宋_GB2312" w:cs="Times New Roman"/>
          <w:b w:val="0"/>
          <w:sz w:val="32"/>
          <w:szCs w:val="32"/>
        </w:rPr>
      </w:pPr>
      <w:r>
        <w:rPr>
          <w:rFonts w:ascii="仿宋_GB2312" w:eastAsia="仿宋_GB2312"/>
          <w:b w:val="0"/>
          <w:sz w:val="32"/>
          <w:szCs w:val="32"/>
        </w:rPr>
        <w:t>2024年度一般公共预算财政拨款支出1,616.15万元，占本年支出合计的84.84%。与上年相比，增加656.40万元，增长68.39%，主要原因是：</w:t>
      </w:r>
      <w:r>
        <w:rPr>
          <w:rFonts w:hint="eastAsia" w:ascii="仿宋_GB2312" w:hAnsi="Times New Roman" w:eastAsia="仿宋_GB2312" w:cs="Times New Roman"/>
          <w:b w:val="0"/>
          <w:sz w:val="32"/>
          <w:szCs w:val="32"/>
        </w:rPr>
        <w:t>本年主要是一般公共预算财政拨款增加了巴音郭楞体育公园项目和乡村振兴兴边富民项目建设经费360</w:t>
      </w:r>
      <w:r>
        <w:rPr>
          <w:rFonts w:hint="eastAsia" w:ascii="仿宋_GB2312" w:eastAsia="仿宋_GB2312" w:cs="Times New Roman"/>
          <w:b w:val="0"/>
          <w:sz w:val="32"/>
          <w:szCs w:val="32"/>
          <w:lang w:val="en-US" w:eastAsia="zh-CN"/>
        </w:rPr>
        <w:t>.</w:t>
      </w:r>
      <w:r>
        <w:rPr>
          <w:rFonts w:hint="eastAsia" w:ascii="仿宋_GB2312" w:hAnsi="Times New Roman" w:eastAsia="仿宋_GB2312" w:cs="Times New Roman"/>
          <w:b w:val="0"/>
          <w:sz w:val="32"/>
          <w:szCs w:val="32"/>
        </w:rPr>
        <w:t>4871</w:t>
      </w:r>
      <w:r>
        <w:rPr>
          <w:rFonts w:hint="eastAsia" w:ascii="仿宋_GB2312" w:eastAsia="仿宋_GB2312" w:cs="Times New Roman"/>
          <w:b w:val="0"/>
          <w:sz w:val="32"/>
          <w:szCs w:val="32"/>
          <w:lang w:val="en-US" w:eastAsia="zh-CN"/>
        </w:rPr>
        <w:t>万</w:t>
      </w:r>
      <w:r>
        <w:rPr>
          <w:rFonts w:hint="eastAsia" w:ascii="仿宋_GB2312" w:hAnsi="Times New Roman" w:eastAsia="仿宋_GB2312" w:cs="Times New Roman"/>
          <w:b w:val="0"/>
          <w:sz w:val="32"/>
          <w:szCs w:val="32"/>
        </w:rPr>
        <w:t>元，支付2023年农家书屋欠款24</w:t>
      </w:r>
      <w:r>
        <w:rPr>
          <w:rFonts w:hint="eastAsia" w:ascii="仿宋_GB2312" w:eastAsia="仿宋_GB2312" w:cs="Times New Roman"/>
          <w:b w:val="0"/>
          <w:sz w:val="32"/>
          <w:szCs w:val="32"/>
          <w:lang w:val="en-US" w:eastAsia="zh-CN"/>
        </w:rPr>
        <w:t>.</w:t>
      </w:r>
      <w:r>
        <w:rPr>
          <w:rFonts w:hint="eastAsia" w:ascii="仿宋_GB2312" w:hAnsi="Times New Roman" w:eastAsia="仿宋_GB2312" w:cs="Times New Roman"/>
          <w:b w:val="0"/>
          <w:sz w:val="32"/>
          <w:szCs w:val="32"/>
        </w:rPr>
        <w:t>2371</w:t>
      </w:r>
      <w:r>
        <w:rPr>
          <w:rFonts w:hint="eastAsia" w:ascii="仿宋_GB2312" w:eastAsia="仿宋_GB2312" w:cs="Times New Roman"/>
          <w:b w:val="0"/>
          <w:sz w:val="32"/>
          <w:szCs w:val="32"/>
          <w:lang w:val="en-US" w:eastAsia="zh-CN"/>
        </w:rPr>
        <w:t>万</w:t>
      </w:r>
      <w:r>
        <w:rPr>
          <w:rFonts w:hint="eastAsia" w:ascii="仿宋_GB2312" w:hAnsi="Times New Roman" w:eastAsia="仿宋_GB2312" w:cs="Times New Roman"/>
          <w:b w:val="0"/>
          <w:sz w:val="32"/>
          <w:szCs w:val="32"/>
        </w:rPr>
        <w:t>元，支付了2019年全民健身中心欠款229</w:t>
      </w:r>
      <w:r>
        <w:rPr>
          <w:rFonts w:hint="eastAsia" w:ascii="仿宋_GB2312" w:eastAsia="仿宋_GB2312" w:cs="Times New Roman"/>
          <w:b w:val="0"/>
          <w:sz w:val="32"/>
          <w:szCs w:val="32"/>
          <w:lang w:val="en-US" w:eastAsia="zh-CN"/>
        </w:rPr>
        <w:t>.</w:t>
      </w:r>
      <w:r>
        <w:rPr>
          <w:rFonts w:hint="eastAsia" w:ascii="仿宋_GB2312" w:hAnsi="Times New Roman" w:eastAsia="仿宋_GB2312" w:cs="Times New Roman"/>
          <w:b w:val="0"/>
          <w:sz w:val="32"/>
          <w:szCs w:val="32"/>
        </w:rPr>
        <w:t>9228</w:t>
      </w:r>
      <w:r>
        <w:rPr>
          <w:rFonts w:hint="eastAsia" w:ascii="仿宋_GB2312" w:eastAsia="仿宋_GB2312" w:cs="Times New Roman"/>
          <w:b w:val="0"/>
          <w:sz w:val="32"/>
          <w:szCs w:val="32"/>
          <w:lang w:val="en-US" w:eastAsia="zh-CN"/>
        </w:rPr>
        <w:t>万</w:t>
      </w:r>
      <w:r>
        <w:rPr>
          <w:rFonts w:hint="eastAsia" w:ascii="仿宋_GB2312" w:hAnsi="Times New Roman" w:eastAsia="仿宋_GB2312" w:cs="Times New Roman"/>
          <w:b w:val="0"/>
          <w:sz w:val="32"/>
          <w:szCs w:val="32"/>
        </w:rPr>
        <w:t>元</w:t>
      </w:r>
      <w:r>
        <w:rPr>
          <w:rFonts w:hint="eastAsia" w:ascii="仿宋_GB2312" w:hAnsi="Times New Roman" w:eastAsia="仿宋_GB2312" w:cs="Times New Roman"/>
          <w:b w:val="0"/>
          <w:sz w:val="32"/>
          <w:szCs w:val="32"/>
          <w:lang w:eastAsia="zh-CN"/>
        </w:rPr>
        <w:t>；</w:t>
      </w:r>
      <w:r>
        <w:rPr>
          <w:rFonts w:hint="eastAsia" w:ascii="仿宋_GB2312" w:hAnsi="Times New Roman" w:eastAsia="仿宋_GB2312" w:cs="Times New Roman"/>
          <w:b w:val="0"/>
          <w:sz w:val="32"/>
          <w:szCs w:val="32"/>
        </w:rPr>
        <w:t>政府性基金预算财政拨款本年主要是增加了巴音郭楞体育公园项目和乡村振兴兴边富民项目建设经费328</w:t>
      </w:r>
      <w:r>
        <w:rPr>
          <w:rFonts w:hint="eastAsia" w:ascii="仿宋_GB2312" w:eastAsia="仿宋_GB2312" w:cs="Times New Roman"/>
          <w:b w:val="0"/>
          <w:sz w:val="32"/>
          <w:szCs w:val="32"/>
          <w:lang w:val="en-US" w:eastAsia="zh-CN"/>
        </w:rPr>
        <w:t>.</w:t>
      </w:r>
      <w:r>
        <w:rPr>
          <w:rFonts w:hint="eastAsia" w:ascii="仿宋_GB2312" w:hAnsi="Times New Roman" w:eastAsia="仿宋_GB2312" w:cs="Times New Roman"/>
          <w:b w:val="0"/>
          <w:sz w:val="32"/>
          <w:szCs w:val="32"/>
        </w:rPr>
        <w:t>8346</w:t>
      </w:r>
      <w:r>
        <w:rPr>
          <w:rFonts w:hint="eastAsia" w:ascii="仿宋_GB2312" w:eastAsia="仿宋_GB2312" w:cs="Times New Roman"/>
          <w:b w:val="0"/>
          <w:sz w:val="32"/>
          <w:szCs w:val="32"/>
          <w:lang w:val="en-US" w:eastAsia="zh-CN"/>
        </w:rPr>
        <w:t>万</w:t>
      </w:r>
      <w:r>
        <w:rPr>
          <w:rFonts w:hint="eastAsia" w:ascii="仿宋_GB2312" w:hAnsi="Times New Roman" w:eastAsia="仿宋_GB2312" w:cs="Times New Roman"/>
          <w:b w:val="0"/>
          <w:sz w:val="32"/>
          <w:szCs w:val="32"/>
        </w:rPr>
        <w:t>元，支付2023年农家书屋欠款24</w:t>
      </w:r>
      <w:r>
        <w:rPr>
          <w:rFonts w:hint="eastAsia" w:ascii="仿宋_GB2312" w:eastAsia="仿宋_GB2312" w:cs="Times New Roman"/>
          <w:b w:val="0"/>
          <w:sz w:val="32"/>
          <w:szCs w:val="32"/>
          <w:lang w:val="en-US" w:eastAsia="zh-CN"/>
        </w:rPr>
        <w:t>.</w:t>
      </w:r>
      <w:r>
        <w:rPr>
          <w:rFonts w:hint="eastAsia" w:ascii="仿宋_GB2312" w:hAnsi="Times New Roman" w:eastAsia="仿宋_GB2312" w:cs="Times New Roman"/>
          <w:b w:val="0"/>
          <w:sz w:val="32"/>
          <w:szCs w:val="32"/>
        </w:rPr>
        <w:t>2371</w:t>
      </w:r>
      <w:r>
        <w:rPr>
          <w:rFonts w:hint="eastAsia" w:ascii="仿宋_GB2312" w:eastAsia="仿宋_GB2312" w:cs="Times New Roman"/>
          <w:b w:val="0"/>
          <w:sz w:val="32"/>
          <w:szCs w:val="32"/>
          <w:lang w:val="en-US" w:eastAsia="zh-CN"/>
        </w:rPr>
        <w:t>万</w:t>
      </w:r>
      <w:r>
        <w:rPr>
          <w:rFonts w:hint="eastAsia" w:ascii="仿宋_GB2312" w:hAnsi="Times New Roman" w:eastAsia="仿宋_GB2312" w:cs="Times New Roman"/>
          <w:b w:val="0"/>
          <w:sz w:val="32"/>
          <w:szCs w:val="32"/>
        </w:rPr>
        <w:t>元，支付了2019年全民健身中心欠款229</w:t>
      </w:r>
      <w:r>
        <w:rPr>
          <w:rFonts w:hint="eastAsia" w:ascii="仿宋_GB2312" w:hAnsi="Times New Roman" w:eastAsia="仿宋_GB2312" w:cs="Times New Roman"/>
          <w:b w:val="0"/>
          <w:sz w:val="32"/>
          <w:szCs w:val="32"/>
          <w:lang w:val="en-US" w:eastAsia="zh-CN"/>
        </w:rPr>
        <w:t>.</w:t>
      </w:r>
      <w:r>
        <w:rPr>
          <w:rFonts w:hint="eastAsia" w:ascii="仿宋_GB2312" w:hAnsi="Times New Roman" w:eastAsia="仿宋_GB2312" w:cs="Times New Roman"/>
          <w:b w:val="0"/>
          <w:sz w:val="32"/>
          <w:szCs w:val="32"/>
        </w:rPr>
        <w:t>9228</w:t>
      </w:r>
      <w:r>
        <w:rPr>
          <w:rFonts w:hint="eastAsia" w:ascii="仿宋_GB2312" w:hAnsi="Times New Roman" w:eastAsia="仿宋_GB2312" w:cs="Times New Roman"/>
          <w:b w:val="0"/>
          <w:sz w:val="32"/>
          <w:szCs w:val="32"/>
          <w:lang w:val="en-US" w:eastAsia="zh-CN"/>
        </w:rPr>
        <w:t>万</w:t>
      </w:r>
      <w:r>
        <w:rPr>
          <w:rFonts w:hint="eastAsia" w:ascii="仿宋_GB2312" w:hAnsi="Times New Roman" w:eastAsia="仿宋_GB2312" w:cs="Times New Roman"/>
          <w:b w:val="0"/>
          <w:sz w:val="32"/>
          <w:szCs w:val="32"/>
        </w:rPr>
        <w:t>元；国有资本经营预算财政拨款本年度增加了2024年马拉松项目组织策划实施经费183</w:t>
      </w:r>
      <w:r>
        <w:rPr>
          <w:rFonts w:hint="eastAsia" w:ascii="仿宋_GB2312" w:eastAsia="仿宋_GB2312" w:cs="Times New Roman"/>
          <w:b w:val="0"/>
          <w:sz w:val="32"/>
          <w:szCs w:val="32"/>
          <w:lang w:val="en-US" w:eastAsia="zh-CN"/>
        </w:rPr>
        <w:t>.</w:t>
      </w:r>
      <w:r>
        <w:rPr>
          <w:rFonts w:hint="eastAsia" w:ascii="仿宋_GB2312" w:hAnsi="Times New Roman" w:eastAsia="仿宋_GB2312" w:cs="Times New Roman"/>
          <w:b w:val="0"/>
          <w:sz w:val="32"/>
          <w:szCs w:val="32"/>
        </w:rPr>
        <w:t>30</w:t>
      </w:r>
      <w:r>
        <w:rPr>
          <w:rFonts w:hint="eastAsia" w:ascii="仿宋_GB2312" w:eastAsia="仿宋_GB2312" w:cs="Times New Roman"/>
          <w:b w:val="0"/>
          <w:sz w:val="32"/>
          <w:szCs w:val="32"/>
          <w:lang w:val="en-US" w:eastAsia="zh-CN"/>
        </w:rPr>
        <w:t>万</w:t>
      </w:r>
      <w:r>
        <w:rPr>
          <w:rFonts w:hint="eastAsia" w:ascii="仿宋_GB2312" w:hAnsi="Times New Roman" w:eastAsia="仿宋_GB2312" w:cs="Times New Roman"/>
          <w:b w:val="0"/>
          <w:sz w:val="32"/>
          <w:szCs w:val="32"/>
        </w:rPr>
        <w:t>元。2024年青少年围棋、篮球、田径、足球、轮滑等竞标赛23</w:t>
      </w:r>
      <w:r>
        <w:rPr>
          <w:rFonts w:hint="eastAsia" w:ascii="仿宋_GB2312" w:eastAsia="仿宋_GB2312" w:cs="Times New Roman"/>
          <w:b w:val="0"/>
          <w:sz w:val="32"/>
          <w:szCs w:val="32"/>
          <w:lang w:val="en-US" w:eastAsia="zh-CN"/>
        </w:rPr>
        <w:t>.</w:t>
      </w:r>
      <w:r>
        <w:rPr>
          <w:rFonts w:hint="eastAsia" w:ascii="仿宋_GB2312" w:hAnsi="Times New Roman" w:eastAsia="仿宋_GB2312" w:cs="Times New Roman"/>
          <w:b w:val="0"/>
          <w:sz w:val="32"/>
          <w:szCs w:val="32"/>
        </w:rPr>
        <w:t>0662</w:t>
      </w:r>
      <w:r>
        <w:rPr>
          <w:rFonts w:hint="eastAsia" w:ascii="仿宋_GB2312" w:eastAsia="仿宋_GB2312" w:cs="Times New Roman"/>
          <w:b w:val="0"/>
          <w:sz w:val="32"/>
          <w:szCs w:val="32"/>
          <w:lang w:val="en-US" w:eastAsia="zh-CN"/>
        </w:rPr>
        <w:t>万</w:t>
      </w:r>
      <w:r>
        <w:rPr>
          <w:rFonts w:hint="eastAsia" w:ascii="仿宋_GB2312" w:hAnsi="Times New Roman" w:eastAsia="仿宋_GB2312" w:cs="Times New Roman"/>
          <w:b w:val="0"/>
          <w:sz w:val="32"/>
          <w:szCs w:val="32"/>
        </w:rPr>
        <w:t>元。</w:t>
      </w:r>
      <w:r>
        <w:rPr>
          <w:rFonts w:ascii="仿宋_GB2312" w:hAnsi="Times New Roman" w:eastAsia="仿宋_GB2312" w:cs="Times New Roman"/>
          <w:b w:val="0"/>
          <w:sz w:val="32"/>
          <w:szCs w:val="32"/>
        </w:rPr>
        <w:t>与年初预算相比，年初预算数968.66万元，决算数1,616.15万元，预决算差异率66.84%，主要原因是：</w:t>
      </w:r>
      <w:r>
        <w:rPr>
          <w:rFonts w:hint="eastAsia" w:ascii="仿宋_GB2312" w:hAnsi="Times New Roman" w:eastAsia="仿宋_GB2312" w:cs="Times New Roman"/>
          <w:b w:val="0"/>
          <w:sz w:val="32"/>
          <w:szCs w:val="32"/>
        </w:rPr>
        <w:t>本年项目经费较上年增加，主要增加了巴音郭楞体育公园项目和乡村振兴兴边富民项目建设经费。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文化旅游体育与传媒支出（类）1,413.41万元，占87.46%。</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其他支出（类）202.74万元，占12.54%。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sz w:val="32"/>
          <w:szCs w:val="32"/>
          <w:lang w:eastAsia="zh-CN"/>
        </w:rPr>
      </w:pPr>
      <w:r>
        <w:rPr>
          <w:rFonts w:ascii="仿宋_GB2312" w:eastAsia="仿宋_GB2312"/>
          <w:b w:val="0"/>
          <w:sz w:val="32"/>
          <w:szCs w:val="32"/>
        </w:rPr>
        <w:t>教育支出（类）进修及培训（款）培训支出（项）：支出决算数为0.00万元，比上年决算减少3.16万元，下降100.00%，主要原因是：</w:t>
      </w:r>
      <w:r>
        <w:rPr>
          <w:rFonts w:hint="eastAsia" w:ascii="仿宋_GB2312" w:eastAsia="仿宋_GB2312"/>
          <w:b w:val="0"/>
          <w:sz w:val="32"/>
          <w:szCs w:val="32"/>
        </w:rPr>
        <w:t>本年减少了培训人数及次数</w:t>
      </w:r>
      <w:r>
        <w:rPr>
          <w:rFonts w:hint="eastAsia" w:ascii="仿宋_GB2312" w:eastAsia="仿宋_GB2312"/>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b w:val="0"/>
          <w:sz w:val="32"/>
          <w:szCs w:val="32"/>
          <w:lang w:val="en-US" w:eastAsia="zh-CN"/>
        </w:rPr>
      </w:pPr>
      <w:r>
        <w:rPr>
          <w:rFonts w:ascii="仿宋_GB2312" w:eastAsia="仿宋_GB2312"/>
          <w:b w:val="0"/>
          <w:sz w:val="32"/>
          <w:szCs w:val="32"/>
        </w:rPr>
        <w:t>文化旅游体育与传媒支出（类）文化和旅游（款）行政运行（项）：支出决算数为781.38万元，比上年决算增加268.31万元，增长52.30%，主要原因是：</w:t>
      </w:r>
      <w:r>
        <w:rPr>
          <w:rFonts w:hint="eastAsia" w:ascii="仿宋_GB2312" w:eastAsia="仿宋_GB2312"/>
          <w:b w:val="0"/>
          <w:sz w:val="32"/>
          <w:szCs w:val="32"/>
          <w:lang w:val="en-US" w:eastAsia="zh-CN"/>
        </w:rPr>
        <w:t>年内退休人数较上年增长，退休人员绩效奖较上年有所增加。</w:t>
      </w:r>
      <w:r>
        <w:rPr>
          <w:rFonts w:hint="eastAsia" w:ascii="仿宋_GB2312" w:hAnsi="Times New Roman" w:eastAsia="仿宋_GB2312" w:cs="Times New Roman"/>
          <w:b w:val="0"/>
          <w:sz w:val="32"/>
          <w:szCs w:val="32"/>
          <w:lang w:val="en-US" w:eastAsia="zh-CN"/>
        </w:rPr>
        <w:t>本年新考录3人，部分人员调岗调资，社保医保公积金基数调整，人员经费增加</w:t>
      </w:r>
      <w:r>
        <w:rPr>
          <w:rFonts w:hint="eastAsia" w:ascii="仿宋_GB2312" w:eastAsia="仿宋_GB2312"/>
          <w:b w:val="0"/>
          <w:sz w:val="32"/>
          <w:szCs w:val="32"/>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rPr>
      </w:pPr>
      <w:r>
        <w:rPr>
          <w:rFonts w:ascii="仿宋_GB2312" w:eastAsia="仿宋_GB2312"/>
          <w:b w:val="0"/>
          <w:sz w:val="32"/>
          <w:szCs w:val="32"/>
        </w:rPr>
        <w:t>文化旅游体育与传媒支出（类）文化和旅游（款）文化和旅游管理事务（项）：支出决算数为0.00万元，比上年决算减少37.62万元，下降100.00%，主要原因是：</w:t>
      </w:r>
      <w:r>
        <w:rPr>
          <w:rFonts w:hint="eastAsia" w:ascii="仿宋_GB2312" w:eastAsia="仿宋_GB2312"/>
          <w:b w:val="0"/>
          <w:sz w:val="32"/>
          <w:szCs w:val="32"/>
          <w:lang w:val="en-US" w:eastAsia="zh-CN"/>
        </w:rPr>
        <w:t>2023年度支付2021年旅游厕所资金奖补资金20.00万元，支付铁门关景区林草地征占用补偿费17.62335万元。本年度无此预算。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b w:val="0"/>
          <w:sz w:val="32"/>
          <w:szCs w:val="32"/>
        </w:rPr>
      </w:pPr>
      <w:r>
        <w:rPr>
          <w:rFonts w:ascii="仿宋_GB2312" w:eastAsia="仿宋_GB2312"/>
          <w:b w:val="0"/>
          <w:sz w:val="32"/>
          <w:szCs w:val="32"/>
        </w:rPr>
        <w:t>文化旅游体育与传媒支出（类）文化和旅游（款）其他文化和旅游支出（项）：支出决算数为6.04万元，比上年决算减少11.07万元，下降64.70%，主要原因是：</w:t>
      </w:r>
      <w:r>
        <w:rPr>
          <w:rFonts w:hint="eastAsia" w:ascii="仿宋_GB2312" w:eastAsia="仿宋_GB2312"/>
          <w:b w:val="0"/>
          <w:sz w:val="32"/>
          <w:szCs w:val="32"/>
        </w:rPr>
        <w:t>该资金为2022年河北援疆资金80</w:t>
      </w:r>
      <w:r>
        <w:rPr>
          <w:rFonts w:hint="eastAsia" w:ascii="仿宋_GB2312" w:eastAsia="仿宋_GB2312"/>
          <w:b w:val="0"/>
          <w:sz w:val="32"/>
          <w:szCs w:val="32"/>
          <w:lang w:val="en-US" w:eastAsia="zh-CN"/>
        </w:rPr>
        <w:t>.</w:t>
      </w:r>
      <w:r>
        <w:rPr>
          <w:rFonts w:hint="eastAsia" w:ascii="仿宋_GB2312" w:eastAsia="仿宋_GB2312"/>
          <w:b w:val="0"/>
          <w:sz w:val="32"/>
          <w:szCs w:val="32"/>
        </w:rPr>
        <w:t>00</w:t>
      </w:r>
      <w:r>
        <w:rPr>
          <w:rFonts w:hint="eastAsia" w:ascii="仿宋_GB2312" w:eastAsia="仿宋_GB2312"/>
          <w:b w:val="0"/>
          <w:sz w:val="32"/>
          <w:szCs w:val="32"/>
          <w:lang w:eastAsia="zh-CN"/>
        </w:rPr>
        <w:t>万</w:t>
      </w:r>
      <w:r>
        <w:rPr>
          <w:rFonts w:hint="eastAsia" w:ascii="仿宋_GB2312" w:eastAsia="仿宋_GB2312"/>
          <w:b w:val="0"/>
          <w:sz w:val="32"/>
          <w:szCs w:val="32"/>
        </w:rPr>
        <w:t>元，2023年支付59</w:t>
      </w:r>
      <w:r>
        <w:rPr>
          <w:rFonts w:hint="eastAsia" w:ascii="仿宋_GB2312" w:eastAsia="仿宋_GB2312"/>
          <w:b w:val="0"/>
          <w:sz w:val="32"/>
          <w:szCs w:val="32"/>
          <w:lang w:val="en-US" w:eastAsia="zh-CN"/>
        </w:rPr>
        <w:t>.</w:t>
      </w:r>
      <w:r>
        <w:rPr>
          <w:rFonts w:hint="eastAsia" w:ascii="仿宋_GB2312" w:eastAsia="仿宋_GB2312"/>
          <w:b w:val="0"/>
          <w:sz w:val="32"/>
          <w:szCs w:val="32"/>
        </w:rPr>
        <w:t>4132</w:t>
      </w:r>
      <w:r>
        <w:rPr>
          <w:rFonts w:hint="eastAsia" w:ascii="仿宋_GB2312" w:eastAsia="仿宋_GB2312"/>
          <w:b w:val="0"/>
          <w:sz w:val="32"/>
          <w:szCs w:val="32"/>
          <w:lang w:eastAsia="zh-CN"/>
        </w:rPr>
        <w:t>万</w:t>
      </w:r>
      <w:r>
        <w:rPr>
          <w:rFonts w:hint="eastAsia" w:ascii="仿宋_GB2312" w:eastAsia="仿宋_GB2312"/>
          <w:b w:val="0"/>
          <w:sz w:val="32"/>
          <w:szCs w:val="32"/>
        </w:rPr>
        <w:t>元，剩余20</w:t>
      </w:r>
      <w:r>
        <w:rPr>
          <w:rFonts w:hint="eastAsia" w:ascii="仿宋_GB2312" w:eastAsia="仿宋_GB2312"/>
          <w:b w:val="0"/>
          <w:sz w:val="32"/>
          <w:szCs w:val="32"/>
          <w:lang w:val="en-US" w:eastAsia="zh-CN"/>
        </w:rPr>
        <w:t>.</w:t>
      </w:r>
      <w:r>
        <w:rPr>
          <w:rFonts w:hint="eastAsia" w:ascii="仿宋_GB2312" w:eastAsia="仿宋_GB2312"/>
          <w:b w:val="0"/>
          <w:sz w:val="32"/>
          <w:szCs w:val="32"/>
        </w:rPr>
        <w:t>5850.8元在2024年支付，用于河北宣传经费及河北沧州美术展、太极拳展活动经费。</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b w:val="0"/>
          <w:sz w:val="32"/>
          <w:szCs w:val="32"/>
          <w:lang w:val="en-US" w:eastAsia="zh-CN"/>
        </w:rPr>
      </w:pPr>
      <w:r>
        <w:rPr>
          <w:rFonts w:ascii="仿宋_GB2312" w:eastAsia="仿宋_GB2312"/>
          <w:b w:val="0"/>
          <w:sz w:val="32"/>
          <w:szCs w:val="32"/>
        </w:rPr>
        <w:t>文化旅游体育与传媒支出（类）体育（款）体育场馆（项）：支出决算数为220.14万元，比上年决算增加168.83万元，增长329.04%，主要原因是：</w:t>
      </w:r>
      <w:r>
        <w:rPr>
          <w:rFonts w:hint="eastAsia" w:ascii="仿宋_GB2312" w:eastAsia="仿宋_GB2312"/>
          <w:b w:val="0"/>
          <w:sz w:val="32"/>
          <w:szCs w:val="32"/>
          <w:lang w:val="en-US" w:eastAsia="zh-CN"/>
        </w:rPr>
        <w:t>1、增加了库尔勒市全民健身中心项目工程款（长润）217.4428万元。2、增加了巴州建工旗下子公司项目前期费2.7万元。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b w:val="0"/>
          <w:sz w:val="32"/>
          <w:szCs w:val="32"/>
          <w:lang w:eastAsia="zh-CN"/>
        </w:rPr>
      </w:pPr>
      <w:r>
        <w:rPr>
          <w:rFonts w:ascii="仿宋_GB2312" w:eastAsia="仿宋_GB2312"/>
          <w:b w:val="0"/>
          <w:sz w:val="32"/>
          <w:szCs w:val="32"/>
        </w:rPr>
        <w:t>文化旅游体育与传媒支出（类）体育（款）群众体育（项）：支出决算数为163.45万元，比上年决算增加100.51万元，增长159.69%，主要原因是：</w:t>
      </w:r>
      <w:r>
        <w:rPr>
          <w:rFonts w:hint="eastAsia" w:ascii="仿宋_GB2312" w:eastAsia="仿宋_GB2312"/>
          <w:b w:val="0"/>
          <w:sz w:val="32"/>
          <w:szCs w:val="32"/>
        </w:rPr>
        <w:t>本年支付巴音郭楞体育公园项目前期费及工程预付款153</w:t>
      </w:r>
      <w:r>
        <w:rPr>
          <w:rFonts w:hint="eastAsia" w:ascii="仿宋_GB2312" w:eastAsia="仿宋_GB2312"/>
          <w:b w:val="0"/>
          <w:sz w:val="32"/>
          <w:szCs w:val="32"/>
          <w:lang w:val="en-US" w:eastAsia="zh-CN"/>
        </w:rPr>
        <w:t>.</w:t>
      </w:r>
      <w:r>
        <w:rPr>
          <w:rFonts w:hint="eastAsia" w:ascii="仿宋_GB2312" w:eastAsia="仿宋_GB2312"/>
          <w:b w:val="0"/>
          <w:sz w:val="32"/>
          <w:szCs w:val="32"/>
        </w:rPr>
        <w:t>6</w:t>
      </w:r>
      <w:r>
        <w:rPr>
          <w:rFonts w:hint="eastAsia" w:ascii="仿宋_GB2312" w:eastAsia="仿宋_GB2312"/>
          <w:b w:val="0"/>
          <w:sz w:val="32"/>
          <w:szCs w:val="32"/>
          <w:lang w:val="en-US" w:eastAsia="zh-CN"/>
        </w:rPr>
        <w:t>7万</w:t>
      </w:r>
      <w:r>
        <w:rPr>
          <w:rFonts w:hint="eastAsia" w:ascii="仿宋_GB2312" w:eastAsia="仿宋_GB2312"/>
          <w:b w:val="0"/>
          <w:sz w:val="32"/>
          <w:szCs w:val="32"/>
        </w:rPr>
        <w:t>元</w:t>
      </w:r>
      <w:r>
        <w:rPr>
          <w:rFonts w:hint="eastAsia" w:ascii="仿宋_GB2312" w:eastAsia="仿宋_GB2312"/>
          <w:b w:val="0"/>
          <w:sz w:val="32"/>
          <w:szCs w:val="32"/>
          <w:lang w:eastAsia="zh-CN"/>
        </w:rPr>
        <w:t>。支付巴州建工旗下子公司项目前期费9</w:t>
      </w:r>
      <w:r>
        <w:rPr>
          <w:rFonts w:hint="eastAsia" w:ascii="仿宋_GB2312" w:eastAsia="仿宋_GB2312"/>
          <w:b w:val="0"/>
          <w:sz w:val="32"/>
          <w:szCs w:val="32"/>
          <w:lang w:val="en-US" w:eastAsia="zh-CN"/>
        </w:rPr>
        <w:t>.</w:t>
      </w:r>
      <w:r>
        <w:rPr>
          <w:rFonts w:hint="eastAsia" w:ascii="仿宋_GB2312" w:eastAsia="仿宋_GB2312"/>
          <w:b w:val="0"/>
          <w:sz w:val="32"/>
          <w:szCs w:val="32"/>
          <w:lang w:eastAsia="zh-CN"/>
        </w:rPr>
        <w:t>78万元。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sz w:val="32"/>
          <w:szCs w:val="32"/>
          <w:lang w:eastAsia="zh-CN"/>
        </w:rPr>
      </w:pPr>
      <w:r>
        <w:rPr>
          <w:rFonts w:ascii="仿宋_GB2312" w:eastAsia="仿宋_GB2312"/>
          <w:b w:val="0"/>
          <w:sz w:val="32"/>
          <w:szCs w:val="32"/>
        </w:rPr>
        <w:t>文化旅游体育与传媒支出（类）体育（款）其他体育支出（项）：支出决算数为0.00万元，比上年决算减少3.65万元，下降100.00%，主要原因是</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减少了</w:t>
      </w:r>
      <w:r>
        <w:rPr>
          <w:rFonts w:hint="eastAsia" w:ascii="仿宋_GB2312" w:eastAsia="仿宋_GB2312"/>
          <w:b w:val="0"/>
          <w:sz w:val="32"/>
          <w:szCs w:val="32"/>
        </w:rPr>
        <w:t>2023年河北沧州美术展活动人员车费</w:t>
      </w:r>
      <w:r>
        <w:rPr>
          <w:rFonts w:hint="eastAsia" w:ascii="仿宋_GB2312" w:eastAsia="仿宋_GB2312"/>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文化旅游体育与传媒支出（类）广播电视（款）广播电视事务（项）：支出决算数为0.00万元，比上年决算减少206.81万元，下降100.00%，主要原因是：</w:t>
      </w:r>
      <w:r>
        <w:rPr>
          <w:rFonts w:hint="eastAsia" w:ascii="仿宋_GB2312" w:eastAsia="仿宋_GB2312"/>
          <w:b w:val="0"/>
          <w:sz w:val="32"/>
          <w:szCs w:val="32"/>
          <w:lang w:val="en-US" w:eastAsia="zh-CN"/>
        </w:rPr>
        <w:t>本年度将全部</w:t>
      </w:r>
      <w:r>
        <w:rPr>
          <w:rFonts w:hint="eastAsia" w:ascii="仿宋_GB2312" w:hAnsi="仿宋" w:eastAsia="仿宋_GB2312"/>
          <w:sz w:val="32"/>
          <w:szCs w:val="32"/>
          <w:lang w:val="en-US" w:eastAsia="zh-CN"/>
        </w:rPr>
        <w:t>机关事业单位基本养老保险缴费、职业年金、职工基本医疗保险、公务员医疗补助、住房公积金、其他工资福利支出、医疗补助金列入其他支出。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b w:val="0"/>
          <w:sz w:val="32"/>
          <w:szCs w:val="32"/>
          <w:lang w:val="en-US" w:eastAsia="zh-CN"/>
        </w:rPr>
      </w:pPr>
      <w:r>
        <w:rPr>
          <w:rFonts w:ascii="仿宋_GB2312" w:eastAsia="仿宋_GB2312"/>
          <w:b w:val="0"/>
          <w:sz w:val="32"/>
          <w:szCs w:val="32"/>
        </w:rPr>
        <w:t>文化旅游体育与传媒支出（类）广播电视（款）其他广播电视支出（项）：支出决算数为27.47万元，比上年决算增加19.57万元，增长247.72%，主要原因是：</w:t>
      </w:r>
      <w:r>
        <w:rPr>
          <w:rFonts w:hint="eastAsia" w:ascii="仿宋_GB2312" w:eastAsia="仿宋_GB2312"/>
          <w:b w:val="0"/>
          <w:sz w:val="32"/>
          <w:szCs w:val="32"/>
        </w:rPr>
        <w:t>其他工资福利支出</w:t>
      </w:r>
      <w:r>
        <w:rPr>
          <w:rFonts w:hint="eastAsia" w:ascii="仿宋_GB2312" w:eastAsia="仿宋_GB2312"/>
          <w:b w:val="0"/>
          <w:sz w:val="32"/>
          <w:szCs w:val="32"/>
          <w:lang w:val="en-US" w:eastAsia="zh-CN"/>
        </w:rPr>
        <w:t>增加</w:t>
      </w:r>
      <w:r>
        <w:rPr>
          <w:rFonts w:hint="eastAsia" w:ascii="仿宋_GB2312" w:eastAsia="仿宋_GB2312"/>
          <w:b w:val="0"/>
          <w:sz w:val="32"/>
          <w:szCs w:val="32"/>
        </w:rPr>
        <w:t>10</w:t>
      </w:r>
      <w:r>
        <w:rPr>
          <w:rFonts w:hint="eastAsia" w:ascii="仿宋_GB2312" w:eastAsia="仿宋_GB2312"/>
          <w:b w:val="0"/>
          <w:sz w:val="32"/>
          <w:szCs w:val="32"/>
          <w:lang w:val="en-US" w:eastAsia="zh-CN"/>
        </w:rPr>
        <w:t>.</w:t>
      </w:r>
      <w:r>
        <w:rPr>
          <w:rFonts w:hint="eastAsia" w:ascii="仿宋_GB2312" w:eastAsia="仿宋_GB2312"/>
          <w:b w:val="0"/>
          <w:sz w:val="32"/>
          <w:szCs w:val="32"/>
        </w:rPr>
        <w:t>7</w:t>
      </w:r>
      <w:r>
        <w:rPr>
          <w:rFonts w:hint="eastAsia" w:ascii="仿宋_GB2312" w:eastAsia="仿宋_GB2312"/>
          <w:b w:val="0"/>
          <w:sz w:val="32"/>
          <w:szCs w:val="32"/>
          <w:lang w:val="en-US" w:eastAsia="zh-CN"/>
        </w:rPr>
        <w:t>万元，劳务费16.7700万元。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b w:val="0"/>
          <w:sz w:val="32"/>
          <w:szCs w:val="32"/>
          <w:lang w:val="en-US" w:eastAsia="zh-CN"/>
        </w:rPr>
      </w:pPr>
      <w:r>
        <w:rPr>
          <w:rFonts w:ascii="仿宋_GB2312" w:eastAsia="仿宋_GB2312"/>
          <w:b w:val="0"/>
          <w:sz w:val="32"/>
          <w:szCs w:val="32"/>
        </w:rPr>
        <w:t>文化旅游体育与传媒支出（类）其他文化旅游体育与传媒支出（款）其他文化旅游体育与传媒支出（项）：支出决算数为214.92万元，比上年决算增加158.75万元，增长282.62%，主要原因是：</w:t>
      </w:r>
      <w:r>
        <w:rPr>
          <w:rFonts w:hint="eastAsia" w:ascii="仿宋_GB2312" w:eastAsia="仿宋_GB2312"/>
          <w:b w:val="0"/>
          <w:sz w:val="32"/>
          <w:szCs w:val="32"/>
        </w:rPr>
        <w:t>商品和服务支出</w:t>
      </w:r>
      <w:r>
        <w:rPr>
          <w:rFonts w:hint="eastAsia" w:ascii="仿宋_GB2312" w:eastAsia="仿宋_GB2312"/>
          <w:b w:val="0"/>
          <w:sz w:val="32"/>
          <w:szCs w:val="32"/>
          <w:lang w:val="en-US" w:eastAsia="zh-CN"/>
        </w:rPr>
        <w:t>增加157.05万元，抚恤金增加1.7万元。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其他支出（类）其他支出（款）其他支出（项）：支出决算数为202.74万元，比上年决算增加202.74万元，增长100.00%，主要原因是：</w:t>
      </w:r>
      <w:r>
        <w:rPr>
          <w:rFonts w:hint="eastAsia" w:ascii="仿宋_GB2312" w:eastAsia="仿宋_GB2312"/>
          <w:b w:val="0"/>
          <w:sz w:val="32"/>
          <w:szCs w:val="32"/>
        </w:rPr>
        <w:t>本年度增加了</w:t>
      </w:r>
      <w:r>
        <w:rPr>
          <w:rFonts w:hint="eastAsia" w:ascii="仿宋_GB2312" w:eastAsia="仿宋_GB2312"/>
          <w:b w:val="0"/>
          <w:sz w:val="32"/>
          <w:szCs w:val="32"/>
          <w:lang w:eastAsia="zh-CN"/>
        </w:rPr>
        <w:t>租赁费192</w:t>
      </w:r>
      <w:r>
        <w:rPr>
          <w:rFonts w:hint="eastAsia" w:ascii="仿宋_GB2312" w:eastAsia="仿宋_GB2312"/>
          <w:b w:val="0"/>
          <w:sz w:val="32"/>
          <w:szCs w:val="32"/>
          <w:lang w:val="en-US" w:eastAsia="zh-CN"/>
        </w:rPr>
        <w:t>.</w:t>
      </w:r>
      <w:r>
        <w:rPr>
          <w:rFonts w:hint="eastAsia" w:ascii="仿宋_GB2312" w:eastAsia="仿宋_GB2312"/>
          <w:b w:val="0"/>
          <w:sz w:val="32"/>
          <w:szCs w:val="32"/>
          <w:lang w:eastAsia="zh-CN"/>
        </w:rPr>
        <w:t>74</w:t>
      </w:r>
      <w:r>
        <w:rPr>
          <w:rFonts w:hint="eastAsia" w:ascii="仿宋_GB2312" w:eastAsia="仿宋_GB2312"/>
          <w:b w:val="0"/>
          <w:sz w:val="32"/>
          <w:szCs w:val="32"/>
          <w:lang w:val="en-US" w:eastAsia="zh-CN"/>
        </w:rPr>
        <w:t>万元</w:t>
      </w:r>
      <w:r>
        <w:rPr>
          <w:rFonts w:hint="eastAsia" w:ascii="仿宋_GB2312" w:eastAsia="仿宋_GB2312"/>
          <w:b w:val="0"/>
          <w:sz w:val="32"/>
          <w:szCs w:val="32"/>
          <w:lang w:eastAsia="zh-CN"/>
        </w:rPr>
        <w:t>，</w:t>
      </w:r>
      <w:r>
        <w:rPr>
          <w:rFonts w:hint="eastAsia" w:ascii="仿宋_GB2312" w:eastAsia="仿宋_GB2312"/>
          <w:b w:val="0"/>
          <w:sz w:val="32"/>
          <w:szCs w:val="32"/>
        </w:rPr>
        <w:t>办公费</w:t>
      </w:r>
      <w:r>
        <w:rPr>
          <w:rFonts w:hint="eastAsia" w:ascii="仿宋_GB2312" w:eastAsia="仿宋_GB2312"/>
          <w:b w:val="0"/>
          <w:sz w:val="32"/>
          <w:szCs w:val="32"/>
          <w:lang w:eastAsia="zh-CN"/>
        </w:rPr>
        <w:t>增加了</w:t>
      </w:r>
      <w:r>
        <w:rPr>
          <w:rFonts w:hint="eastAsia" w:ascii="仿宋_GB2312" w:eastAsia="仿宋_GB2312"/>
          <w:b w:val="0"/>
          <w:sz w:val="32"/>
          <w:szCs w:val="32"/>
        </w:rPr>
        <w:t>2024年自治区驻村工作专项经费</w:t>
      </w:r>
      <w:r>
        <w:rPr>
          <w:rFonts w:hint="eastAsia" w:ascii="仿宋_GB2312" w:eastAsia="仿宋_GB2312"/>
          <w:b w:val="0"/>
          <w:sz w:val="32"/>
          <w:szCs w:val="32"/>
          <w:lang w:val="en-US" w:eastAsia="zh-CN"/>
        </w:rPr>
        <w:t>10万</w:t>
      </w:r>
      <w:r>
        <w:rPr>
          <w:rFonts w:hint="eastAsia" w:ascii="仿宋_GB2312" w:eastAsia="仿宋_GB2312"/>
          <w:b w:val="0"/>
          <w:sz w:val="32"/>
          <w:szCs w:val="32"/>
        </w:rPr>
        <w:t>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831.85万元，其中：人员经费702.07万元，包括：基本工资、津贴补贴、奖金、机关事业单位基本养老保险缴费、职业年金缴费、职工基本医疗保险缴费、公务员医疗补助缴费、其他社会保障缴费、住房公积金、其他工资福利支出、退休费、抚恤金和生活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公用经费129.78万元，包括：办公费、印刷费、电费、邮电费、差旅费、维修（护）费、培训费、委托业务费、工会经费和公务用车运行维护费。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2024年度政府性基金预算财政拨款收入总计258.38万元，其中：年初结转和结余0.00万元，本年收入258.38万元。政府性基金预算财政拨款支出总计258.38万元，其中：年末结转和结余0.00万元，本年支出258.38万元。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政府性基金预算财政拨款收入支出总体与上年相比，增加201.72万元，增长356.02%，主要原因是：</w:t>
      </w:r>
      <w:r>
        <w:rPr>
          <w:rFonts w:hint="eastAsia" w:ascii="仿宋_GB2312" w:eastAsia="仿宋_GB2312"/>
          <w:b w:val="0"/>
          <w:sz w:val="32"/>
          <w:szCs w:val="32"/>
        </w:rPr>
        <w:t>本年度增加了2024年马拉松项目组织策划实施经费</w:t>
      </w:r>
      <w:r>
        <w:rPr>
          <w:rFonts w:hint="eastAsia" w:ascii="仿宋_GB2312" w:eastAsia="仿宋_GB2312"/>
          <w:b w:val="0"/>
          <w:sz w:val="32"/>
          <w:szCs w:val="32"/>
          <w:lang w:val="en-US" w:eastAsia="zh-CN"/>
        </w:rPr>
        <w:t>183.3万</w:t>
      </w:r>
      <w:r>
        <w:rPr>
          <w:rFonts w:hint="eastAsia" w:ascii="仿宋_GB2312" w:eastAsia="仿宋_GB2312"/>
          <w:b w:val="0"/>
          <w:sz w:val="32"/>
          <w:szCs w:val="32"/>
        </w:rPr>
        <w:t>元。2024年青少年围棋、篮球、田径、足球、轮滑等竞标赛23</w:t>
      </w:r>
      <w:r>
        <w:rPr>
          <w:rFonts w:hint="eastAsia" w:ascii="仿宋_GB2312" w:eastAsia="仿宋_GB2312"/>
          <w:b w:val="0"/>
          <w:sz w:val="32"/>
          <w:szCs w:val="32"/>
          <w:lang w:val="en-US" w:eastAsia="zh-CN"/>
        </w:rPr>
        <w:t>.</w:t>
      </w:r>
      <w:r>
        <w:rPr>
          <w:rFonts w:hint="eastAsia" w:ascii="仿宋_GB2312" w:eastAsia="仿宋_GB2312"/>
          <w:b w:val="0"/>
          <w:sz w:val="32"/>
          <w:szCs w:val="32"/>
        </w:rPr>
        <w:t>0662</w:t>
      </w:r>
      <w:r>
        <w:rPr>
          <w:rFonts w:hint="eastAsia" w:ascii="仿宋_GB2312" w:eastAsia="仿宋_GB2312"/>
          <w:b w:val="0"/>
          <w:sz w:val="32"/>
          <w:szCs w:val="32"/>
          <w:lang w:val="en-US" w:eastAsia="zh-CN"/>
        </w:rPr>
        <w:t>万</w:t>
      </w:r>
      <w:r>
        <w:rPr>
          <w:rFonts w:hint="eastAsia" w:ascii="仿宋_GB2312" w:eastAsia="仿宋_GB2312"/>
          <w:b w:val="0"/>
          <w:sz w:val="32"/>
          <w:szCs w:val="32"/>
        </w:rPr>
        <w:t>元</w:t>
      </w:r>
      <w:r>
        <w:rPr>
          <w:rFonts w:ascii="仿宋_GB2312" w:eastAsia="仿宋_GB2312"/>
          <w:b w:val="0"/>
          <w:sz w:val="32"/>
          <w:szCs w:val="32"/>
        </w:rPr>
        <w:t>。与年初预算相比，年初预算数177.00万元，决算数258.38万元，预决算差异率45.98%，主要原因是：</w:t>
      </w:r>
      <w:r>
        <w:rPr>
          <w:rFonts w:hint="eastAsia" w:ascii="仿宋_GB2312" w:eastAsia="仿宋_GB2312"/>
          <w:b w:val="0"/>
          <w:sz w:val="32"/>
          <w:szCs w:val="32"/>
        </w:rPr>
        <w:t>本年度增加了2024年马拉松项目组织策划实施经费183</w:t>
      </w:r>
      <w:r>
        <w:rPr>
          <w:rFonts w:hint="eastAsia" w:ascii="仿宋_GB2312" w:eastAsia="仿宋_GB2312"/>
          <w:b w:val="0"/>
          <w:sz w:val="32"/>
          <w:szCs w:val="32"/>
          <w:lang w:val="en-US" w:eastAsia="zh-CN"/>
        </w:rPr>
        <w:t>.</w:t>
      </w:r>
      <w:r>
        <w:rPr>
          <w:rFonts w:hint="eastAsia" w:ascii="仿宋_GB2312" w:eastAsia="仿宋_GB2312"/>
          <w:b w:val="0"/>
          <w:sz w:val="32"/>
          <w:szCs w:val="32"/>
        </w:rPr>
        <w:t>3</w:t>
      </w:r>
      <w:r>
        <w:rPr>
          <w:rFonts w:hint="eastAsia" w:ascii="仿宋_GB2312" w:eastAsia="仿宋_GB2312"/>
          <w:b w:val="0"/>
          <w:sz w:val="32"/>
          <w:szCs w:val="32"/>
          <w:lang w:val="en-US" w:eastAsia="zh-CN"/>
        </w:rPr>
        <w:t>万</w:t>
      </w:r>
      <w:r>
        <w:rPr>
          <w:rFonts w:hint="eastAsia" w:ascii="仿宋_GB2312" w:eastAsia="仿宋_GB2312"/>
          <w:b w:val="0"/>
          <w:sz w:val="32"/>
          <w:szCs w:val="32"/>
        </w:rPr>
        <w:t>元。2024年青少年围棋、篮球、田径、足球、轮滑等竞标赛23</w:t>
      </w:r>
      <w:r>
        <w:rPr>
          <w:rFonts w:hint="eastAsia" w:ascii="仿宋_GB2312" w:eastAsia="仿宋_GB2312"/>
          <w:b w:val="0"/>
          <w:sz w:val="32"/>
          <w:szCs w:val="32"/>
          <w:lang w:val="en-US" w:eastAsia="zh-CN"/>
        </w:rPr>
        <w:t>.</w:t>
      </w:r>
      <w:r>
        <w:rPr>
          <w:rFonts w:hint="eastAsia" w:ascii="仿宋_GB2312" w:eastAsia="仿宋_GB2312"/>
          <w:b w:val="0"/>
          <w:sz w:val="32"/>
          <w:szCs w:val="32"/>
        </w:rPr>
        <w:t>0662</w:t>
      </w:r>
      <w:r>
        <w:rPr>
          <w:rFonts w:hint="eastAsia" w:ascii="仿宋_GB2312" w:eastAsia="仿宋_GB2312"/>
          <w:b w:val="0"/>
          <w:sz w:val="32"/>
          <w:szCs w:val="32"/>
          <w:lang w:val="en-US" w:eastAsia="zh-CN"/>
        </w:rPr>
        <w:t>万</w:t>
      </w:r>
      <w:r>
        <w:rPr>
          <w:rFonts w:hint="eastAsia" w:ascii="仿宋_GB2312" w:eastAsia="仿宋_GB2312"/>
          <w:b w:val="0"/>
          <w:sz w:val="32"/>
          <w:szCs w:val="32"/>
        </w:rPr>
        <w:t>元</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政府性基金预算财政拨款支出258.38万元。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其他支出（类）彩票公益金安排的支出（款）用于体育事业的彩票公益金支出（项）：支出决算数为258.38万元，比上年决算增加201.72万元，增长356.02%，主要原因是：</w:t>
      </w:r>
      <w:r>
        <w:rPr>
          <w:rFonts w:hint="eastAsia" w:ascii="仿宋_GB2312" w:eastAsia="仿宋_GB2312"/>
          <w:b w:val="0"/>
          <w:sz w:val="32"/>
          <w:szCs w:val="32"/>
        </w:rPr>
        <w:t>本年度增加了2024年马拉松项目组织策划实施经费183</w:t>
      </w:r>
      <w:r>
        <w:rPr>
          <w:rFonts w:hint="eastAsia" w:ascii="仿宋_GB2312" w:eastAsia="仿宋_GB2312"/>
          <w:b w:val="0"/>
          <w:sz w:val="32"/>
          <w:szCs w:val="32"/>
          <w:lang w:val="en-US" w:eastAsia="zh-CN"/>
        </w:rPr>
        <w:t>.</w:t>
      </w:r>
      <w:r>
        <w:rPr>
          <w:rFonts w:hint="eastAsia" w:ascii="仿宋_GB2312" w:eastAsia="仿宋_GB2312"/>
          <w:b w:val="0"/>
          <w:sz w:val="32"/>
          <w:szCs w:val="32"/>
        </w:rPr>
        <w:t>3</w:t>
      </w:r>
      <w:r>
        <w:rPr>
          <w:rFonts w:hint="eastAsia" w:ascii="仿宋_GB2312" w:eastAsia="仿宋_GB2312"/>
          <w:b w:val="0"/>
          <w:sz w:val="32"/>
          <w:szCs w:val="32"/>
          <w:lang w:val="en-US" w:eastAsia="zh-CN"/>
        </w:rPr>
        <w:t>万</w:t>
      </w:r>
      <w:r>
        <w:rPr>
          <w:rFonts w:hint="eastAsia" w:ascii="仿宋_GB2312" w:eastAsia="仿宋_GB2312"/>
          <w:b w:val="0"/>
          <w:sz w:val="32"/>
          <w:szCs w:val="32"/>
        </w:rPr>
        <w:t>元。2024年青少年围棋、篮球、田径、足球、轮滑等竞标赛23</w:t>
      </w:r>
      <w:r>
        <w:rPr>
          <w:rFonts w:hint="eastAsia" w:ascii="仿宋_GB2312" w:eastAsia="仿宋_GB2312"/>
          <w:b w:val="0"/>
          <w:sz w:val="32"/>
          <w:szCs w:val="32"/>
          <w:lang w:val="en-US" w:eastAsia="zh-CN"/>
        </w:rPr>
        <w:t>.</w:t>
      </w:r>
      <w:r>
        <w:rPr>
          <w:rFonts w:hint="eastAsia" w:ascii="仿宋_GB2312" w:eastAsia="仿宋_GB2312"/>
          <w:b w:val="0"/>
          <w:sz w:val="32"/>
          <w:szCs w:val="32"/>
        </w:rPr>
        <w:t>0662</w:t>
      </w:r>
      <w:r>
        <w:rPr>
          <w:rFonts w:hint="eastAsia" w:ascii="仿宋_GB2312" w:eastAsia="仿宋_GB2312"/>
          <w:b w:val="0"/>
          <w:sz w:val="32"/>
          <w:szCs w:val="32"/>
          <w:lang w:val="en-US" w:eastAsia="zh-CN"/>
        </w:rPr>
        <w:t>万</w:t>
      </w:r>
      <w:r>
        <w:rPr>
          <w:rFonts w:hint="eastAsia" w:ascii="仿宋_GB2312" w:eastAsia="仿宋_GB2312"/>
          <w:b w:val="0"/>
          <w:sz w:val="32"/>
          <w:szCs w:val="32"/>
        </w:rPr>
        <w:t>元</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hAnsi="Times New Roman" w:eastAsia="仿宋_GB2312" w:cs="Times New Roman"/>
          <w:b w:val="0"/>
          <w:sz w:val="32"/>
          <w:szCs w:val="32"/>
        </w:rPr>
      </w:pPr>
      <w:r>
        <w:rPr>
          <w:rFonts w:ascii="仿宋_GB2312" w:eastAsia="仿宋_GB2312"/>
          <w:b w:val="0"/>
          <w:sz w:val="32"/>
          <w:szCs w:val="32"/>
        </w:rPr>
        <w:t>2024年度财政拨款“三公”经费支出2.05万元，比上年减少7.47万元，下降78.47%，主要原因是：</w:t>
      </w:r>
      <w:r>
        <w:rPr>
          <w:rFonts w:hint="eastAsia" w:ascii="仿宋_GB2312" w:eastAsia="仿宋_GB2312"/>
          <w:b w:val="0"/>
          <w:sz w:val="32"/>
          <w:szCs w:val="32"/>
        </w:rPr>
        <w:t>因为车辆租赁费及维修维护费商家无法及时提供发票，导致经费无法支付</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rPr>
        <w:t>我单位未安排因公出国（境），无因公出国（境）费用</w:t>
      </w:r>
      <w:r>
        <w:rPr>
          <w:rFonts w:ascii="仿宋_GB2312" w:eastAsia="仿宋_GB2312"/>
          <w:b w:val="0"/>
          <w:sz w:val="32"/>
          <w:szCs w:val="32"/>
        </w:rPr>
        <w:t>；公务用车购置及运行维护费支出2.05万</w:t>
      </w:r>
      <w:r>
        <w:rPr>
          <w:rFonts w:ascii="仿宋_GB2312" w:hAnsi="Times New Roman" w:eastAsia="仿宋_GB2312" w:cs="Times New Roman"/>
          <w:b w:val="0"/>
          <w:sz w:val="32"/>
          <w:szCs w:val="32"/>
        </w:rPr>
        <w:t>元，占100.00%，比上年减少7.47万元，下降78.47%，主要原因是：</w:t>
      </w:r>
      <w:r>
        <w:rPr>
          <w:rFonts w:hint="eastAsia" w:ascii="仿宋_GB2312" w:hAnsi="Times New Roman" w:eastAsia="仿宋_GB2312" w:cs="Times New Roman"/>
          <w:b w:val="0"/>
          <w:sz w:val="32"/>
          <w:szCs w:val="32"/>
        </w:rPr>
        <w:t>因为车辆租赁费及维修维护费商家无法及时提供发票，导致经费无法支付</w:t>
      </w:r>
      <w:r>
        <w:rPr>
          <w:rFonts w:ascii="仿宋_GB2312" w:hAnsi="Times New Roman" w:eastAsia="仿宋_GB2312" w:cs="Times New Roman"/>
          <w:b w:val="0"/>
          <w:sz w:val="32"/>
          <w:szCs w:val="32"/>
        </w:rPr>
        <w:t>；公务接待费支出0.00万元，占0.00%，与上年相比无变化，主要原因是：</w:t>
      </w:r>
      <w:r>
        <w:rPr>
          <w:rFonts w:hint="eastAsia" w:ascii="仿宋_GB2312" w:hAnsi="Times New Roman" w:eastAsia="仿宋_GB2312" w:cs="Times New Roman"/>
          <w:b w:val="0"/>
          <w:sz w:val="32"/>
          <w:szCs w:val="32"/>
        </w:rPr>
        <w:t>我单位未安排公务接待，无公务接待支出</w:t>
      </w:r>
      <w:r>
        <w:rPr>
          <w:rFonts w:ascii="仿宋_GB2312" w:hAnsi="Times New Roman" w:eastAsia="仿宋_GB2312" w:cs="Times New Roman"/>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公务用车购置及运行维护费2.05万元，其中：公务用车购置费0.00万元，公务用车运行维护费2.05万元。公务用车运行维护费开支内容包括</w:t>
      </w:r>
      <w:r>
        <w:rPr>
          <w:rFonts w:hint="default" w:ascii="仿宋_GB2312" w:eastAsia="仿宋_GB2312"/>
          <w:b w:val="0"/>
          <w:sz w:val="32"/>
          <w:szCs w:val="32"/>
          <w:lang w:val="en-US" w:eastAsia="zh-CN"/>
        </w:rPr>
        <w:t>车辆燃料费</w:t>
      </w:r>
      <w:r>
        <w:rPr>
          <w:rFonts w:hint="eastAsia" w:ascii="仿宋_GB2312" w:eastAsia="仿宋_GB2312"/>
          <w:b w:val="0"/>
          <w:sz w:val="32"/>
          <w:szCs w:val="32"/>
          <w:lang w:val="en-US" w:eastAsia="zh-CN"/>
        </w:rPr>
        <w:t>、车辆充电费</w:t>
      </w:r>
      <w:r>
        <w:rPr>
          <w:rFonts w:hint="default" w:ascii="仿宋_GB2312" w:eastAsia="仿宋_GB2312"/>
          <w:b w:val="0"/>
          <w:sz w:val="32"/>
          <w:szCs w:val="32"/>
          <w:lang w:val="en-US" w:eastAsia="zh-CN"/>
        </w:rPr>
        <w:t>、车辆维修费、车辆保险费</w:t>
      </w:r>
      <w:r>
        <w:rPr>
          <w:rFonts w:ascii="仿宋_GB2312" w:eastAsia="仿宋_GB2312"/>
          <w:b w:val="0"/>
          <w:sz w:val="32"/>
          <w:szCs w:val="32"/>
        </w:rPr>
        <w:t>。公务用车购置数0辆，公务用车保有量4辆。国有资产占用情况中固定资产车辆4辆，与公务用车保有量差异原因是：</w:t>
      </w:r>
      <w:r>
        <w:rPr>
          <w:rFonts w:hint="eastAsia" w:ascii="仿宋_GB2312" w:eastAsia="仿宋_GB2312"/>
          <w:b w:val="0"/>
          <w:sz w:val="32"/>
          <w:szCs w:val="32"/>
        </w:rPr>
        <w:t>根据库机管资字（2024）18号核减金杯车新M35426车辆1台</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与全年预算相比，财政拨款“三公”经费支出全年预算数2.05万元，决算数2.05万元，预决算差异率0.00%，主要原因是：</w:t>
      </w:r>
      <w:r>
        <w:rPr>
          <w:rFonts w:hint="eastAsia" w:ascii="仿宋_GB2312" w:eastAsia="仿宋_GB2312"/>
          <w:b w:val="0"/>
          <w:sz w:val="32"/>
          <w:szCs w:val="32"/>
          <w:lang w:val="en-US" w:eastAsia="zh-CN"/>
        </w:rPr>
        <w:t>严格按“三公经费”年初预算执行，无超支</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rPr>
        <w:t>我单位未安排因公出国（境）</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rPr>
        <w:t>我单位未购置公务用车</w:t>
      </w:r>
      <w:r>
        <w:rPr>
          <w:rFonts w:ascii="仿宋_GB2312" w:eastAsia="仿宋_GB2312"/>
          <w:b w:val="0"/>
          <w:sz w:val="32"/>
          <w:szCs w:val="32"/>
        </w:rPr>
        <w:t>。公务用车运行维护费全年预算数2.05万元，决算数2.05万元，预决算差异率0.00%，主要原因是：</w:t>
      </w:r>
      <w:r>
        <w:rPr>
          <w:rFonts w:hint="eastAsia" w:ascii="仿宋_GB2312" w:eastAsia="仿宋_GB2312"/>
          <w:b w:val="0"/>
          <w:sz w:val="32"/>
          <w:szCs w:val="32"/>
        </w:rPr>
        <w:t>严格按年初预算执行，无超支</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rPr>
        <w:t>我单位未安排公务接待</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2024年度库尔勒市文化体育广播电视和旅游局(库尔勒市文物局)单位机关运行经费支出129.78万元，比上年增加42.87万元，增长49.33%，主要原因是：</w:t>
      </w:r>
      <w:r>
        <w:rPr>
          <w:rFonts w:hint="eastAsia" w:ascii="仿宋_GB2312" w:eastAsia="仿宋_GB2312"/>
          <w:b w:val="0"/>
          <w:sz w:val="32"/>
          <w:szCs w:val="32"/>
        </w:rPr>
        <w:t>主要是支付了2023年农家书屋购买图书经费24</w:t>
      </w:r>
      <w:r>
        <w:rPr>
          <w:rFonts w:hint="eastAsia" w:ascii="仿宋_GB2312" w:eastAsia="仿宋_GB2312"/>
          <w:b w:val="0"/>
          <w:sz w:val="32"/>
          <w:szCs w:val="32"/>
          <w:lang w:val="en-US" w:eastAsia="zh-CN"/>
        </w:rPr>
        <w:t>.</w:t>
      </w:r>
      <w:r>
        <w:rPr>
          <w:rFonts w:hint="eastAsia" w:ascii="仿宋_GB2312" w:eastAsia="仿宋_GB2312"/>
          <w:b w:val="0"/>
          <w:sz w:val="32"/>
          <w:szCs w:val="32"/>
        </w:rPr>
        <w:t>23712</w:t>
      </w:r>
      <w:r>
        <w:rPr>
          <w:rFonts w:hint="eastAsia" w:ascii="仿宋_GB2312" w:eastAsia="仿宋_GB2312"/>
          <w:b w:val="0"/>
          <w:sz w:val="32"/>
          <w:szCs w:val="32"/>
          <w:lang w:val="en-US" w:eastAsia="zh-CN"/>
        </w:rPr>
        <w:t>万</w:t>
      </w:r>
      <w:r>
        <w:rPr>
          <w:rFonts w:hint="eastAsia" w:ascii="仿宋_GB2312" w:eastAsia="仿宋_GB2312"/>
          <w:b w:val="0"/>
          <w:sz w:val="32"/>
          <w:szCs w:val="32"/>
        </w:rPr>
        <w:t>元，以前年度文化活动经费欠款14</w:t>
      </w:r>
      <w:r>
        <w:rPr>
          <w:rFonts w:hint="eastAsia" w:ascii="仿宋_GB2312" w:eastAsia="仿宋_GB2312"/>
          <w:b w:val="0"/>
          <w:sz w:val="32"/>
          <w:szCs w:val="32"/>
          <w:lang w:val="en-US" w:eastAsia="zh-CN"/>
        </w:rPr>
        <w:t>.</w:t>
      </w:r>
      <w:r>
        <w:rPr>
          <w:rFonts w:hint="eastAsia" w:ascii="仿宋_GB2312" w:eastAsia="仿宋_GB2312"/>
          <w:b w:val="0"/>
          <w:sz w:val="32"/>
          <w:szCs w:val="32"/>
        </w:rPr>
        <w:t>4098</w:t>
      </w:r>
      <w:r>
        <w:rPr>
          <w:rFonts w:hint="eastAsia" w:ascii="仿宋_GB2312" w:eastAsia="仿宋_GB2312"/>
          <w:b w:val="0"/>
          <w:sz w:val="32"/>
          <w:szCs w:val="32"/>
          <w:lang w:val="en-US" w:eastAsia="zh-CN"/>
        </w:rPr>
        <w:t>万</w:t>
      </w:r>
      <w:r>
        <w:rPr>
          <w:rFonts w:hint="eastAsia" w:ascii="仿宋_GB2312" w:eastAsia="仿宋_GB2312"/>
          <w:b w:val="0"/>
          <w:sz w:val="32"/>
          <w:szCs w:val="32"/>
        </w:rPr>
        <w:t>元</w:t>
      </w:r>
      <w:r>
        <w:rPr>
          <w:rFonts w:hint="eastAsia" w:ascii="仿宋_GB2312" w:eastAsia="仿宋_GB2312"/>
          <w:b w:val="0"/>
          <w:sz w:val="32"/>
          <w:szCs w:val="32"/>
          <w:lang w:val="en-US" w:eastAsia="zh-CN"/>
        </w:rPr>
        <w:t>等</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2024年度政府采购支出总额367.74万元，其中：政府采购货物支出1.36万元、政府采购工程支出0.00万元、政府采购服务支出366.38万元。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授予中小企业合同金额366.77万元，占政府采购支出总额的99.74%，其中：授予小微企业合同金额366.77万元，占政府采购支出总额的99.74%。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24,705.00平方米，价值1,255.42万元。车辆4辆，价值44.26万元，其中：副部（省）级及以上领导用车0辆、主要负责人用车0辆、机要通信用车0辆、应急保障用车0辆、执法执勤用车0辆、特种专业技术用车1辆、离退休干部服务用车0辆、其他用车3辆，其他用车主要是：</w:t>
      </w:r>
      <w:r>
        <w:rPr>
          <w:rFonts w:hint="eastAsia" w:ascii="仿宋_GB2312" w:eastAsia="仿宋_GB2312"/>
          <w:b w:val="0"/>
          <w:sz w:val="32"/>
          <w:szCs w:val="32"/>
          <w:lang w:val="en-US" w:eastAsia="zh-CN"/>
        </w:rPr>
        <w:t>一般公务用车</w:t>
      </w:r>
      <w:r>
        <w:rPr>
          <w:rFonts w:ascii="仿宋_GB2312" w:eastAsia="仿宋_GB2312"/>
          <w:b w:val="0"/>
          <w:sz w:val="32"/>
          <w:szCs w:val="32"/>
        </w:rPr>
        <w:t>;单价100万元（含）以上设备（不含车辆）0台（套）。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hAnsi="宋体" w:eastAsia="仿宋_GB2312"/>
          <w:bCs/>
          <w:sz w:val="32"/>
          <w:szCs w:val="32"/>
        </w:rPr>
        <w:t>1904.85</w:t>
      </w:r>
      <w:r>
        <w:rPr>
          <w:rFonts w:ascii="仿宋_GB2312" w:eastAsia="仿宋_GB2312"/>
          <w:b w:val="0"/>
          <w:sz w:val="32"/>
          <w:szCs w:val="32"/>
        </w:rPr>
        <w:t>万元，实际执行总额</w:t>
      </w:r>
      <w:r>
        <w:rPr>
          <w:rFonts w:hint="eastAsia" w:ascii="仿宋_GB2312" w:hAnsi="宋体" w:eastAsia="仿宋_GB2312"/>
          <w:bCs/>
          <w:sz w:val="32"/>
          <w:szCs w:val="32"/>
        </w:rPr>
        <w:t>1904.85</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10</w:t>
      </w:r>
      <w:r>
        <w:rPr>
          <w:rFonts w:ascii="仿宋_GB2312" w:eastAsia="仿宋_GB2312"/>
          <w:b w:val="0"/>
          <w:sz w:val="32"/>
          <w:szCs w:val="32"/>
        </w:rPr>
        <w:t>个，全年预算数</w:t>
      </w:r>
      <w:r>
        <w:rPr>
          <w:rFonts w:hint="eastAsia" w:ascii="仿宋_GB2312" w:eastAsia="仿宋_GB2312"/>
          <w:b w:val="0"/>
          <w:sz w:val="32"/>
          <w:szCs w:val="32"/>
          <w:lang w:val="en-US" w:eastAsia="zh-CN"/>
        </w:rPr>
        <w:t>1764.31</w:t>
      </w:r>
      <w:r>
        <w:rPr>
          <w:rFonts w:ascii="仿宋_GB2312" w:eastAsia="仿宋_GB2312"/>
          <w:b w:val="0"/>
          <w:sz w:val="32"/>
          <w:szCs w:val="32"/>
        </w:rPr>
        <w:t>万元，全年执行数</w:t>
      </w:r>
      <w:r>
        <w:rPr>
          <w:rFonts w:hint="eastAsia" w:ascii="仿宋_GB2312" w:eastAsia="仿宋_GB2312"/>
          <w:b w:val="0"/>
          <w:sz w:val="32"/>
          <w:szCs w:val="32"/>
          <w:lang w:val="en-US" w:eastAsia="zh-CN"/>
        </w:rPr>
        <w:t>519.42</w:t>
      </w:r>
      <w:r>
        <w:rPr>
          <w:rFonts w:ascii="仿宋_GB2312" w:eastAsia="仿宋_GB2312"/>
          <w:b w:val="0"/>
          <w:sz w:val="32"/>
          <w:szCs w:val="32"/>
        </w:rPr>
        <w:t>万元。预算绩效管理取得的成效：</w:t>
      </w:r>
      <w:r>
        <w:rPr>
          <w:rFonts w:hint="eastAsia" w:ascii="仿宋_GB2312" w:eastAsia="仿宋_GB2312"/>
          <w:b w:val="0"/>
          <w:sz w:val="32"/>
          <w:szCs w:val="32"/>
        </w:rPr>
        <w:t>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对预算执行动态进行实时监控，发现问题及时纠偏，确保绩效目标落地落实。③扎实开展自评工作，扎实开展预算绩效目标完成情况部门审核和自评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hint="eastAsia" w:ascii="仿宋_GB2312" w:hAnsi="宋体" w:eastAsia="仿宋_GB2312"/>
          <w:bCs/>
          <w:sz w:val="32"/>
          <w:szCs w:val="32"/>
        </w:rPr>
      </w:pPr>
      <w:r>
        <w:rPr>
          <w:rFonts w:ascii="仿宋_GB2312" w:hAnsi="Times New Roman" w:eastAsia="仿宋_GB2312" w:cs="Times New Roman"/>
          <w:b/>
          <w:bCs/>
          <w:sz w:val="32"/>
          <w:szCs w:val="32"/>
        </w:rPr>
        <w:t>发现的问题及原因：</w:t>
      </w:r>
      <w:r>
        <w:rPr>
          <w:rFonts w:hint="eastAsia" w:ascii="仿宋_GB2312" w:hAnsi="Times New Roman" w:eastAsia="仿宋_GB2312" w:cs="Times New Roman"/>
          <w:b w:val="0"/>
          <w:sz w:val="32"/>
          <w:szCs w:val="32"/>
          <w:lang w:val="en-US" w:eastAsia="zh-CN"/>
        </w:rPr>
        <w:t>1、</w:t>
      </w:r>
      <w:r>
        <w:rPr>
          <w:rFonts w:hint="eastAsia" w:ascii="仿宋_GB2312" w:hAnsi="Times New Roman" w:eastAsia="仿宋_GB2312" w:cs="Times New Roman"/>
          <w:b w:val="0"/>
          <w:sz w:val="32"/>
          <w:szCs w:val="32"/>
        </w:rPr>
        <w:t>我单位文化活动项目存在绩效指标设置不合理问题，部分项目绩效指标值设定为定性的指标，指标设置的科学性、合理性有待进一步提高。</w:t>
      </w:r>
      <w:r>
        <w:rPr>
          <w:rFonts w:hint="eastAsia" w:ascii="仿宋_GB2312" w:hAnsi="Times New Roman" w:eastAsia="仿宋_GB2312" w:cs="Times New Roman"/>
          <w:b w:val="0"/>
          <w:sz w:val="32"/>
          <w:szCs w:val="32"/>
          <w:lang w:val="en-US" w:eastAsia="zh-CN"/>
        </w:rPr>
        <w:t>2、</w:t>
      </w:r>
      <w:r>
        <w:rPr>
          <w:rFonts w:hint="eastAsia" w:ascii="仿宋_GB2312" w:hAnsi="宋体" w:eastAsia="仿宋_GB2312"/>
          <w:bCs/>
          <w:sz w:val="32"/>
          <w:szCs w:val="32"/>
        </w:rPr>
        <w:t>2024年巴音体育公园建设项目于正在实施，还未完成。</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ascii="仿宋_GB2312" w:eastAsia="仿宋_GB2312"/>
          <w:sz w:val="32"/>
          <w:szCs w:val="32"/>
        </w:rPr>
      </w:pPr>
      <w:r>
        <w:rPr>
          <w:rFonts w:ascii="仿宋_GB2312" w:hAnsi="Times New Roman" w:eastAsia="仿宋_GB2312" w:cs="Times New Roman"/>
          <w:b/>
          <w:bCs/>
          <w:sz w:val="32"/>
          <w:szCs w:val="32"/>
        </w:rPr>
        <w:t>下一步改进措施：</w:t>
      </w:r>
      <w:r>
        <w:rPr>
          <w:rFonts w:hint="eastAsia" w:ascii="仿宋_GB2312" w:hAnsi="宋体" w:eastAsia="仿宋_GB2312" w:cs="Times New Roman"/>
          <w:bCs/>
          <w:sz w:val="32"/>
          <w:szCs w:val="32"/>
          <w:lang w:val="en-US" w:eastAsia="zh-CN"/>
        </w:rPr>
        <w:t>1、合理设置年度任务。提高体育科、文化科、旅游科等科室对部门中长期规划的重视程度，增强相关规划的落地性、导向性。2、</w:t>
      </w:r>
      <w:r>
        <w:rPr>
          <w:rFonts w:hint="eastAsia" w:ascii="仿宋_GB2312" w:hAnsi="宋体" w:eastAsia="仿宋_GB2312" w:cs="Times New Roman"/>
          <w:bCs/>
          <w:sz w:val="32"/>
          <w:szCs w:val="32"/>
        </w:rPr>
        <w:t>下一步</w:t>
      </w:r>
      <w:r>
        <w:rPr>
          <w:rFonts w:hint="eastAsia" w:ascii="仿宋_GB2312" w:hAnsi="宋体" w:eastAsia="仿宋_GB2312"/>
          <w:bCs/>
          <w:sz w:val="32"/>
          <w:szCs w:val="32"/>
        </w:rPr>
        <w:t>将督促2024年巴音体育公园建设项目尽快完成</w:t>
      </w:r>
      <w:r>
        <w:rPr>
          <w:rFonts w:ascii="仿宋_GB2312" w:eastAsia="仿宋_GB2312"/>
          <w:b w:val="0"/>
          <w:sz w:val="32"/>
          <w:szCs w:val="32"/>
        </w:rPr>
        <w:t>。具体附部门整体支出绩效自评表，项目支出绩效自评表和部门评价报告。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center"/>
        <w:textAlignment w:val="auto"/>
        <w:outlineLvl w:val="0"/>
        <w:rPr>
          <w:rFonts w:ascii="黑体" w:eastAsia="黑体"/>
          <w:sz w:val="32"/>
          <w:szCs w:val="32"/>
        </w:rPr>
      </w:pPr>
      <w:r>
        <w:rPr>
          <w:rFonts w:ascii="黑体" w:eastAsia="黑体"/>
          <w:b w:val="0"/>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center"/>
        <w:textAlignment w:val="auto"/>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r>
        <w:rPr>
          <w:rFonts w:ascii="仿宋_GB2312" w:eastAsia="仿宋_GB2312"/>
          <w:b w:val="0"/>
          <w:sz w:val="32"/>
          <w:szCs w:val="32"/>
        </w:rPr>
        <w:t>九、《财政拨款“三公”经费支出决算表》</w:t>
      </w: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rPr>
          <w:rFonts w:ascii="仿宋_GB2312" w:eastAsia="仿宋_GB2312"/>
          <w:b w:val="0"/>
          <w:sz w:val="32"/>
          <w:szCs w:val="32"/>
        </w:rPr>
      </w:pPr>
    </w:p>
    <w:p>
      <w:pPr>
        <w:pStyle w:val="2"/>
      </w:pPr>
      <w:r>
        <w:drawing>
          <wp:anchor distT="0" distB="0" distL="114300" distR="114300" simplePos="0" relativeHeight="251659264" behindDoc="0" locked="0" layoutInCell="1" allowOverlap="1">
            <wp:simplePos x="0" y="0"/>
            <wp:positionH relativeFrom="column">
              <wp:posOffset>-47625</wp:posOffset>
            </wp:positionH>
            <wp:positionV relativeFrom="paragraph">
              <wp:posOffset>55880</wp:posOffset>
            </wp:positionV>
            <wp:extent cx="5480050" cy="4547870"/>
            <wp:effectExtent l="0" t="0" r="6350" b="508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5480050" cy="4547870"/>
                    </a:xfrm>
                    <a:prstGeom prst="rect">
                      <a:avLst/>
                    </a:prstGeom>
                    <a:noFill/>
                    <a:ln>
                      <a:noFill/>
                    </a:ln>
                  </pic:spPr>
                </pic:pic>
              </a:graphicData>
            </a:graphic>
          </wp:anchor>
        </w:drawing>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r>
        <w:drawing>
          <wp:anchor distT="0" distB="0" distL="114300" distR="114300" simplePos="0" relativeHeight="251660288" behindDoc="0" locked="0" layoutInCell="1" allowOverlap="1">
            <wp:simplePos x="0" y="0"/>
            <wp:positionH relativeFrom="column">
              <wp:posOffset>48260</wp:posOffset>
            </wp:positionH>
            <wp:positionV relativeFrom="paragraph">
              <wp:posOffset>2540</wp:posOffset>
            </wp:positionV>
            <wp:extent cx="5476875" cy="4366260"/>
            <wp:effectExtent l="0" t="0" r="9525" b="1524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5476875" cy="4366260"/>
                    </a:xfrm>
                    <a:prstGeom prst="rect">
                      <a:avLst/>
                    </a:prstGeom>
                    <a:noFill/>
                    <a:ln>
                      <a:noFill/>
                    </a:ln>
                  </pic:spPr>
                </pic:pic>
              </a:graphicData>
            </a:graphic>
          </wp:anchor>
        </w:drawing>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r>
        <w:drawing>
          <wp:anchor distT="0" distB="0" distL="114300" distR="114300" simplePos="0" relativeHeight="251661312" behindDoc="0" locked="0" layoutInCell="1" allowOverlap="1">
            <wp:simplePos x="0" y="0"/>
            <wp:positionH relativeFrom="column">
              <wp:posOffset>0</wp:posOffset>
            </wp:positionH>
            <wp:positionV relativeFrom="paragraph">
              <wp:posOffset>267335</wp:posOffset>
            </wp:positionV>
            <wp:extent cx="5480050" cy="5820410"/>
            <wp:effectExtent l="0" t="0" r="6350" b="889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5480050" cy="5820410"/>
                    </a:xfrm>
                    <a:prstGeom prst="rect">
                      <a:avLst/>
                    </a:prstGeom>
                    <a:noFill/>
                    <a:ln>
                      <a:noFill/>
                    </a:ln>
                  </pic:spPr>
                </pic:pic>
              </a:graphicData>
            </a:graphic>
          </wp:anchor>
        </w:drawing>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r>
        <w:drawing>
          <wp:anchor distT="0" distB="0" distL="114300" distR="114300" simplePos="0" relativeHeight="251662336" behindDoc="0" locked="0" layoutInCell="1" allowOverlap="1">
            <wp:simplePos x="0" y="0"/>
            <wp:positionH relativeFrom="column">
              <wp:posOffset>127000</wp:posOffset>
            </wp:positionH>
            <wp:positionV relativeFrom="paragraph">
              <wp:posOffset>3175</wp:posOffset>
            </wp:positionV>
            <wp:extent cx="5109845" cy="6717030"/>
            <wp:effectExtent l="0" t="0" r="14605" b="762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5109845" cy="6717030"/>
                    </a:xfrm>
                    <a:prstGeom prst="rect">
                      <a:avLst/>
                    </a:prstGeom>
                    <a:noFill/>
                    <a:ln>
                      <a:noFill/>
                    </a:ln>
                  </pic:spPr>
                </pic:pic>
              </a:graphicData>
            </a:graphic>
          </wp:anchor>
        </w:drawing>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r>
        <w:drawing>
          <wp:anchor distT="0" distB="0" distL="114300" distR="114300" simplePos="0" relativeHeight="251663360" behindDoc="0" locked="0" layoutInCell="1" allowOverlap="1">
            <wp:simplePos x="0" y="0"/>
            <wp:positionH relativeFrom="column">
              <wp:posOffset>206375</wp:posOffset>
            </wp:positionH>
            <wp:positionV relativeFrom="paragraph">
              <wp:posOffset>265430</wp:posOffset>
            </wp:positionV>
            <wp:extent cx="5097780" cy="5267325"/>
            <wp:effectExtent l="0" t="0" r="7620" b="952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5097780" cy="5267325"/>
                    </a:xfrm>
                    <a:prstGeom prst="rect">
                      <a:avLst/>
                    </a:prstGeom>
                    <a:noFill/>
                    <a:ln>
                      <a:noFill/>
                    </a:ln>
                  </pic:spPr>
                </pic:pic>
              </a:graphicData>
            </a:graphic>
          </wp:anchor>
        </w:drawing>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r>
        <w:drawing>
          <wp:anchor distT="0" distB="0" distL="114300" distR="114300" simplePos="0" relativeHeight="251664384" behindDoc="0" locked="0" layoutInCell="1" allowOverlap="1">
            <wp:simplePos x="0" y="0"/>
            <wp:positionH relativeFrom="column">
              <wp:posOffset>214630</wp:posOffset>
            </wp:positionH>
            <wp:positionV relativeFrom="paragraph">
              <wp:posOffset>197485</wp:posOffset>
            </wp:positionV>
            <wp:extent cx="5001895" cy="6275070"/>
            <wp:effectExtent l="0" t="0" r="8255" b="1143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5001895" cy="6275070"/>
                    </a:xfrm>
                    <a:prstGeom prst="rect">
                      <a:avLst/>
                    </a:prstGeom>
                    <a:noFill/>
                    <a:ln>
                      <a:noFill/>
                    </a:ln>
                  </pic:spPr>
                </pic:pic>
              </a:graphicData>
            </a:graphic>
          </wp:anchor>
        </w:drawing>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r>
        <w:drawing>
          <wp:anchor distT="0" distB="0" distL="114300" distR="114300" simplePos="0" relativeHeight="251665408" behindDoc="0" locked="0" layoutInCell="1" allowOverlap="1">
            <wp:simplePos x="0" y="0"/>
            <wp:positionH relativeFrom="column">
              <wp:posOffset>167005</wp:posOffset>
            </wp:positionH>
            <wp:positionV relativeFrom="paragraph">
              <wp:posOffset>310515</wp:posOffset>
            </wp:positionV>
            <wp:extent cx="5013960" cy="2694305"/>
            <wp:effectExtent l="0" t="0" r="15240" b="10795"/>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5013960" cy="2694305"/>
                    </a:xfrm>
                    <a:prstGeom prst="rect">
                      <a:avLst/>
                    </a:prstGeom>
                    <a:noFill/>
                    <a:ln>
                      <a:noFill/>
                    </a:ln>
                  </pic:spPr>
                </pic:pic>
              </a:graphicData>
            </a:graphic>
          </wp:anchor>
        </w:drawing>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r>
        <w:drawing>
          <wp:anchor distT="0" distB="0" distL="114300" distR="114300" simplePos="0" relativeHeight="251666432" behindDoc="0" locked="0" layoutInCell="1" allowOverlap="1">
            <wp:simplePos x="0" y="0"/>
            <wp:positionH relativeFrom="column">
              <wp:posOffset>15875</wp:posOffset>
            </wp:positionH>
            <wp:positionV relativeFrom="paragraph">
              <wp:posOffset>133350</wp:posOffset>
            </wp:positionV>
            <wp:extent cx="5095875" cy="2513330"/>
            <wp:effectExtent l="0" t="0" r="9525" b="127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1"/>
                    <a:stretch>
                      <a:fillRect/>
                    </a:stretch>
                  </pic:blipFill>
                  <pic:spPr>
                    <a:xfrm>
                      <a:off x="0" y="0"/>
                      <a:ext cx="5095875" cy="2513330"/>
                    </a:xfrm>
                    <a:prstGeom prst="rect">
                      <a:avLst/>
                    </a:prstGeom>
                    <a:noFill/>
                    <a:ln>
                      <a:noFill/>
                    </a:ln>
                  </pic:spPr>
                </pic:pic>
              </a:graphicData>
            </a:graphic>
          </wp:anchor>
        </w:drawing>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bookmarkStart w:id="0" w:name="_GoBack"/>
      <w:r>
        <w:drawing>
          <wp:anchor distT="0" distB="0" distL="114300" distR="114300" simplePos="0" relativeHeight="251667456" behindDoc="0" locked="0" layoutInCell="1" allowOverlap="1">
            <wp:simplePos x="0" y="0"/>
            <wp:positionH relativeFrom="column">
              <wp:posOffset>86995</wp:posOffset>
            </wp:positionH>
            <wp:positionV relativeFrom="paragraph">
              <wp:posOffset>155575</wp:posOffset>
            </wp:positionV>
            <wp:extent cx="5255260" cy="2730500"/>
            <wp:effectExtent l="0" t="0" r="2540" b="1270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tretch>
                      <a:fillRect/>
                    </a:stretch>
                  </pic:blipFill>
                  <pic:spPr>
                    <a:xfrm>
                      <a:off x="0" y="0"/>
                      <a:ext cx="5255260" cy="2730500"/>
                    </a:xfrm>
                    <a:prstGeom prst="rect">
                      <a:avLst/>
                    </a:prstGeom>
                    <a:noFill/>
                    <a:ln>
                      <a:noFill/>
                    </a:ln>
                  </pic:spPr>
                </pic:pic>
              </a:graphicData>
            </a:graphic>
          </wp:anchor>
        </w:drawing>
      </w:r>
      <w:bookmarkEnd w:id="0"/>
    </w:p>
    <w:p>
      <w:pPr>
        <w:pStyle w:val="2"/>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AA20F3"/>
    <w:rsid w:val="03965E8F"/>
    <w:rsid w:val="05516D01"/>
    <w:rsid w:val="05E25C5E"/>
    <w:rsid w:val="062A15C1"/>
    <w:rsid w:val="076E41E9"/>
    <w:rsid w:val="0A220816"/>
    <w:rsid w:val="12D463BF"/>
    <w:rsid w:val="13F05C57"/>
    <w:rsid w:val="144C2F2D"/>
    <w:rsid w:val="17263548"/>
    <w:rsid w:val="1B6C310A"/>
    <w:rsid w:val="1D510BB8"/>
    <w:rsid w:val="1D572668"/>
    <w:rsid w:val="1E6B1448"/>
    <w:rsid w:val="24AA3A0B"/>
    <w:rsid w:val="275B4A67"/>
    <w:rsid w:val="28731295"/>
    <w:rsid w:val="2876351E"/>
    <w:rsid w:val="2B650901"/>
    <w:rsid w:val="2C773C5E"/>
    <w:rsid w:val="2D311100"/>
    <w:rsid w:val="2F372DFE"/>
    <w:rsid w:val="2FE74B03"/>
    <w:rsid w:val="302326E9"/>
    <w:rsid w:val="30C956C1"/>
    <w:rsid w:val="33035D63"/>
    <w:rsid w:val="35A52744"/>
    <w:rsid w:val="35C22FB4"/>
    <w:rsid w:val="36B726D1"/>
    <w:rsid w:val="376736A9"/>
    <w:rsid w:val="3B201B8A"/>
    <w:rsid w:val="3B6249AA"/>
    <w:rsid w:val="3CF80819"/>
    <w:rsid w:val="3F760AEB"/>
    <w:rsid w:val="443B7B14"/>
    <w:rsid w:val="45280308"/>
    <w:rsid w:val="45980A68"/>
    <w:rsid w:val="496D1A21"/>
    <w:rsid w:val="4A062BE2"/>
    <w:rsid w:val="541037B5"/>
    <w:rsid w:val="55065A2E"/>
    <w:rsid w:val="58DB5BCE"/>
    <w:rsid w:val="5A556B12"/>
    <w:rsid w:val="5CDC7967"/>
    <w:rsid w:val="5CFE59AF"/>
    <w:rsid w:val="61B76950"/>
    <w:rsid w:val="66AA3671"/>
    <w:rsid w:val="68456D65"/>
    <w:rsid w:val="68B756F9"/>
    <w:rsid w:val="68E8439D"/>
    <w:rsid w:val="69381BAC"/>
    <w:rsid w:val="6BBB08EB"/>
    <w:rsid w:val="6DCF54D8"/>
    <w:rsid w:val="71F70900"/>
    <w:rsid w:val="72B439E1"/>
    <w:rsid w:val="76303A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0" w:semiHidden="0" w:name="toc 1"/>
    <w:lsdException w:qFormat="1" w:uiPriority="0" w:semiHidden="0" w:name="toc 2"/>
    <w:lsdException w:qFormat="1"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1"/>
      <w:szCs w:val="22"/>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toc 3"/>
    <w:basedOn w:val="1"/>
    <w:next w:val="1"/>
    <w:unhideWhenUsed/>
    <w:qFormat/>
    <w:uiPriority w:val="0"/>
    <w:pPr>
      <w:spacing w:beforeLines="0" w:afterLines="0"/>
      <w:ind w:left="840" w:leftChars="400"/>
    </w:pPr>
    <w:rPr>
      <w:rFonts w:hint="eastAsia"/>
      <w:sz w:val="21"/>
      <w:szCs w:val="24"/>
    </w:rPr>
  </w:style>
  <w:style w:type="paragraph" w:styleId="4">
    <w:name w:val="footer"/>
    <w:basedOn w:val="1"/>
    <w:unhideWhenUsed/>
    <w:qFormat/>
    <w:uiPriority w:val="0"/>
    <w:pPr>
      <w:tabs>
        <w:tab w:val="center" w:pos="4153"/>
        <w:tab w:val="right" w:pos="8306"/>
      </w:tabs>
      <w:snapToGrid w:val="0"/>
      <w:spacing w:beforeLines="0" w:afterLines="0"/>
      <w:jc w:val="left"/>
    </w:pPr>
    <w:rPr>
      <w:rFonts w:hint="eastAsia"/>
      <w:sz w:val="18"/>
      <w:szCs w:val="24"/>
    </w:rPr>
  </w:style>
  <w:style w:type="paragraph" w:styleId="5">
    <w:name w:val="toc 1"/>
    <w:basedOn w:val="1"/>
    <w:next w:val="1"/>
    <w:unhideWhenUsed/>
    <w:qFormat/>
    <w:uiPriority w:val="0"/>
    <w:pPr>
      <w:spacing w:beforeLines="0" w:afterLines="0"/>
    </w:pPr>
    <w:rPr>
      <w:rFonts w:hint="eastAsia"/>
      <w:sz w:val="21"/>
      <w:szCs w:val="24"/>
    </w:rPr>
  </w:style>
  <w:style w:type="paragraph" w:styleId="6">
    <w:name w:val="toc 2"/>
    <w:basedOn w:val="1"/>
    <w:next w:val="1"/>
    <w:unhideWhenUsed/>
    <w:qFormat/>
    <w:uiPriority w:val="0"/>
    <w:pPr>
      <w:spacing w:beforeLines="0" w:afterLines="0"/>
      <w:ind w:left="420" w:leftChars="200"/>
    </w:pPr>
    <w:rPr>
      <w:rFonts w:hint="eastAsia"/>
      <w:sz w:val="21"/>
      <w:szCs w:val="24"/>
    </w:rPr>
  </w:style>
  <w:style w:type="paragraph" w:customStyle="1" w:styleId="9">
    <w:name w:val="无间隔1"/>
    <w:qFormat/>
    <w:uiPriority w:val="99"/>
    <w:pPr>
      <w:ind w:firstLine="200" w:firstLineChars="200"/>
    </w:pPr>
    <w:rPr>
      <w:rFonts w:ascii="Times New Roman" w:hAnsi="Times New Roman" w:eastAsia="仿宋_GB2312" w:cs="Times New Roman"/>
      <w:sz w:val="30"/>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21</Pages>
  <Words>7825</Words>
  <Characters>8906</Characters>
  <TotalTime>12</TotalTime>
  <ScaleCrop>false</ScaleCrop>
  <LinksUpToDate>false</LinksUpToDate>
  <CharactersWithSpaces>8913</CharactersWithSpaces>
  <Application>WPS Office_11.1.0.11194_F1E327BC-269C-435d-A152-05C5408002CA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2025-08-14T10:55:00Z</dcterms:created>
  <dc:creator>Administrator</dc:creator>
  <cp:lastModifiedBy>Administrator</cp:lastModifiedBy>
  <dcterms:modified xsi:type="dcterms:W3CDTF">2025-08-15T08:28:23Z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EBFCCD5E1EBA40A885C5BE08F456C01A</vt:lpwstr>
  </property>
</Properties>
</file>