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rPr>
      </w:pPr>
      <w:bookmarkStart w:id="3" w:name="_GoBack"/>
      <w:bookmarkEnd w:id="3"/>
    </w:p>
    <w:p>
      <w:pPr>
        <w:spacing w:line="540" w:lineRule="exact"/>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巴财教[2023]67号提前下达2024年国家博物馆纪念馆免费开放补助资金项目支出绩效评价</w:t>
      </w:r>
    </w:p>
    <w:p>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报告</w:t>
      </w: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 xml:space="preserve">项目名称：巴财教[2023]67号提前下达2024年国家博物馆纪念馆免费开放补助资金 </w:t>
      </w:r>
    </w:p>
    <w:p>
      <w:pPr>
        <w:spacing w:line="700" w:lineRule="exact"/>
        <w:ind w:firstLine="1440" w:firstLineChars="400"/>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val="en-US" w:eastAsia="zh-CN"/>
        </w:rPr>
        <w:t>库尔勒民俗文化博物馆</w:t>
      </w:r>
    </w:p>
    <w:p>
      <w:pPr>
        <w:spacing w:line="700" w:lineRule="exact"/>
        <w:ind w:firstLine="1440" w:firstLineChars="400"/>
        <w:jc w:val="left"/>
        <w:rPr>
          <w:rFonts w:hint="default" w:ascii="Times New Roman" w:hAnsi="Times New Roman" w:eastAsia="仿宋_GB2312" w:cs="Times New Roman"/>
          <w:kern w:val="0"/>
          <w:sz w:val="36"/>
          <w:szCs w:val="36"/>
          <w:lang w:val="en-US" w:eastAsia="zh-CN"/>
        </w:rPr>
      </w:pPr>
      <w:r>
        <w:rPr>
          <w:rFonts w:hint="default" w:ascii="Times New Roman" w:hAnsi="Times New Roman" w:eastAsia="仿宋_GB2312" w:cs="Times New Roman"/>
          <w:kern w:val="0"/>
          <w:sz w:val="36"/>
          <w:szCs w:val="36"/>
        </w:rPr>
        <w:t>主管部门（公章）：</w:t>
      </w:r>
      <w:r>
        <w:rPr>
          <w:rFonts w:hint="eastAsia" w:eastAsia="仿宋_GB2312" w:cs="Times New Roman"/>
          <w:kern w:val="0"/>
          <w:sz w:val="36"/>
          <w:szCs w:val="36"/>
          <w:lang w:val="en-US" w:eastAsia="zh-CN"/>
        </w:rPr>
        <w:t>库尔勒市文化体育广播电视和旅游局</w:t>
      </w:r>
    </w:p>
    <w:p>
      <w:pPr>
        <w:spacing w:line="700" w:lineRule="exact"/>
        <w:ind w:firstLine="1440" w:firstLineChars="400"/>
        <w:jc w:val="left"/>
        <w:rPr>
          <w:rFonts w:hint="eastAsia" w:ascii="Times New Roman" w:hAnsi="Times New Roman"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val="en-US" w:eastAsia="zh-CN"/>
        </w:rPr>
        <w:t>蔺雪萍</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21</w:t>
      </w:r>
      <w:r>
        <w:rPr>
          <w:rFonts w:hint="default" w:ascii="Times New Roman" w:hAnsi="Times New Roman" w:eastAsia="仿宋_GB2312" w:cs="Times New Roman"/>
          <w:kern w:val="0"/>
          <w:sz w:val="36"/>
          <w:szCs w:val="36"/>
        </w:rPr>
        <w:t>日</w:t>
      </w:r>
    </w:p>
    <w:p>
      <w:pPr>
        <w:spacing w:line="540" w:lineRule="exact"/>
        <w:jc w:val="center"/>
        <w:rPr>
          <w:rFonts w:hint="default" w:ascii="Times New Roman" w:hAnsi="Times New Roman" w:eastAsia="仿宋_GB2312" w:cs="Times New Roman"/>
          <w:kern w:val="0"/>
          <w:sz w:val="30"/>
          <w:szCs w:val="30"/>
        </w:rPr>
      </w:pPr>
    </w:p>
    <w:p>
      <w:pPr>
        <w:spacing w:line="540" w:lineRule="exact"/>
        <w:rPr>
          <w:rStyle w:val="17"/>
          <w:rFonts w:hint="default" w:ascii="Times New Roman" w:hAnsi="Times New Roman" w:eastAsia="黑体" w:cs="Times New Roman"/>
          <w:b w:val="0"/>
          <w:spacing w:val="-4"/>
          <w:sz w:val="32"/>
          <w:szCs w:val="32"/>
        </w:rPr>
      </w:pPr>
    </w:p>
    <w:p>
      <w:pPr>
        <w:spacing w:line="540" w:lineRule="exact"/>
        <w:ind w:firstLine="640"/>
        <w:rPr>
          <w:rStyle w:val="17"/>
          <w:rFonts w:hint="default" w:ascii="Times New Roman" w:hAnsi="Times New Roman" w:eastAsia="黑体" w:cs="Times New Roman"/>
          <w:b w:val="0"/>
          <w:spacing w:val="-4"/>
          <w:sz w:val="32"/>
          <w:szCs w:val="32"/>
        </w:rPr>
      </w:pPr>
    </w:p>
    <w:p>
      <w:pPr>
        <w:spacing w:line="540" w:lineRule="exact"/>
        <w:rPr>
          <w:rStyle w:val="17"/>
          <w:rFonts w:hint="default" w:ascii="Times New Roman" w:hAnsi="Times New Roman" w:eastAsia="黑体" w:cs="Times New Roman"/>
          <w:b w:val="0"/>
          <w:spacing w:val="-4"/>
          <w:sz w:val="32"/>
          <w:szCs w:val="32"/>
        </w:rPr>
      </w:pPr>
    </w:p>
    <w:p>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pPr>
        <w:spacing w:line="560" w:lineRule="exact"/>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为深入贯彻落实党的文化发展战略，满足人民群众日益增长的精神文化需求，2008年，中宣部、财政部、文化部、国家文物局联合发布《关于全国博物馆、纪念馆免费开放的通知》，要求全国各级文化文物部门归口管理的公共博物馆、纪念馆，全国爱国主义教育示范基地全部实行免费开放。国家博物馆积极响应政策，自此开启免费开放服务，旨在让更多公众能够走进博物馆，感受历史文化魅力，提升全民文化素养 。然而，免费开放后，国家博物馆面临门票收入缺失、运营成本增加等问题，为保障博物馆持续、高质量地为公众提供服务，中央财政设立补助资金，专项用于支持国家博物馆免费开放后的各项运营与发展需求。</w:t>
      </w:r>
    </w:p>
    <w:p>
      <w:pPr>
        <w:pStyle w:val="11"/>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pPr>
        <w:spacing w:line="560" w:lineRule="exact"/>
        <w:ind w:firstLine="60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0"/>
          <w:szCs w:val="30"/>
          <w:highlight w:val="none"/>
          <w:lang w:val="en-US" w:eastAsia="zh-CN"/>
        </w:rPr>
        <w:t>项目主要内容：</w:t>
      </w:r>
      <w:r>
        <w:rPr>
          <w:rFonts w:hint="default" w:ascii="Times New Roman" w:hAnsi="Times New Roman" w:eastAsia="仿宋_GB2312" w:cs="Times New Roman"/>
          <w:sz w:val="32"/>
          <w:szCs w:val="32"/>
          <w:highlight w:val="none"/>
          <w:lang w:val="en-US" w:eastAsia="zh-CN"/>
        </w:rPr>
        <w:t>博物馆日常</w:t>
      </w:r>
      <w:r>
        <w:rPr>
          <w:rFonts w:hint="eastAsia" w:ascii="Times New Roman" w:hAnsi="Times New Roman" w:eastAsia="仿宋_GB2312" w:cs="Times New Roman"/>
          <w:sz w:val="32"/>
          <w:szCs w:val="32"/>
          <w:highlight w:val="none"/>
          <w:lang w:val="en-US" w:eastAsia="zh-CN"/>
        </w:rPr>
        <w:t>设施</w:t>
      </w:r>
      <w:r>
        <w:rPr>
          <w:rFonts w:hint="default" w:ascii="Times New Roman" w:hAnsi="Times New Roman" w:eastAsia="仿宋_GB2312" w:cs="Times New Roman"/>
          <w:sz w:val="32"/>
          <w:szCs w:val="32"/>
          <w:highlight w:val="none"/>
          <w:lang w:val="en-US" w:eastAsia="zh-CN"/>
        </w:rPr>
        <w:t>设备维护保养、安全保卫等，保障场馆设施正常运行</w:t>
      </w:r>
      <w:r>
        <w:rPr>
          <w:rFonts w:hint="eastAsia" w:ascii="Times New Roman" w:hAnsi="Times New Roman" w:eastAsia="仿宋_GB2312" w:cs="Times New Roman"/>
          <w:sz w:val="32"/>
          <w:szCs w:val="32"/>
          <w:highlight w:val="none"/>
          <w:lang w:val="en-US" w:eastAsia="zh-CN"/>
        </w:rPr>
        <w:t>；开展中华传统节日系列活动及小小讲解员培训；</w:t>
      </w:r>
      <w:r>
        <w:rPr>
          <w:rFonts w:hint="default" w:ascii="Times New Roman" w:hAnsi="Times New Roman" w:eastAsia="仿宋_GB2312" w:cs="Times New Roman"/>
          <w:sz w:val="32"/>
          <w:szCs w:val="32"/>
          <w:highlight w:val="none"/>
          <w:lang w:val="en-US" w:eastAsia="zh-CN"/>
        </w:rPr>
        <w:t xml:space="preserve">支持基本陈列的优化升级以及临时展览的策划、设计、搭建与撤展等，包括展品运输、展具购置、展览宣传等 </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 用于文物藏品的修复、保养、研究以及相关设备购置、技术研发等，确保藏品安全与研究工作开展</w:t>
      </w:r>
      <w:r>
        <w:rPr>
          <w:rFonts w:hint="eastAsia" w:ascii="Times New Roman" w:hAnsi="Times New Roman" w:eastAsia="仿宋_GB2312" w:cs="Times New Roman"/>
          <w:sz w:val="32"/>
          <w:szCs w:val="32"/>
          <w:highlight w:val="none"/>
          <w:lang w:val="en-US" w:eastAsia="zh-CN"/>
        </w:rPr>
        <w:t>。</w:t>
      </w:r>
    </w:p>
    <w:p>
      <w:pPr>
        <w:spacing w:line="560" w:lineRule="exact"/>
        <w:ind w:firstLine="640" w:firstLineChars="200"/>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项目实施情况：</w:t>
      </w:r>
      <w:r>
        <w:rPr>
          <w:rFonts w:hint="eastAsia" w:eastAsia="仿宋_GB2312" w:cs="Times New Roman"/>
          <w:sz w:val="32"/>
          <w:szCs w:val="32"/>
          <w:highlight w:val="none"/>
          <w:lang w:val="en-US" w:eastAsia="zh-CN"/>
        </w:rPr>
        <w:t>2024年项目年度博物馆日常设设备维护及保养25处，保障场馆正常运行；</w:t>
      </w:r>
      <w:r>
        <w:rPr>
          <w:rFonts w:hint="eastAsia" w:ascii="Times New Roman" w:hAnsi="Times New Roman" w:eastAsia="仿宋_GB2312" w:cs="Times New Roman"/>
          <w:sz w:val="32"/>
          <w:szCs w:val="32"/>
          <w:highlight w:val="none"/>
          <w:lang w:val="en-US" w:eastAsia="zh-CN"/>
        </w:rPr>
        <w:t>博物馆免费开放接待团队331批次，参观人数达53000人次</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持续打造“我们的节日”文化品牌，先后开展“博物馆里过大年”“5.18国际博物馆日”和“文化和自然遗产日”、端午节等系列活动26场次；举办“流动博物馆”巡展20场次，参观受教育群众达万余人次；在贵州省民族博物馆、云南迪庆藏族自治州博物馆举办“丝绸之路上的明珠--库尔勒”展，将本地特色文化创推向全国，与丝绸之路莎车博物馆联合开展《“纸艺同心 共筑中华”--杨爱凤非遗剪纸艺术展》，加强了两地文化交流。同时采取“引进”形式，联合举办</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镜华流光</w:t>
      </w:r>
      <w:r>
        <w:rPr>
          <w:rFonts w:hint="default" w:ascii="Times New Roman" w:hAnsi="Times New Roman"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扬州地区铜镜艺术展、“饰美人生”--苗族银饰展、“红船起航”主题展等展览7场次，充分发挥了博物馆社会服务职能，赢得了广大游客的一致好评。举办“小小讲解员”培训班2期，公开向社会招募40名学员，共享博物馆的培训资源，实现公共文化服务最大化，提升广大群众享受文化成果的获得感和幸福感。</w:t>
      </w:r>
    </w:p>
    <w:p>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30</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30</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eastAsia="仿宋_GB2312" w:cs="Times New Roman"/>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30</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30</w:t>
      </w:r>
      <w:r>
        <w:rPr>
          <w:rFonts w:hint="default" w:ascii="Times New Roman" w:hAnsi="Times New Roman" w:eastAsia="仿宋_GB2312" w:cs="Times New Roman"/>
          <w:sz w:val="32"/>
          <w:szCs w:val="32"/>
          <w:highlight w:val="none"/>
          <w:lang w:val="en-US" w:eastAsia="zh-CN"/>
        </w:rPr>
        <w:t>万元，全年执行数</w:t>
      </w:r>
      <w:r>
        <w:rPr>
          <w:rFonts w:hint="eastAsia" w:eastAsia="仿宋_GB2312" w:cs="Times New Roman"/>
          <w:sz w:val="32"/>
          <w:szCs w:val="32"/>
          <w:highlight w:val="none"/>
          <w:lang w:val="en-US" w:eastAsia="zh-CN"/>
        </w:rPr>
        <w:t>30</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ascii="Times New Roman" w:hAnsi="Times New Roman" w:eastAsia="仿宋_GB2312" w:cs="Times New Roman"/>
          <w:sz w:val="32"/>
          <w:szCs w:val="32"/>
          <w:highlight w:val="none"/>
          <w:lang w:val="en-US" w:eastAsia="zh-CN"/>
        </w:rPr>
        <w:t>博物馆日常</w:t>
      </w:r>
      <w:r>
        <w:rPr>
          <w:rFonts w:hint="default" w:ascii="Times New Roman" w:hAnsi="Times New Roman" w:eastAsia="仿宋_GB2312" w:cs="Times New Roman"/>
          <w:sz w:val="32"/>
          <w:szCs w:val="32"/>
          <w:highlight w:val="none"/>
          <w:lang w:val="en-US" w:eastAsia="zh-CN"/>
        </w:rPr>
        <w:t>设备维护保养</w:t>
      </w:r>
      <w:r>
        <w:rPr>
          <w:rFonts w:hint="eastAsia" w:ascii="Times New Roman" w:hAnsi="Times New Roman" w:eastAsia="仿宋_GB2312" w:cs="Times New Roman"/>
          <w:sz w:val="32"/>
          <w:szCs w:val="32"/>
          <w:highlight w:val="none"/>
          <w:lang w:val="en-US" w:eastAsia="zh-CN"/>
        </w:rPr>
        <w:t>及</w:t>
      </w:r>
      <w:r>
        <w:rPr>
          <w:rFonts w:hint="default" w:ascii="Times New Roman" w:hAnsi="Times New Roman" w:eastAsia="仿宋_GB2312" w:cs="Times New Roman"/>
          <w:sz w:val="32"/>
          <w:szCs w:val="32"/>
          <w:highlight w:val="none"/>
          <w:lang w:val="en-US" w:eastAsia="zh-CN"/>
        </w:rPr>
        <w:t>安全保卫费</w:t>
      </w:r>
      <w:r>
        <w:rPr>
          <w:rFonts w:hint="eastAsia" w:ascii="Times New Roman" w:hAnsi="Times New Roman" w:eastAsia="仿宋_GB2312" w:cs="Times New Roman"/>
          <w:sz w:val="32"/>
          <w:szCs w:val="32"/>
          <w:highlight w:val="none"/>
          <w:lang w:val="en-US" w:eastAsia="zh-CN"/>
        </w:rPr>
        <w:t>3.8万元；</w:t>
      </w:r>
      <w:r>
        <w:rPr>
          <w:rFonts w:hint="default" w:ascii="Times New Roman" w:hAnsi="Times New Roman" w:eastAsia="仿宋_GB2312" w:cs="Times New Roman"/>
          <w:sz w:val="32"/>
          <w:szCs w:val="32"/>
          <w:highlight w:val="none"/>
          <w:lang w:val="en-US" w:eastAsia="zh-CN"/>
        </w:rPr>
        <w:t>保障场馆运行</w:t>
      </w:r>
      <w:r>
        <w:rPr>
          <w:rFonts w:hint="eastAsia" w:ascii="Times New Roman" w:hAnsi="Times New Roman" w:eastAsia="仿宋_GB2312" w:cs="Times New Roman"/>
          <w:sz w:val="32"/>
          <w:szCs w:val="32"/>
          <w:highlight w:val="none"/>
          <w:lang w:val="en-US" w:eastAsia="zh-CN"/>
        </w:rPr>
        <w:t>经费10.68万元；陈列展览</w:t>
      </w:r>
      <w:r>
        <w:rPr>
          <w:rFonts w:hint="default" w:ascii="Times New Roman" w:hAnsi="Times New Roman" w:eastAsia="仿宋_GB2312" w:cs="Times New Roman"/>
          <w:sz w:val="32"/>
          <w:szCs w:val="32"/>
          <w:highlight w:val="none"/>
          <w:lang w:val="en-US" w:eastAsia="zh-CN"/>
        </w:rPr>
        <w:t>的策划、设计、搭建与撤展等费</w:t>
      </w:r>
      <w:r>
        <w:rPr>
          <w:rFonts w:hint="eastAsia" w:ascii="Times New Roman" w:hAnsi="Times New Roman" w:eastAsia="仿宋_GB2312" w:cs="Times New Roman"/>
          <w:sz w:val="32"/>
          <w:szCs w:val="32"/>
          <w:highlight w:val="none"/>
          <w:lang w:val="en-US" w:eastAsia="zh-CN"/>
        </w:rPr>
        <w:t>9.6万元；开展中华传统节日活动的相关费5.92万元。</w:t>
      </w:r>
    </w:p>
    <w:p>
      <w:pPr>
        <w:pStyle w:val="2"/>
        <w:rPr>
          <w:rFonts w:hint="default"/>
          <w:lang w:val="en-US" w:eastAsia="zh-CN"/>
        </w:rPr>
      </w:pPr>
    </w:p>
    <w:p>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（二）项目绩效目标</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总体目标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目标1：博物馆场馆维护1个，开展中华传统节日活动不少于6场次，切实做好消防等安全保障，做好设备维护对外免费开放，为参观群众做好公益服务；目标2：进行文化宣传服务活动，丰富基层群众的文化生活，打赢意识形态领域攻坚战，按照自治区文物局工作要求完善我馆文创工作，做好临展陈列工作，做好文化博物引进来走出去工作。</w:t>
      </w:r>
    </w:p>
    <w:p>
      <w:pPr>
        <w:spacing w:line="560" w:lineRule="exact"/>
        <w:ind w:firstLine="640" w:firstLineChars="200"/>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阶段性目标</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上半年目标：对一二楼的设施设备维护维修及更换，做好安全保障工作；开展中华传统节日活动4场次，为参观群众做好公益服务；举办“流动博物馆”巡展</w:t>
      </w:r>
      <w:r>
        <w:rPr>
          <w:rFonts w:hint="eastAsia" w:eastAsia="仿宋_GB2312" w:cs="Times New Roman"/>
          <w:sz w:val="32"/>
          <w:szCs w:val="32"/>
          <w:highlight w:val="none"/>
          <w:lang w:val="en-US" w:eastAsia="zh-CN"/>
        </w:rPr>
        <w:t>8</w:t>
      </w:r>
      <w:r>
        <w:rPr>
          <w:rFonts w:hint="eastAsia" w:ascii="Times New Roman" w:hAnsi="Times New Roman" w:eastAsia="仿宋_GB2312" w:cs="Times New Roman"/>
          <w:sz w:val="32"/>
          <w:szCs w:val="32"/>
          <w:highlight w:val="none"/>
          <w:lang w:val="en-US" w:eastAsia="zh-CN"/>
        </w:rPr>
        <w:t>场次</w:t>
      </w:r>
      <w:r>
        <w:rPr>
          <w:rFonts w:hint="eastAsia" w:eastAsia="仿宋_GB2312" w:cs="Times New Roman"/>
          <w:sz w:val="32"/>
          <w:szCs w:val="32"/>
          <w:highlight w:val="none"/>
          <w:lang w:val="en-US" w:eastAsia="zh-CN"/>
        </w:rPr>
        <w:t>，做好临展展览工作。</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下</w:t>
      </w:r>
      <w:r>
        <w:rPr>
          <w:rFonts w:hint="eastAsia" w:ascii="Times New Roman" w:hAnsi="Times New Roman" w:eastAsia="仿宋_GB2312" w:cs="Times New Roman"/>
          <w:sz w:val="32"/>
          <w:szCs w:val="32"/>
          <w:highlight w:val="none"/>
          <w:lang w:val="en-US" w:eastAsia="zh-CN"/>
        </w:rPr>
        <w:t>半年目标</w:t>
      </w:r>
      <w:r>
        <w:rPr>
          <w:rFonts w:hint="eastAsia"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lang w:val="en-US" w:eastAsia="zh-CN"/>
        </w:rPr>
        <w:t>对</w:t>
      </w:r>
      <w:r>
        <w:rPr>
          <w:rFonts w:hint="eastAsia" w:eastAsia="仿宋_GB2312" w:cs="Times New Roman"/>
          <w:sz w:val="32"/>
          <w:szCs w:val="32"/>
          <w:highlight w:val="none"/>
          <w:lang w:val="en-US" w:eastAsia="zh-CN"/>
        </w:rPr>
        <w:t>四</w:t>
      </w:r>
      <w:r>
        <w:rPr>
          <w:rFonts w:hint="eastAsia" w:ascii="Times New Roman" w:hAnsi="Times New Roman" w:eastAsia="仿宋_GB2312" w:cs="Times New Roman"/>
          <w:sz w:val="32"/>
          <w:szCs w:val="32"/>
          <w:highlight w:val="none"/>
          <w:lang w:val="en-US" w:eastAsia="zh-CN"/>
        </w:rPr>
        <w:t>楼</w:t>
      </w:r>
      <w:r>
        <w:rPr>
          <w:rFonts w:hint="eastAsia" w:eastAsia="仿宋_GB2312" w:cs="Times New Roman"/>
          <w:sz w:val="32"/>
          <w:szCs w:val="32"/>
          <w:highlight w:val="none"/>
          <w:lang w:val="en-US" w:eastAsia="zh-CN"/>
        </w:rPr>
        <w:t>展厅及办公区域</w:t>
      </w:r>
      <w:r>
        <w:rPr>
          <w:rFonts w:hint="eastAsia" w:ascii="Times New Roman" w:hAnsi="Times New Roman" w:eastAsia="仿宋_GB2312" w:cs="Times New Roman"/>
          <w:sz w:val="32"/>
          <w:szCs w:val="32"/>
          <w:highlight w:val="none"/>
          <w:lang w:val="en-US" w:eastAsia="zh-CN"/>
        </w:rPr>
        <w:t>的设施设备维护维修及更换，做好安全保障工作；开展中华传统节日活动</w:t>
      </w:r>
      <w:r>
        <w:rPr>
          <w:rFonts w:hint="eastAsia" w:eastAsia="仿宋_GB2312" w:cs="Times New Roman"/>
          <w:sz w:val="32"/>
          <w:szCs w:val="32"/>
          <w:highlight w:val="none"/>
          <w:lang w:val="en-US" w:eastAsia="zh-CN"/>
        </w:rPr>
        <w:t>2</w:t>
      </w:r>
      <w:r>
        <w:rPr>
          <w:rFonts w:hint="eastAsia" w:ascii="Times New Roman" w:hAnsi="Times New Roman" w:eastAsia="仿宋_GB2312" w:cs="Times New Roman"/>
          <w:sz w:val="32"/>
          <w:szCs w:val="32"/>
          <w:highlight w:val="none"/>
          <w:lang w:val="en-US" w:eastAsia="zh-CN"/>
        </w:rPr>
        <w:t>场次，为参观群众做好公益服务；举办“流动博物馆”巡展</w:t>
      </w:r>
      <w:r>
        <w:rPr>
          <w:rFonts w:hint="eastAsia" w:eastAsia="仿宋_GB2312" w:cs="Times New Roman"/>
          <w:sz w:val="32"/>
          <w:szCs w:val="32"/>
          <w:highlight w:val="none"/>
          <w:lang w:val="en-US" w:eastAsia="zh-CN"/>
        </w:rPr>
        <w:t>12</w:t>
      </w:r>
      <w:r>
        <w:rPr>
          <w:rFonts w:hint="eastAsia" w:ascii="Times New Roman" w:hAnsi="Times New Roman" w:eastAsia="仿宋_GB2312" w:cs="Times New Roman"/>
          <w:sz w:val="32"/>
          <w:szCs w:val="32"/>
          <w:highlight w:val="none"/>
          <w:lang w:val="en-US" w:eastAsia="zh-CN"/>
        </w:rPr>
        <w:t>场次</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提高观众接待能力与服务质量，实现观众满意度达到一定标准</w:t>
      </w:r>
      <w:r>
        <w:rPr>
          <w:rFonts w:hint="eastAsia" w:ascii="Times New Roman" w:hAnsi="Times New Roman" w:eastAsia="仿宋_GB2312" w:cs="Times New Roman"/>
          <w:sz w:val="32"/>
          <w:szCs w:val="32"/>
          <w:highlight w:val="none"/>
          <w:lang w:val="en-US" w:eastAsia="zh-CN"/>
        </w:rPr>
        <w:t>。</w:t>
      </w:r>
    </w:p>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spacing w:line="560" w:lineRule="exact"/>
        <w:ind w:firstLine="420" w:firstLineChars="200"/>
        <w:rPr>
          <w:rFonts w:hint="eastAsia" w:ascii="Times New Roman" w:hAnsi="Times New Roman" w:eastAsia="仿宋_GB2312" w:cs="Times New Roman"/>
          <w:sz w:val="32"/>
          <w:szCs w:val="32"/>
          <w:highlight w:val="none"/>
          <w:lang w:val="en-US" w:eastAsia="zh-CN"/>
        </w:rPr>
      </w:pPr>
      <w:r>
        <w:rPr>
          <w:rFonts w:hint="eastAsia" w:eastAsia="仿宋_GB2312" w:cs="Times New Roman"/>
          <w:b w:val="0"/>
          <w:bCs w:val="0"/>
          <w:highlight w:val="none"/>
          <w:lang w:val="en-US" w:eastAsia="zh-CN"/>
        </w:rPr>
        <w:t xml:space="preserve">  </w:t>
      </w:r>
      <w:r>
        <w:rPr>
          <w:rFonts w:hint="eastAsia" w:ascii="Times New Roman" w:hAnsi="Times New Roman" w:eastAsia="仿宋_GB2312" w:cs="Times New Roman"/>
          <w:sz w:val="32"/>
          <w:szCs w:val="32"/>
          <w:highlight w:val="none"/>
          <w:lang w:val="en-US" w:eastAsia="zh-CN"/>
        </w:rPr>
        <w:t>本单位在编制博物馆免费开放</w:t>
      </w:r>
      <w:r>
        <w:rPr>
          <w:rFonts w:hint="eastAsia" w:eastAsia="仿宋_GB2312" w:cs="Times New Roman"/>
          <w:sz w:val="32"/>
          <w:szCs w:val="32"/>
          <w:highlight w:val="none"/>
          <w:lang w:val="en-US" w:eastAsia="zh-CN"/>
        </w:rPr>
        <w:t>补助</w:t>
      </w:r>
      <w:r>
        <w:rPr>
          <w:rFonts w:hint="eastAsia" w:ascii="Times New Roman" w:hAnsi="Times New Roman" w:eastAsia="仿宋_GB2312" w:cs="Times New Roman"/>
          <w:sz w:val="32"/>
          <w:szCs w:val="32"/>
          <w:highlight w:val="none"/>
          <w:lang w:val="en-US" w:eastAsia="zh-CN"/>
        </w:rPr>
        <w:t>资金项目绩效评价报告时，严格遵循《中央补助地方博物馆免费开放专项资金管理办法》及地方配套政策，确保评价工作全面覆盖项目全生命周期。报告梳理了</w:t>
      </w:r>
      <w:r>
        <w:rPr>
          <w:rFonts w:hint="eastAsia" w:eastAsia="仿宋_GB2312" w:cs="Times New Roman"/>
          <w:sz w:val="32"/>
          <w:szCs w:val="32"/>
          <w:highlight w:val="none"/>
          <w:lang w:val="en-US" w:eastAsia="zh-CN"/>
        </w:rPr>
        <w:t>项目</w:t>
      </w:r>
      <w:r>
        <w:rPr>
          <w:rFonts w:hint="eastAsia" w:ascii="Times New Roman" w:hAnsi="Times New Roman" w:eastAsia="仿宋_GB2312" w:cs="Times New Roman"/>
          <w:sz w:val="32"/>
          <w:szCs w:val="32"/>
          <w:highlight w:val="none"/>
          <w:lang w:val="en-US" w:eastAsia="zh-CN"/>
        </w:rPr>
        <w:t>从资金申请、</w:t>
      </w:r>
      <w:r>
        <w:rPr>
          <w:rFonts w:hint="eastAsia" w:eastAsia="仿宋_GB2312" w:cs="Times New Roman"/>
          <w:sz w:val="32"/>
          <w:szCs w:val="32"/>
          <w:highlight w:val="none"/>
          <w:lang w:val="en-US" w:eastAsia="zh-CN"/>
        </w:rPr>
        <w:t>预算编制、</w:t>
      </w:r>
      <w:r>
        <w:rPr>
          <w:rFonts w:hint="eastAsia" w:ascii="Times New Roman" w:hAnsi="Times New Roman" w:eastAsia="仿宋_GB2312" w:cs="Times New Roman"/>
          <w:sz w:val="32"/>
          <w:szCs w:val="32"/>
          <w:highlight w:val="none"/>
          <w:lang w:val="en-US" w:eastAsia="zh-CN"/>
        </w:rPr>
        <w:t xml:space="preserve">预算执行到项目成果验收的各环节，对展览策划、公众教育、文物保护等核心业务的绩效指标进行深度评估。 </w:t>
      </w:r>
    </w:p>
    <w:p>
      <w:pPr>
        <w:spacing w:line="56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在</w:t>
      </w:r>
      <w:r>
        <w:rPr>
          <w:rFonts w:hint="eastAsia" w:eastAsia="仿宋_GB2312" w:cs="Times New Roman"/>
          <w:sz w:val="32"/>
          <w:szCs w:val="32"/>
          <w:highlight w:val="none"/>
          <w:lang w:val="en-US" w:eastAsia="zh-CN"/>
        </w:rPr>
        <w:t>评价</w:t>
      </w:r>
      <w:r>
        <w:rPr>
          <w:rFonts w:hint="eastAsia" w:ascii="Times New Roman" w:hAnsi="Times New Roman" w:eastAsia="仿宋_GB2312" w:cs="Times New Roman"/>
          <w:sz w:val="32"/>
          <w:szCs w:val="32"/>
          <w:highlight w:val="none"/>
          <w:lang w:val="en-US" w:eastAsia="zh-CN"/>
        </w:rPr>
        <w:t>指标体系构建方面，紧密结合博物馆免费开放的公益属性与业务需求，形成“投入 - 过程 - 产出 - 效益”四维评价框架：</w:t>
      </w:r>
    </w:p>
    <w:p>
      <w:pPr>
        <w:spacing w:line="560" w:lineRule="exact"/>
        <w:ind w:firstLine="640" w:firstLineChars="200"/>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投入指标：涵盖资金到位率、预算编制合理性（如人员经费、</w:t>
      </w:r>
      <w:r>
        <w:rPr>
          <w:rFonts w:hint="eastAsia" w:eastAsia="仿宋_GB2312" w:cs="Times New Roman"/>
          <w:sz w:val="32"/>
          <w:szCs w:val="32"/>
          <w:highlight w:val="none"/>
          <w:lang w:val="en-US" w:eastAsia="zh-CN"/>
        </w:rPr>
        <w:t>设设备维修</w:t>
      </w:r>
      <w:r>
        <w:rPr>
          <w:rFonts w:hint="eastAsia"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、陈列展览、</w:t>
      </w:r>
      <w:r>
        <w:rPr>
          <w:rFonts w:hint="eastAsia" w:ascii="Times New Roman" w:hAnsi="Times New Roman" w:eastAsia="仿宋_GB2312" w:cs="Times New Roman"/>
          <w:sz w:val="32"/>
          <w:szCs w:val="32"/>
          <w:highlight w:val="none"/>
          <w:lang w:val="en-US" w:eastAsia="zh-CN"/>
        </w:rPr>
        <w:t>活动经费占比</w:t>
      </w:r>
      <w:r>
        <w:rPr>
          <w:rFonts w:hint="eastAsia" w:eastAsia="仿宋_GB2312" w:cs="Times New Roman"/>
          <w:sz w:val="32"/>
          <w:szCs w:val="32"/>
          <w:highlight w:val="none"/>
          <w:lang w:val="en-US" w:eastAsia="zh-CN"/>
        </w:rPr>
        <w:t>是否</w:t>
      </w:r>
      <w:r>
        <w:rPr>
          <w:rFonts w:hint="eastAsia" w:ascii="Times New Roman" w:hAnsi="Times New Roman" w:eastAsia="仿宋_GB2312" w:cs="Times New Roman"/>
          <w:sz w:val="32"/>
          <w:szCs w:val="32"/>
          <w:highlight w:val="none"/>
          <w:lang w:val="en-US" w:eastAsia="zh-CN"/>
        </w:rPr>
        <w:t>科学）；过程指标：聚焦资金使用合规性（是否专款专用）、项目实施规范性（展览审批流程、教育活动备案情况）；产出指标：量化展览场次、观众接待量、教育活动覆盖人数；效益指标：通过观众满意度调查、媒体报道量、文化传播影响力等，综合衡量社会效益。</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在</w:t>
      </w:r>
      <w:r>
        <w:rPr>
          <w:rFonts w:hint="eastAsia" w:ascii="Times New Roman" w:hAnsi="Times New Roman" w:eastAsia="仿宋_GB2312" w:cs="Times New Roman"/>
          <w:sz w:val="32"/>
          <w:szCs w:val="32"/>
          <w:highlight w:val="none"/>
          <w:lang w:val="en-US" w:eastAsia="zh-CN"/>
        </w:rPr>
        <w:t>数据采集阶段，采用</w:t>
      </w:r>
      <w:r>
        <w:rPr>
          <w:rFonts w:hint="eastAsia" w:eastAsia="仿宋_GB2312" w:cs="Times New Roman"/>
          <w:sz w:val="32"/>
          <w:szCs w:val="32"/>
          <w:highlight w:val="none"/>
          <w:lang w:val="en-US" w:eastAsia="zh-CN"/>
        </w:rPr>
        <w:t>了</w:t>
      </w:r>
      <w:r>
        <w:rPr>
          <w:rFonts w:hint="eastAsia" w:ascii="Times New Roman" w:hAnsi="Times New Roman" w:eastAsia="仿宋_GB2312" w:cs="Times New Roman"/>
          <w:sz w:val="32"/>
          <w:szCs w:val="32"/>
          <w:highlight w:val="none"/>
          <w:lang w:val="en-US" w:eastAsia="zh-CN"/>
        </w:rPr>
        <w:t>多元方法确保真实可靠</w:t>
      </w:r>
      <w:r>
        <w:rPr>
          <w:rFonts w:hint="eastAsia" w:eastAsia="仿宋_GB2312" w:cs="Times New Roman"/>
          <w:sz w:val="32"/>
          <w:szCs w:val="32"/>
          <w:highlight w:val="none"/>
          <w:lang w:val="en-US" w:eastAsia="zh-CN"/>
        </w:rPr>
        <w:t>，如</w:t>
      </w:r>
      <w:r>
        <w:rPr>
          <w:rFonts w:hint="eastAsia" w:ascii="Times New Roman" w:hAnsi="Times New Roman" w:eastAsia="仿宋_GB2312" w:cs="Times New Roman"/>
          <w:sz w:val="32"/>
          <w:szCs w:val="32"/>
          <w:highlight w:val="none"/>
          <w:lang w:val="en-US" w:eastAsia="zh-CN"/>
        </w:rPr>
        <w:t>实地核查：对展厅维护、设备采购等项目进行现场查验；问卷调查：发放</w:t>
      </w:r>
      <w:r>
        <w:rPr>
          <w:rFonts w:hint="eastAsia" w:eastAsia="仿宋_GB2312" w:cs="Times New Roman"/>
          <w:sz w:val="32"/>
          <w:szCs w:val="32"/>
          <w:highlight w:val="none"/>
          <w:lang w:val="en-US" w:eastAsia="zh-CN"/>
        </w:rPr>
        <w:t>参观群众</w:t>
      </w:r>
      <w:r>
        <w:rPr>
          <w:rFonts w:hint="eastAsia" w:ascii="Times New Roman" w:hAnsi="Times New Roman" w:eastAsia="仿宋_GB2312" w:cs="Times New Roman"/>
          <w:sz w:val="32"/>
          <w:szCs w:val="32"/>
          <w:highlight w:val="none"/>
          <w:lang w:val="en-US" w:eastAsia="zh-CN"/>
        </w:rPr>
        <w:t>满意度问卷2000份，回收有效问卷1850份，覆盖不同年龄、地域群体；数据分析：调取财务凭证、活动记录、观众流量统计等系统数据，交叉验证。针对部分展览参与人数不足等异常数据，结合现场访谈与观众反馈进行补充说明</w:t>
      </w:r>
      <w:r>
        <w:rPr>
          <w:rFonts w:hint="eastAsia" w:eastAsia="仿宋_GB2312" w:cs="Times New Roman"/>
          <w:sz w:val="32"/>
          <w:szCs w:val="32"/>
          <w:highlight w:val="none"/>
          <w:lang w:val="en-US" w:eastAsia="zh-CN"/>
        </w:rPr>
        <w:t>，保证了评价数据的真实性和有效性</w:t>
      </w:r>
    </w:p>
    <w:p>
      <w:pPr>
        <w:spacing w:line="560" w:lineRule="exact"/>
        <w:ind w:firstLine="640" w:firstLineChars="200"/>
        <w:rPr>
          <w:rFonts w:hint="default" w:ascii="Times New Roman" w:hAnsi="Times New Roman" w:eastAsia="仿宋_GB2312" w:cs="Times New Roman"/>
          <w:sz w:val="32"/>
          <w:szCs w:val="32"/>
          <w:highlight w:val="green"/>
        </w:rPr>
      </w:pPr>
      <w:r>
        <w:rPr>
          <w:rFonts w:hint="eastAsia" w:ascii="Times New Roman" w:hAnsi="Times New Roman" w:eastAsia="仿宋_GB2312" w:cs="Times New Roman"/>
          <w:sz w:val="32"/>
          <w:szCs w:val="32"/>
          <w:highlight w:val="none"/>
          <w:lang w:val="en-US" w:eastAsia="zh-CN"/>
        </w:rPr>
        <w:t xml:space="preserve"> </w:t>
      </w:r>
      <w:r>
        <w:rPr>
          <w:rFonts w:hint="eastAsia" w:eastAsia="仿宋_GB2312" w:cs="Times New Roman"/>
          <w:sz w:val="32"/>
          <w:szCs w:val="32"/>
          <w:highlight w:val="none"/>
          <w:lang w:val="en-US" w:eastAsia="zh-CN"/>
        </w:rPr>
        <w:t>在</w:t>
      </w:r>
      <w:r>
        <w:rPr>
          <w:rFonts w:hint="eastAsia" w:ascii="Times New Roman" w:hAnsi="Times New Roman" w:eastAsia="仿宋_GB2312" w:cs="Times New Roman"/>
          <w:sz w:val="32"/>
          <w:szCs w:val="32"/>
          <w:highlight w:val="none"/>
          <w:lang w:val="en-US" w:eastAsia="zh-CN"/>
        </w:rPr>
        <w:t>报告撰写</w:t>
      </w:r>
      <w:r>
        <w:rPr>
          <w:rFonts w:hint="eastAsia" w:eastAsia="仿宋_GB2312" w:cs="Times New Roman"/>
          <w:sz w:val="32"/>
          <w:szCs w:val="32"/>
          <w:highlight w:val="none"/>
          <w:lang w:val="en-US" w:eastAsia="zh-CN"/>
        </w:rPr>
        <w:t>结构上，</w:t>
      </w:r>
      <w:r>
        <w:rPr>
          <w:rFonts w:hint="eastAsia" w:ascii="Times New Roman" w:hAnsi="Times New Roman" w:eastAsia="仿宋_GB2312" w:cs="Times New Roman"/>
          <w:sz w:val="32"/>
          <w:szCs w:val="32"/>
          <w:highlight w:val="none"/>
          <w:lang w:val="en-US" w:eastAsia="zh-CN"/>
        </w:rPr>
        <w:t>遵循规范格式，逻辑清晰：首先介绍项目背景，明确免费开放政策目标与本馆年度计划；其次详述评价指标、方法及数据来源；接着逐项分析绩效指标完成情况，例如指出“</w:t>
      </w:r>
      <w:r>
        <w:rPr>
          <w:rFonts w:hint="eastAsia" w:eastAsia="仿宋_GB2312" w:cs="Times New Roman"/>
          <w:sz w:val="32"/>
          <w:szCs w:val="32"/>
          <w:highlight w:val="none"/>
          <w:lang w:val="en-US" w:eastAsia="zh-CN"/>
        </w:rPr>
        <w:t>参观群众满意度</w:t>
      </w:r>
      <w:r>
        <w:rPr>
          <w:rFonts w:hint="eastAsia" w:ascii="Times New Roman" w:hAnsi="Times New Roman" w:eastAsia="仿宋_GB2312" w:cs="Times New Roman"/>
          <w:sz w:val="32"/>
          <w:szCs w:val="32"/>
          <w:highlight w:val="none"/>
          <w:lang w:val="en-US" w:eastAsia="zh-CN"/>
        </w:rPr>
        <w:t>未达</w:t>
      </w:r>
      <w:r>
        <w:rPr>
          <w:rFonts w:hint="eastAsia" w:eastAsia="仿宋_GB2312" w:cs="Times New Roman"/>
          <w:sz w:val="32"/>
          <w:szCs w:val="32"/>
          <w:highlight w:val="none"/>
          <w:lang w:val="en-US" w:eastAsia="zh-CN"/>
        </w:rPr>
        <w:t>到</w:t>
      </w:r>
      <w:r>
        <w:rPr>
          <w:rFonts w:hint="eastAsia" w:ascii="Times New Roman" w:hAnsi="Times New Roman" w:eastAsia="仿宋_GB2312" w:cs="Times New Roman"/>
          <w:sz w:val="32"/>
          <w:szCs w:val="32"/>
          <w:highlight w:val="none"/>
          <w:lang w:val="en-US" w:eastAsia="zh-CN"/>
        </w:rPr>
        <w:t>预期</w:t>
      </w:r>
      <w:r>
        <w:rPr>
          <w:rFonts w:hint="eastAsia" w:eastAsia="仿宋_GB2312" w:cs="Times New Roman"/>
          <w:sz w:val="32"/>
          <w:szCs w:val="32"/>
          <w:highlight w:val="none"/>
          <w:lang w:val="en-US" w:eastAsia="zh-CN"/>
        </w:rPr>
        <w:t>目标</w:t>
      </w:r>
      <w:r>
        <w:rPr>
          <w:rFonts w:hint="eastAsia" w:ascii="Times New Roman" w:hAnsi="Times New Roman" w:eastAsia="仿宋_GB2312" w:cs="Times New Roman"/>
          <w:sz w:val="32"/>
          <w:szCs w:val="32"/>
          <w:highlight w:val="none"/>
          <w:lang w:val="en-US" w:eastAsia="zh-CN"/>
        </w:rPr>
        <w:t>”；最后提出改进建议（如增设线上预约功能、加强社区合作推广），并总结项目整体成效，为后续资金分配与业务调整提供依据。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（1）评估项目实施效果</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通过系统分析</w:t>
      </w:r>
      <w:r>
        <w:rPr>
          <w:rFonts w:hint="eastAsia" w:ascii="Times New Roman" w:hAnsi="Times New Roman" w:eastAsia="仿宋_GB2312" w:cs="Times New Roman"/>
          <w:kern w:val="2"/>
          <w:sz w:val="32"/>
          <w:szCs w:val="32"/>
          <w:highlight w:val="none"/>
          <w:lang w:val="en-US" w:eastAsia="zh-CN" w:bidi="ar-SA"/>
        </w:rPr>
        <w:t>项目预算</w:t>
      </w:r>
      <w:r>
        <w:rPr>
          <w:rFonts w:hint="default" w:ascii="Times New Roman" w:hAnsi="Times New Roman" w:eastAsia="仿宋_GB2312" w:cs="Times New Roman"/>
          <w:kern w:val="2"/>
          <w:sz w:val="32"/>
          <w:szCs w:val="32"/>
          <w:highlight w:val="none"/>
          <w:lang w:val="en-US" w:eastAsia="zh-CN" w:bidi="ar-SA"/>
        </w:rPr>
        <w:t>执行率、</w:t>
      </w:r>
      <w:r>
        <w:rPr>
          <w:rFonts w:hint="eastAsia" w:ascii="Times New Roman" w:hAnsi="Times New Roman" w:eastAsia="仿宋_GB2312" w:cs="Times New Roman"/>
          <w:kern w:val="2"/>
          <w:sz w:val="32"/>
          <w:szCs w:val="32"/>
          <w:highlight w:val="none"/>
          <w:lang w:val="en-US" w:eastAsia="zh-CN" w:bidi="ar-SA"/>
        </w:rPr>
        <w:t>场馆正常运行率、</w:t>
      </w:r>
      <w:r>
        <w:rPr>
          <w:rFonts w:hint="default" w:ascii="Times New Roman" w:hAnsi="Times New Roman" w:eastAsia="仿宋_GB2312" w:cs="Times New Roman"/>
          <w:kern w:val="2"/>
          <w:sz w:val="32"/>
          <w:szCs w:val="32"/>
          <w:highlight w:val="none"/>
          <w:lang w:val="en-US" w:eastAsia="zh-CN" w:bidi="ar-SA"/>
        </w:rPr>
        <w:t>展览质量达标率、</w:t>
      </w:r>
      <w:r>
        <w:rPr>
          <w:rFonts w:hint="eastAsia" w:ascii="Times New Roman" w:hAnsi="Times New Roman" w:eastAsia="仿宋_GB2312" w:cs="Times New Roman"/>
          <w:kern w:val="2"/>
          <w:sz w:val="32"/>
          <w:szCs w:val="32"/>
          <w:highlight w:val="none"/>
          <w:lang w:val="en-US" w:eastAsia="zh-CN" w:bidi="ar-SA"/>
        </w:rPr>
        <w:t>参观群众满意度</w:t>
      </w:r>
      <w:r>
        <w:rPr>
          <w:rFonts w:hint="default" w:ascii="Times New Roman" w:hAnsi="Times New Roman" w:eastAsia="仿宋_GB2312" w:cs="Times New Roman"/>
          <w:kern w:val="2"/>
          <w:sz w:val="32"/>
          <w:szCs w:val="32"/>
          <w:highlight w:val="none"/>
          <w:lang w:val="en-US" w:eastAsia="zh-CN" w:bidi="ar-SA"/>
        </w:rPr>
        <w:t>等核心指标，全面</w:t>
      </w:r>
      <w:r>
        <w:rPr>
          <w:rFonts w:hint="eastAsia" w:ascii="Times New Roman" w:hAnsi="Times New Roman" w:eastAsia="仿宋_GB2312" w:cs="Times New Roman"/>
          <w:kern w:val="2"/>
          <w:sz w:val="32"/>
          <w:szCs w:val="32"/>
          <w:highlight w:val="none"/>
          <w:lang w:val="en-US" w:eastAsia="zh-CN" w:bidi="ar-SA"/>
        </w:rPr>
        <w:t>、客观地</w:t>
      </w:r>
      <w:r>
        <w:rPr>
          <w:rFonts w:hint="default" w:ascii="Times New Roman" w:hAnsi="Times New Roman" w:eastAsia="仿宋_GB2312" w:cs="Times New Roman"/>
          <w:kern w:val="2"/>
          <w:sz w:val="32"/>
          <w:szCs w:val="32"/>
          <w:highlight w:val="none"/>
          <w:lang w:val="en-US" w:eastAsia="zh-CN" w:bidi="ar-SA"/>
        </w:rPr>
        <w:t>评估</w:t>
      </w:r>
      <w:r>
        <w:rPr>
          <w:rFonts w:hint="eastAsia" w:ascii="Times New Roman" w:hAnsi="Times New Roman" w:eastAsia="仿宋_GB2312" w:cs="Times New Roman"/>
          <w:kern w:val="2"/>
          <w:sz w:val="32"/>
          <w:szCs w:val="32"/>
          <w:highlight w:val="none"/>
          <w:lang w:val="en-US" w:eastAsia="zh-CN" w:bidi="ar-SA"/>
        </w:rPr>
        <w:t>博物馆</w:t>
      </w:r>
      <w:r>
        <w:rPr>
          <w:rFonts w:hint="default" w:ascii="Times New Roman" w:hAnsi="Times New Roman" w:eastAsia="仿宋_GB2312" w:cs="Times New Roman"/>
          <w:kern w:val="2"/>
          <w:sz w:val="32"/>
          <w:szCs w:val="32"/>
          <w:highlight w:val="none"/>
          <w:lang w:val="en-US" w:eastAsia="zh-CN" w:bidi="ar-SA"/>
        </w:rPr>
        <w:t>免费开放项目在</w:t>
      </w:r>
      <w:r>
        <w:rPr>
          <w:rFonts w:hint="eastAsia" w:ascii="Times New Roman" w:hAnsi="Times New Roman" w:eastAsia="仿宋_GB2312" w:cs="Times New Roman"/>
          <w:kern w:val="2"/>
          <w:sz w:val="32"/>
          <w:szCs w:val="32"/>
          <w:highlight w:val="none"/>
          <w:lang w:val="en-US" w:eastAsia="zh-CN" w:bidi="ar-SA"/>
        </w:rPr>
        <w:t>2024</w:t>
      </w:r>
      <w:r>
        <w:rPr>
          <w:rFonts w:hint="default" w:ascii="Times New Roman" w:hAnsi="Times New Roman" w:eastAsia="仿宋_GB2312" w:cs="Times New Roman"/>
          <w:kern w:val="2"/>
          <w:sz w:val="32"/>
          <w:szCs w:val="32"/>
          <w:highlight w:val="none"/>
          <w:lang w:val="en-US" w:eastAsia="zh-CN" w:bidi="ar-SA"/>
        </w:rPr>
        <w:t>年度内的实施成效</w:t>
      </w:r>
      <w:r>
        <w:rPr>
          <w:rFonts w:hint="eastAsia" w:ascii="Times New Roman" w:hAnsi="Times New Roman" w:eastAsia="仿宋_GB2312" w:cs="Times New Roman"/>
          <w:kern w:val="2"/>
          <w:sz w:val="32"/>
          <w:szCs w:val="32"/>
          <w:highlight w:val="none"/>
          <w:lang w:val="en-US" w:eastAsia="zh-CN" w:bidi="ar-SA"/>
        </w:rPr>
        <w:t>，社会效益指标为博物馆</w:t>
      </w:r>
      <w:r>
        <w:rPr>
          <w:rFonts w:hint="default" w:ascii="Times New Roman" w:hAnsi="Times New Roman" w:eastAsia="仿宋_GB2312" w:cs="Times New Roman"/>
          <w:kern w:val="2"/>
          <w:sz w:val="32"/>
          <w:szCs w:val="32"/>
          <w:highlight w:val="none"/>
          <w:lang w:val="en-US" w:eastAsia="zh-CN" w:bidi="ar-SA"/>
        </w:rPr>
        <w:t>免费开放项目</w:t>
      </w:r>
      <w:r>
        <w:rPr>
          <w:rFonts w:hint="eastAsia" w:ascii="Times New Roman" w:hAnsi="Times New Roman" w:eastAsia="仿宋_GB2312" w:cs="Times New Roman"/>
          <w:kern w:val="2"/>
          <w:sz w:val="32"/>
          <w:szCs w:val="32"/>
          <w:highlight w:val="none"/>
          <w:lang w:val="en-US" w:eastAsia="zh-CN" w:bidi="ar-SA"/>
        </w:rPr>
        <w:t>后续的改进与优化提供科学依据。</w:t>
      </w:r>
      <w:r>
        <w:rPr>
          <w:rFonts w:hint="default" w:ascii="Times New Roman" w:hAnsi="Times New Roman" w:eastAsia="仿宋_GB2312" w:cs="Times New Roman"/>
          <w:kern w:val="2"/>
          <w:sz w:val="32"/>
          <w:szCs w:val="32"/>
          <w:highlight w:val="none"/>
          <w:lang w:val="en-US" w:eastAsia="zh-CN" w:bidi="ar-SA"/>
        </w:rPr>
        <w:t xml:space="preserve"> </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（2）提升资源利用效率</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深入剖析</w:t>
      </w:r>
      <w:r>
        <w:rPr>
          <w:rFonts w:hint="eastAsia" w:ascii="Times New Roman" w:hAnsi="Times New Roman" w:eastAsia="仿宋_GB2312" w:cs="Times New Roman"/>
          <w:kern w:val="2"/>
          <w:sz w:val="32"/>
          <w:szCs w:val="32"/>
          <w:highlight w:val="none"/>
          <w:lang w:val="en-US" w:eastAsia="zh-CN" w:bidi="ar-SA"/>
        </w:rPr>
        <w:t>该项目预算</w:t>
      </w:r>
      <w:r>
        <w:rPr>
          <w:rFonts w:hint="default" w:ascii="Times New Roman" w:hAnsi="Times New Roman" w:eastAsia="仿宋_GB2312" w:cs="Times New Roman"/>
          <w:kern w:val="2"/>
          <w:sz w:val="32"/>
          <w:szCs w:val="32"/>
          <w:highlight w:val="none"/>
          <w:lang w:val="en-US" w:eastAsia="zh-CN" w:bidi="ar-SA"/>
        </w:rPr>
        <w:t>资金投入与服务产出的关系，识别资金使用低效环节。例如，通过对比各展览的单位观众成本，评估资金在不同业务模块的配置合理性；分析设备采购资金占比与设备实际使用率，挖掘资源优化空间，确保财政资金高效转化为公共文化服务效能。</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（3）强化项目管理责任</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明确</w:t>
      </w:r>
      <w:r>
        <w:rPr>
          <w:rFonts w:hint="eastAsia" w:ascii="Times New Roman" w:hAnsi="Times New Roman" w:eastAsia="仿宋_GB2312" w:cs="Times New Roman"/>
          <w:kern w:val="2"/>
          <w:sz w:val="32"/>
          <w:szCs w:val="32"/>
          <w:highlight w:val="none"/>
          <w:lang w:val="en-US" w:eastAsia="zh-CN" w:bidi="ar-SA"/>
        </w:rPr>
        <w:t>博物馆免费开放专项资金项目中参与的</w:t>
      </w:r>
      <w:r>
        <w:rPr>
          <w:rFonts w:hint="default" w:ascii="Times New Roman" w:hAnsi="Times New Roman" w:eastAsia="仿宋_GB2312" w:cs="Times New Roman"/>
          <w:kern w:val="2"/>
          <w:sz w:val="32"/>
          <w:szCs w:val="32"/>
          <w:highlight w:val="none"/>
          <w:lang w:val="en-US" w:eastAsia="zh-CN" w:bidi="ar-SA"/>
        </w:rPr>
        <w:t>财务部门、业务科室、策展团队等主体在资金管理中的职责，将绩效评价结果纳入部门考核。例如，对资金使用合规性高、观众满意度突出的团队给予奖励，对预算执行偏差较大的项目进行问责，推动形成责任清晰、执行有力的管理机制。</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 xml:space="preserve"> （4）为决策提供支持</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为项目</w:t>
      </w:r>
      <w:r>
        <w:rPr>
          <w:rFonts w:hint="default" w:ascii="Times New Roman" w:hAnsi="Times New Roman" w:eastAsia="仿宋_GB2312" w:cs="Times New Roman"/>
          <w:kern w:val="2"/>
          <w:sz w:val="32"/>
          <w:szCs w:val="32"/>
          <w:highlight w:val="none"/>
          <w:lang w:val="en-US" w:eastAsia="zh-CN" w:bidi="ar-SA"/>
        </w:rPr>
        <w:t>文旅主管部门、财政部门及馆内管理层提供详实评价报告，辅助决策。例如，基于绩效数据提出下一年度</w:t>
      </w:r>
      <w:r>
        <w:rPr>
          <w:rFonts w:hint="eastAsia" w:ascii="Times New Roman" w:hAnsi="Times New Roman" w:eastAsia="仿宋_GB2312" w:cs="Times New Roman"/>
          <w:kern w:val="2"/>
          <w:sz w:val="32"/>
          <w:szCs w:val="32"/>
          <w:highlight w:val="none"/>
          <w:lang w:val="en-US" w:eastAsia="zh-CN" w:bidi="ar-SA"/>
        </w:rPr>
        <w:t>资金</w:t>
      </w:r>
      <w:r>
        <w:rPr>
          <w:rFonts w:hint="default" w:ascii="Times New Roman" w:hAnsi="Times New Roman" w:eastAsia="仿宋_GB2312" w:cs="Times New Roman"/>
          <w:kern w:val="2"/>
          <w:sz w:val="32"/>
          <w:szCs w:val="32"/>
          <w:highlight w:val="none"/>
          <w:lang w:val="en-US" w:eastAsia="zh-CN" w:bidi="ar-SA"/>
        </w:rPr>
        <w:t>分配建议：对受公众欢迎的“非遗文化特展”增加预算支持，对参与度低的活动调整资金投向；为新场馆建设、数字化改造等重大项目审批提供参考依据。</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（5）促进项目持续改进</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针对评价中发现的问题，如“线上展览宣传不足导致访问量偏低”“部分文物保护设备老化影响维护效果”，提出具体改进措施：加强新媒体平台推广、申请专项资金更新设备，并跟踪整改落实情况，形成“评价 - 反馈 - 改进”的闭环管理，推动博物馆免费开放</w:t>
      </w:r>
      <w:r>
        <w:rPr>
          <w:rFonts w:hint="eastAsia" w:ascii="Times New Roman" w:hAnsi="Times New Roman" w:eastAsia="仿宋_GB2312" w:cs="Times New Roman"/>
          <w:kern w:val="2"/>
          <w:sz w:val="32"/>
          <w:szCs w:val="32"/>
          <w:highlight w:val="none"/>
          <w:lang w:val="en-US" w:eastAsia="zh-CN" w:bidi="ar-SA"/>
        </w:rPr>
        <w:t>项目</w:t>
      </w:r>
      <w:r>
        <w:rPr>
          <w:rFonts w:hint="default" w:ascii="Times New Roman" w:hAnsi="Times New Roman" w:eastAsia="仿宋_GB2312" w:cs="Times New Roman"/>
          <w:kern w:val="2"/>
          <w:sz w:val="32"/>
          <w:szCs w:val="32"/>
          <w:highlight w:val="none"/>
          <w:lang w:val="en-US" w:eastAsia="zh-CN" w:bidi="ar-SA"/>
        </w:rPr>
        <w:t>服务质量持续提升。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w:t>
      </w:r>
      <w:r>
        <w:rPr>
          <w:rFonts w:hint="eastAsia" w:eastAsia="仿宋_GB2312" w:cs="Times New Roman"/>
          <w:sz w:val="32"/>
          <w:szCs w:val="32"/>
          <w:highlight w:val="none"/>
          <w:lang w:val="en-US" w:eastAsia="zh-CN"/>
        </w:rPr>
        <w:t>博物馆免费开放专项资金项目</w:t>
      </w:r>
      <w:r>
        <w:rPr>
          <w:rFonts w:hint="default" w:ascii="Times New Roman" w:hAnsi="Times New Roman" w:eastAsia="仿宋_GB2312" w:cs="Times New Roman"/>
          <w:sz w:val="32"/>
          <w:szCs w:val="32"/>
          <w:highlight w:val="none"/>
        </w:rPr>
        <w:t>在预算约束下实现高质量</w:t>
      </w:r>
      <w:r>
        <w:rPr>
          <w:rFonts w:hint="eastAsia" w:eastAsia="仿宋_GB2312" w:cs="Times New Roman"/>
          <w:sz w:val="32"/>
          <w:szCs w:val="32"/>
          <w:highlight w:val="none"/>
          <w:lang w:val="en-US" w:eastAsia="zh-CN"/>
        </w:rPr>
        <w:t>的</w:t>
      </w:r>
      <w:r>
        <w:rPr>
          <w:rFonts w:hint="default" w:ascii="Times New Roman" w:hAnsi="Times New Roman" w:eastAsia="仿宋_GB2312" w:cs="Times New Roman"/>
          <w:sz w:val="32"/>
          <w:szCs w:val="32"/>
          <w:highlight w:val="none"/>
        </w:rPr>
        <w:t>社会效益。</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highlight w:val="none"/>
        </w:rPr>
        <w:t>本项目预算绩效评价报告的评价对象是巴财教[2023]67号提前下达2024年国家博物馆纪念馆免费开放补助资金及其预算执行情况。该项目由</w:t>
      </w:r>
      <w:r>
        <w:rPr>
          <w:rFonts w:hint="eastAsia" w:ascii="Times New Roman" w:hAnsi="Times New Roman" w:eastAsia="仿宋_GB2312" w:cs="Times New Roman"/>
          <w:b w:val="0"/>
          <w:bCs w:val="0"/>
          <w:highlight w:val="none"/>
          <w:lang w:val="en-US" w:eastAsia="zh-CN"/>
        </w:rPr>
        <w:t>库尔勒民俗文化博物馆</w:t>
      </w:r>
      <w:r>
        <w:rPr>
          <w:rFonts w:hint="default" w:ascii="Times New Roman" w:hAnsi="Times New Roman" w:eastAsia="仿宋_GB2312" w:cs="Times New Roman"/>
          <w:b w:val="0"/>
          <w:bCs w:val="0"/>
          <w:highlight w:val="none"/>
        </w:rPr>
        <w:t>负责实施，旨在</w:t>
      </w:r>
      <w:r>
        <w:rPr>
          <w:rFonts w:hint="eastAsia" w:ascii="Times New Roman" w:hAnsi="Times New Roman" w:eastAsia="仿宋_GB2312" w:cs="Times New Roman"/>
          <w:b w:val="0"/>
          <w:bCs w:val="0"/>
          <w:highlight w:val="none"/>
          <w:lang w:val="en-US" w:eastAsia="zh-CN"/>
        </w:rPr>
        <w:t xml:space="preserve">一是对场馆老化的照明、安防等设施设备进行维修维护，保障免费开放期间观众参观安全与体验；二是围绕春节、端午、中秋等中华传统节日，策划举办民俗文化展演、非遗技艺体验等特色活动，弘扬传统文化；三是开展本市民俗文化主题陈列展览，包括展品征集、展陈设计及维护更新等工作 </w:t>
      </w:r>
      <w:r>
        <w:rPr>
          <w:rFonts w:hint="default" w:ascii="Times New Roman" w:hAnsi="Times New Roman" w:eastAsia="仿宋_GB2312" w:cs="Times New Roman"/>
          <w:b w:val="0"/>
          <w:bCs w:val="0"/>
          <w:highlight w:val="none"/>
        </w:rPr>
        <w:t>。项目预算涵盖从</w:t>
      </w:r>
      <w:r>
        <w:rPr>
          <w:rFonts w:hint="eastAsia" w:ascii="Times New Roman" w:hAnsi="Times New Roman" w:eastAsia="仿宋_GB2312" w:cs="Times New Roman"/>
          <w:b w:val="0"/>
          <w:bCs w:val="0"/>
          <w:highlight w:val="none"/>
          <w:lang w:val="en-US" w:eastAsia="zh-CN"/>
        </w:rPr>
        <w:t>2024年1月1日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2024年12月31日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30</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本项目预算绩效评价报告的评价范围覆盖项目全周期，从</w:t>
      </w:r>
      <w:r>
        <w:rPr>
          <w:rFonts w:hint="eastAsia" w:eastAsia="仿宋_GB2312" w:cs="Times New Roman"/>
          <w:b w:val="0"/>
          <w:bCs w:val="0"/>
          <w:kern w:val="28"/>
          <w:sz w:val="32"/>
          <w:szCs w:val="32"/>
          <w:highlight w:val="none"/>
          <w:lang w:val="en-US" w:eastAsia="zh-CN" w:bidi="ar-SA"/>
        </w:rPr>
        <w:t>博物馆免费开放补助资金项目</w:t>
      </w:r>
      <w:r>
        <w:rPr>
          <w:rFonts w:hint="default" w:ascii="Times New Roman" w:hAnsi="Times New Roman" w:eastAsia="仿宋_GB2312" w:cs="Times New Roman"/>
          <w:b w:val="0"/>
          <w:bCs w:val="0"/>
          <w:kern w:val="28"/>
          <w:sz w:val="32"/>
          <w:szCs w:val="32"/>
          <w:highlight w:val="none"/>
          <w:lang w:val="en-US" w:eastAsia="zh-CN" w:bidi="ar-SA"/>
        </w:rPr>
        <w:t>立项决策到实施完成阶段的关键预算活动与财务流程均纳入评价范畴，具体如下：</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1）项目预算编制与执行：结合本单位实际运营需求与历史资金使用数据，核查项目预算编制是否科学合理，依据是否充分；追踪预算执行过程，分析预算调整的原因，评估调整对项目实施的影响，确保预算贴合实际工作开展。</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（2）资金管理：审查资金分配是否与本单位设施</w:t>
      </w:r>
      <w:r>
        <w:rPr>
          <w:rFonts w:hint="eastAsia" w:eastAsia="仿宋_GB2312" w:cs="Times New Roman"/>
          <w:b w:val="0"/>
          <w:bCs w:val="0"/>
          <w:kern w:val="28"/>
          <w:sz w:val="32"/>
          <w:szCs w:val="32"/>
          <w:highlight w:val="none"/>
          <w:lang w:val="en-US" w:eastAsia="zh-CN" w:bidi="ar-SA"/>
        </w:rPr>
        <w:t>设备</w:t>
      </w:r>
      <w:r>
        <w:rPr>
          <w:rFonts w:hint="default" w:ascii="Times New Roman" w:hAnsi="Times New Roman" w:eastAsia="仿宋_GB2312" w:cs="Times New Roman"/>
          <w:b w:val="0"/>
          <w:bCs w:val="0"/>
          <w:kern w:val="28"/>
          <w:sz w:val="32"/>
          <w:szCs w:val="32"/>
          <w:highlight w:val="none"/>
          <w:lang w:val="en-US" w:eastAsia="zh-CN" w:bidi="ar-SA"/>
        </w:rPr>
        <w:t>维修、活动开展、展览运营等工作重点匹配；监督资金使用过程，确保每笔支出符合国家财政法规与博物馆资金管理规定，杜绝违规使用；通过建立资金使用台账，保障资金流向清晰透明，提升使用效率。</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（3）项目实施进度与产出：对照项目计划，检查设施</w:t>
      </w:r>
      <w:r>
        <w:rPr>
          <w:rFonts w:hint="eastAsia" w:eastAsia="仿宋_GB2312" w:cs="Times New Roman"/>
          <w:b w:val="0"/>
          <w:bCs w:val="0"/>
          <w:kern w:val="28"/>
          <w:sz w:val="32"/>
          <w:szCs w:val="32"/>
          <w:highlight w:val="none"/>
          <w:lang w:val="en-US" w:eastAsia="zh-CN" w:bidi="ar-SA"/>
        </w:rPr>
        <w:t>设备</w:t>
      </w:r>
      <w:r>
        <w:rPr>
          <w:rFonts w:hint="default" w:ascii="Times New Roman" w:hAnsi="Times New Roman" w:eastAsia="仿宋_GB2312" w:cs="Times New Roman"/>
          <w:b w:val="0"/>
          <w:bCs w:val="0"/>
          <w:kern w:val="28"/>
          <w:sz w:val="32"/>
          <w:szCs w:val="32"/>
          <w:highlight w:val="none"/>
          <w:lang w:val="en-US" w:eastAsia="zh-CN" w:bidi="ar-SA"/>
        </w:rPr>
        <w:t>维修是否按期完成，传统节日活动是否如期开展且达到预期</w:t>
      </w:r>
      <w:r>
        <w:rPr>
          <w:rFonts w:hint="eastAsia" w:eastAsia="仿宋_GB2312" w:cs="Times New Roman"/>
          <w:b w:val="0"/>
          <w:bCs w:val="0"/>
          <w:kern w:val="28"/>
          <w:sz w:val="32"/>
          <w:szCs w:val="32"/>
          <w:highlight w:val="none"/>
          <w:lang w:val="en-US" w:eastAsia="zh-CN" w:bidi="ar-SA"/>
        </w:rPr>
        <w:t>目标</w:t>
      </w:r>
      <w:r>
        <w:rPr>
          <w:rFonts w:hint="default" w:ascii="Times New Roman" w:hAnsi="Times New Roman" w:eastAsia="仿宋_GB2312" w:cs="Times New Roman"/>
          <w:b w:val="0"/>
          <w:bCs w:val="0"/>
          <w:kern w:val="28"/>
          <w:sz w:val="32"/>
          <w:szCs w:val="32"/>
          <w:highlight w:val="none"/>
          <w:lang w:val="en-US" w:eastAsia="zh-CN" w:bidi="ar-SA"/>
        </w:rPr>
        <w:t>，陈列展览的展品数量、</w:t>
      </w:r>
      <w:r>
        <w:rPr>
          <w:rFonts w:hint="eastAsia" w:eastAsia="仿宋_GB2312" w:cs="Times New Roman"/>
          <w:b w:val="0"/>
          <w:bCs w:val="0"/>
          <w:kern w:val="28"/>
          <w:sz w:val="32"/>
          <w:szCs w:val="32"/>
          <w:highlight w:val="none"/>
          <w:lang w:val="en-US" w:eastAsia="zh-CN" w:bidi="ar-SA"/>
        </w:rPr>
        <w:t>展览</w:t>
      </w:r>
      <w:r>
        <w:rPr>
          <w:rFonts w:hint="default" w:ascii="Times New Roman" w:hAnsi="Times New Roman" w:eastAsia="仿宋_GB2312" w:cs="Times New Roman"/>
          <w:b w:val="0"/>
          <w:bCs w:val="0"/>
          <w:kern w:val="28"/>
          <w:sz w:val="32"/>
          <w:szCs w:val="32"/>
          <w:highlight w:val="none"/>
          <w:lang w:val="en-US" w:eastAsia="zh-CN" w:bidi="ar-SA"/>
        </w:rPr>
        <w:t>质量等是否符合标准，确保项目产出在数量、质量和时效性上均达到预期目标。</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（4）社会影响：调研免费开放政策实施后，本单位参观人数增长情况、公众对民俗文化活动与展览的满意度；评估项目在传播本土文化、增强文化认同、提升公共文化服务水平等方面产生的社会效益，分析</w:t>
      </w:r>
      <w:r>
        <w:rPr>
          <w:rFonts w:hint="eastAsia" w:eastAsia="仿宋_GB2312" w:cs="Times New Roman"/>
          <w:b w:val="0"/>
          <w:bCs w:val="0"/>
          <w:kern w:val="28"/>
          <w:sz w:val="32"/>
          <w:szCs w:val="32"/>
          <w:highlight w:val="none"/>
          <w:lang w:val="en-US" w:eastAsia="zh-CN" w:bidi="ar-SA"/>
        </w:rPr>
        <w:t>博物馆免费开放</w:t>
      </w:r>
      <w:r>
        <w:rPr>
          <w:rFonts w:hint="default" w:ascii="Times New Roman" w:hAnsi="Times New Roman" w:eastAsia="仿宋_GB2312" w:cs="Times New Roman"/>
          <w:b w:val="0"/>
          <w:bCs w:val="0"/>
          <w:kern w:val="28"/>
          <w:sz w:val="32"/>
          <w:szCs w:val="32"/>
          <w:highlight w:val="none"/>
          <w:lang w:val="en-US" w:eastAsia="zh-CN" w:bidi="ar-SA"/>
        </w:rPr>
        <w:t>项目对</w:t>
      </w:r>
      <w:r>
        <w:rPr>
          <w:rFonts w:hint="eastAsia" w:eastAsia="仿宋_GB2312" w:cs="Times New Roman"/>
          <w:b w:val="0"/>
          <w:bCs w:val="0"/>
          <w:kern w:val="28"/>
          <w:sz w:val="32"/>
          <w:szCs w:val="32"/>
          <w:highlight w:val="none"/>
          <w:lang w:val="en-US" w:eastAsia="zh-CN" w:bidi="ar-SA"/>
        </w:rPr>
        <w:t>本市</w:t>
      </w:r>
      <w:r>
        <w:rPr>
          <w:rFonts w:hint="default" w:ascii="Times New Roman" w:hAnsi="Times New Roman" w:eastAsia="仿宋_GB2312" w:cs="Times New Roman"/>
          <w:b w:val="0"/>
          <w:bCs w:val="0"/>
          <w:kern w:val="28"/>
          <w:sz w:val="32"/>
          <w:szCs w:val="32"/>
          <w:highlight w:val="none"/>
          <w:lang w:val="en-US" w:eastAsia="zh-CN" w:bidi="ar-SA"/>
        </w:rPr>
        <w:t>文化事业发展的推动作用。</w:t>
      </w:r>
    </w:p>
    <w:p>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结合库尔勒民俗文化博物馆免费开放资金项目实际工作特点，本次项目绩效评价遵循以下基本原则：</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（1）科学公正：在绩效评价过程中，针对博物馆免费开放资金使用的复杂性和专业性，采用科学合理的评价方法。例如，</w:t>
      </w:r>
      <w:r>
        <w:rPr>
          <w:rFonts w:hint="eastAsia" w:ascii="Times New Roman" w:hAnsi="Times New Roman" w:eastAsia="仿宋_GB2312" w:cs="Times New Roman"/>
          <w:b w:val="0"/>
          <w:bCs w:val="0"/>
          <w:kern w:val="28"/>
          <w:sz w:val="32"/>
          <w:szCs w:val="32"/>
          <w:highlight w:val="none"/>
          <w:lang w:val="en-US" w:eastAsia="zh-CN" w:bidi="ar-SA"/>
        </w:rPr>
        <w:t>最低成本</w:t>
      </w:r>
      <w:r>
        <w:rPr>
          <w:rFonts w:hint="default" w:ascii="Times New Roman" w:hAnsi="Times New Roman" w:eastAsia="仿宋_GB2312" w:cs="Times New Roman"/>
          <w:b w:val="0"/>
          <w:bCs w:val="0"/>
          <w:kern w:val="28"/>
          <w:sz w:val="32"/>
          <w:szCs w:val="32"/>
          <w:highlight w:val="none"/>
          <w:lang w:val="en-US" w:eastAsia="zh-CN" w:bidi="ar-SA"/>
        </w:rPr>
        <w:t>分析法衡量设施</w:t>
      </w:r>
      <w:r>
        <w:rPr>
          <w:rFonts w:hint="eastAsia" w:ascii="Times New Roman" w:hAnsi="Times New Roman" w:eastAsia="仿宋_GB2312" w:cs="Times New Roman"/>
          <w:b w:val="0"/>
          <w:bCs w:val="0"/>
          <w:kern w:val="28"/>
          <w:sz w:val="32"/>
          <w:szCs w:val="32"/>
          <w:highlight w:val="none"/>
          <w:lang w:val="en-US" w:eastAsia="zh-CN" w:bidi="ar-SA"/>
        </w:rPr>
        <w:t>设备</w:t>
      </w:r>
      <w:r>
        <w:rPr>
          <w:rFonts w:hint="default" w:ascii="Times New Roman" w:hAnsi="Times New Roman" w:eastAsia="仿宋_GB2312" w:cs="Times New Roman"/>
          <w:b w:val="0"/>
          <w:bCs w:val="0"/>
          <w:kern w:val="28"/>
          <w:sz w:val="32"/>
          <w:szCs w:val="32"/>
          <w:highlight w:val="none"/>
          <w:lang w:val="en-US" w:eastAsia="zh-CN" w:bidi="ar-SA"/>
        </w:rPr>
        <w:t>维修、展览举办等资金投入</w:t>
      </w:r>
      <w:r>
        <w:rPr>
          <w:rFonts w:hint="eastAsia" w:ascii="Times New Roman" w:hAnsi="Times New Roman" w:eastAsia="仿宋_GB2312" w:cs="Times New Roman"/>
          <w:b w:val="0"/>
          <w:bCs w:val="0"/>
          <w:kern w:val="28"/>
          <w:sz w:val="32"/>
          <w:szCs w:val="32"/>
          <w:highlight w:val="none"/>
          <w:lang w:val="en-US" w:eastAsia="zh-CN" w:bidi="ar-SA"/>
        </w:rPr>
        <w:t>成本最小化</w:t>
      </w:r>
      <w:r>
        <w:rPr>
          <w:rFonts w:hint="default" w:ascii="Times New Roman" w:hAnsi="Times New Roman" w:eastAsia="仿宋_GB2312" w:cs="Times New Roman"/>
          <w:b w:val="0"/>
          <w:bCs w:val="0"/>
          <w:kern w:val="28"/>
          <w:sz w:val="32"/>
          <w:szCs w:val="32"/>
          <w:highlight w:val="none"/>
          <w:lang w:val="en-US" w:eastAsia="zh-CN" w:bidi="ar-SA"/>
        </w:rPr>
        <w:t>与社会效益产出的关系，借助问卷调查、访谈等方式收集公众对文化活动的反馈。严格按照财政部门制定的规范流程开展评价工作，从项目决策、过程管理到产出效益等多维度，客观、公正地反映</w:t>
      </w:r>
      <w:r>
        <w:rPr>
          <w:rFonts w:hint="eastAsia" w:ascii="Times New Roman" w:hAnsi="Times New Roman" w:eastAsia="仿宋_GB2312" w:cs="Times New Roman"/>
          <w:b w:val="0"/>
          <w:bCs w:val="0"/>
          <w:kern w:val="28"/>
          <w:sz w:val="32"/>
          <w:szCs w:val="32"/>
          <w:highlight w:val="none"/>
          <w:lang w:val="en-US" w:eastAsia="zh-CN" w:bidi="ar-SA"/>
        </w:rPr>
        <w:t>博物馆</w:t>
      </w:r>
      <w:r>
        <w:rPr>
          <w:rFonts w:hint="default" w:ascii="Times New Roman" w:hAnsi="Times New Roman" w:eastAsia="仿宋_GB2312" w:cs="Times New Roman"/>
          <w:b w:val="0"/>
          <w:bCs w:val="0"/>
          <w:kern w:val="28"/>
          <w:sz w:val="32"/>
          <w:szCs w:val="32"/>
          <w:highlight w:val="none"/>
          <w:lang w:val="en-US" w:eastAsia="zh-CN" w:bidi="ar-SA"/>
        </w:rPr>
        <w:t>免费开放资金项目的实际绩效情况，确保评价结果真实可靠。</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 xml:space="preserve">（2）统筹兼顾：明确单位自评、部门评价和财政评价的职责分工，形成有序衔接的评价体系。库尔勒民俗文化博物馆作为项目实施单位，严格落实“谁支出、谁自评”原则，定期对资金使用、活动开展、设施维护等情况进行自主评估，形成详实的自评报告。 </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（3）激励约束：将绩效评价结果与博物馆后续的免费开放资金预算安排紧密挂钩。对于资金使用高效、活动影响力大、</w:t>
      </w:r>
      <w:r>
        <w:rPr>
          <w:rFonts w:hint="eastAsia" w:ascii="Times New Roman" w:hAnsi="Times New Roman" w:eastAsia="仿宋_GB2312" w:cs="Times New Roman"/>
          <w:b w:val="0"/>
          <w:bCs w:val="0"/>
          <w:kern w:val="28"/>
          <w:sz w:val="32"/>
          <w:szCs w:val="32"/>
          <w:highlight w:val="none"/>
          <w:lang w:val="en-US" w:eastAsia="zh-CN" w:bidi="ar-SA"/>
        </w:rPr>
        <w:t>参观群众</w:t>
      </w:r>
      <w:r>
        <w:rPr>
          <w:rFonts w:hint="default" w:ascii="Times New Roman" w:hAnsi="Times New Roman" w:eastAsia="仿宋_GB2312" w:cs="Times New Roman"/>
          <w:b w:val="0"/>
          <w:bCs w:val="0"/>
          <w:kern w:val="28"/>
          <w:sz w:val="32"/>
          <w:szCs w:val="32"/>
          <w:highlight w:val="none"/>
          <w:lang w:val="en-US" w:eastAsia="zh-CN" w:bidi="ar-SA"/>
        </w:rPr>
        <w:t>满意度高的项目内容，在预算安排上予以倾斜，支持扩大文化服务规模和提升服务质量；对于资金使用低效、活动效果不佳的部分，相应压减预算，督促改进管理方式。对存在资金浪费、违规使用等无效情况的，严格追究相关责任</w:t>
      </w:r>
      <w:r>
        <w:rPr>
          <w:rFonts w:hint="eastAsia" w:ascii="Times New Roman" w:hAnsi="Times New Roman" w:eastAsia="仿宋_GB2312" w:cs="Times New Roman"/>
          <w:b w:val="0"/>
          <w:bCs w:val="0"/>
          <w:kern w:val="28"/>
          <w:sz w:val="32"/>
          <w:szCs w:val="32"/>
          <w:highlight w:val="none"/>
          <w:lang w:val="en-US" w:eastAsia="zh-CN" w:bidi="ar-SA"/>
        </w:rPr>
        <w:t>，</w:t>
      </w:r>
      <w:r>
        <w:rPr>
          <w:rFonts w:hint="default" w:ascii="Times New Roman" w:hAnsi="Times New Roman" w:eastAsia="仿宋_GB2312" w:cs="Times New Roman"/>
          <w:b w:val="0"/>
          <w:bCs w:val="0"/>
          <w:kern w:val="28"/>
          <w:sz w:val="32"/>
          <w:szCs w:val="32"/>
          <w:highlight w:val="none"/>
          <w:lang w:val="en-US" w:eastAsia="zh-CN" w:bidi="ar-SA"/>
        </w:rPr>
        <w:t>促进博物馆不断提升免费开放资金使用效能。</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b w:val="0"/>
          <w:bCs w:val="0"/>
          <w:kern w:val="28"/>
          <w:sz w:val="32"/>
          <w:szCs w:val="32"/>
          <w:highlight w:val="none"/>
          <w:lang w:val="en-US" w:eastAsia="zh-CN" w:bidi="ar-SA"/>
        </w:rPr>
      </w:pPr>
      <w:r>
        <w:rPr>
          <w:rFonts w:hint="default" w:ascii="Times New Roman" w:hAnsi="Times New Roman" w:eastAsia="仿宋_GB2312" w:cs="Times New Roman"/>
          <w:b w:val="0"/>
          <w:bCs w:val="0"/>
          <w:kern w:val="28"/>
          <w:sz w:val="32"/>
          <w:szCs w:val="32"/>
          <w:highlight w:val="none"/>
          <w:lang w:val="en-US" w:eastAsia="zh-CN" w:bidi="ar-SA"/>
        </w:rPr>
        <w:t>（4）公开透明：严格依照国家相关法律法规，及时将博物馆免费开放资金项目的绩效评价结果通过官方网站、政务公开平台等渠道向社会公开。公开内容涵盖资金使用明细、项目实施成果、绩效评价指标及得分等关键信息，主动接受社会各界监督，增强公众对博物馆免费开放工作的信任度，提升财政资金使用的透明度和公信力。</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11"/>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pPr>
        <w:pStyle w:val="11"/>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pPr>
        <w:pStyle w:val="11"/>
        <w:widowControl w:val="0"/>
        <w:numPr>
          <w:ilvl w:val="0"/>
          <w:numId w:val="1"/>
        </w:numPr>
        <w:spacing w:before="0" w:after="0" w:line="560" w:lineRule="exact"/>
        <w:ind w:firstLine="640" w:firstLineChars="200"/>
        <w:jc w:val="both"/>
        <w:outlineLvl w:val="9"/>
        <w:rPr>
          <w:rFonts w:hint="default"/>
        </w:rPr>
      </w:pPr>
      <w:r>
        <w:rPr>
          <w:rFonts w:hint="default" w:ascii="Times New Roman" w:hAnsi="Times New Roman" w:eastAsia="仿宋_GB2312" w:cs="Times New Roman"/>
          <w:b w:val="0"/>
          <w:bCs w:val="0"/>
        </w:rPr>
        <w:t>绩效评价方法</w:t>
      </w:r>
    </w:p>
    <w:p>
      <w:pPr>
        <w:keepNext w:val="0"/>
        <w:keepLines w:val="0"/>
        <w:pageBreakBefore w:val="0"/>
        <w:widowControl w:val="0"/>
        <w:kinsoku/>
        <w:wordWrap/>
        <w:overflowPunct/>
        <w:topLinePunct w:val="0"/>
        <w:autoSpaceDE/>
        <w:autoSpaceDN/>
        <w:bidi w:val="0"/>
        <w:adjustRightInd/>
        <w:snapToGrid/>
        <w:ind w:firstLine="708" w:firstLineChars="200"/>
        <w:textAlignment w:val="auto"/>
        <w:rPr>
          <w:rFonts w:hint="eastAsia" w:eastAsia="仿宋_GB2312" w:cs="Times New Roman"/>
          <w:b w:val="0"/>
          <w:bCs w:val="0"/>
          <w:color w:val="000000"/>
          <w:spacing w:val="17"/>
          <w:kern w:val="2"/>
          <w:sz w:val="32"/>
          <w:szCs w:val="32"/>
          <w:lang w:val="en-US" w:eastAsia="zh-CN" w:bidi="ar-SA"/>
        </w:rPr>
      </w:pPr>
      <w:r>
        <w:rPr>
          <w:rFonts w:hint="default" w:ascii="Times New Roman" w:hAnsi="Times New Roman" w:eastAsia="仿宋_GB2312" w:cs="Times New Roman"/>
          <w:b w:val="0"/>
          <w:bCs w:val="0"/>
          <w:color w:val="000000"/>
          <w:spacing w:val="17"/>
          <w:kern w:val="2"/>
          <w:sz w:val="32"/>
          <w:szCs w:val="32"/>
          <w:lang w:val="en-US" w:eastAsia="zh-CN" w:bidi="ar-SA"/>
        </w:rPr>
        <w:t>结合库尔勒民俗文化博物馆免费开放资金项目的实际运行特点，本次绩效评价从项目决策、项目过程、项目产出、项目效益四个维度展开，以项目目标达成情况为评价对象，重点围绕资金支出完成度和项目产出效益进行核心评估</w:t>
      </w:r>
      <w:r>
        <w:rPr>
          <w:rFonts w:hint="eastAsia" w:eastAsia="仿宋_GB2312" w:cs="Times New Roman"/>
          <w:b w:val="0"/>
          <w:bCs w:val="0"/>
          <w:color w:val="000000"/>
          <w:spacing w:val="17"/>
          <w:kern w:val="2"/>
          <w:sz w:val="32"/>
          <w:szCs w:val="32"/>
          <w:lang w:val="en-US" w:eastAsia="zh-CN" w:bidi="ar-SA"/>
        </w:rPr>
        <w:t>。</w:t>
      </w:r>
    </w:p>
    <w:p>
      <w:pPr>
        <w:spacing w:line="560" w:lineRule="exact"/>
        <w:ind w:firstLine="708" w:firstLineChars="200"/>
        <w:rPr>
          <w:rFonts w:hint="default" w:ascii="Times New Roman" w:hAnsi="Times New Roman" w:eastAsia="仿宋_GB2312" w:cs="Times New Roman"/>
          <w:color w:val="000000"/>
          <w:spacing w:val="17"/>
          <w:sz w:val="32"/>
          <w:szCs w:val="32"/>
          <w:highlight w:val="green"/>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w:t>
      </w:r>
      <w:r>
        <w:rPr>
          <w:rFonts w:hint="default" w:ascii="Times New Roman" w:hAnsi="Times New Roman" w:eastAsia="仿宋_GB2312" w:cs="Times New Roman"/>
          <w:b w:val="0"/>
          <w:bCs w:val="0"/>
          <w:color w:val="000000"/>
          <w:spacing w:val="17"/>
          <w:kern w:val="2"/>
          <w:sz w:val="32"/>
          <w:szCs w:val="32"/>
          <w:lang w:val="en-US" w:eastAsia="zh-CN" w:bidi="ar-SA"/>
        </w:rPr>
        <w:t>采用多种评价方法确保评价结果科学、准确</w:t>
      </w:r>
      <w:r>
        <w:rPr>
          <w:rFonts w:hint="eastAsia" w:eastAsia="仿宋_GB2312" w:cs="Times New Roman"/>
          <w:b w:val="0"/>
          <w:bCs w:val="0"/>
          <w:color w:val="000000"/>
          <w:spacing w:val="17"/>
          <w:kern w:val="2"/>
          <w:sz w:val="32"/>
          <w:szCs w:val="32"/>
          <w:lang w:val="en-US" w:eastAsia="zh-CN" w:bidi="ar-SA"/>
        </w:rPr>
        <w:t>。</w:t>
      </w:r>
      <w:r>
        <w:rPr>
          <w:rFonts w:hint="default" w:ascii="Times New Roman" w:hAnsi="Times New Roman" w:eastAsia="仿宋_GB2312" w:cs="Times New Roman"/>
          <w:color w:val="000000"/>
          <w:spacing w:val="17"/>
          <w:sz w:val="32"/>
          <w:szCs w:val="32"/>
        </w:rPr>
        <w:t>具体评价方法如下：</w:t>
      </w:r>
      <w:r>
        <w:rPr>
          <w:rFonts w:hint="default" w:ascii="Times New Roman" w:hAnsi="Times New Roman" w:eastAsia="仿宋_GB2312" w:cs="Times New Roman"/>
          <w:color w:val="000000"/>
          <w:spacing w:val="17"/>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ind w:firstLine="708" w:firstLineChars="200"/>
        <w:textAlignment w:val="auto"/>
        <w:rPr>
          <w:rFonts w:hint="default" w:ascii="Times New Roman" w:hAnsi="Times New Roman" w:eastAsia="仿宋_GB2312" w:cs="Times New Roman"/>
          <w:b w:val="0"/>
          <w:bCs w:val="0"/>
          <w:color w:val="000000"/>
          <w:spacing w:val="17"/>
          <w:kern w:val="2"/>
          <w:sz w:val="32"/>
          <w:szCs w:val="32"/>
          <w:lang w:val="en-US" w:eastAsia="zh-CN" w:bidi="ar-SA"/>
        </w:rPr>
      </w:pPr>
      <w:r>
        <w:rPr>
          <w:rFonts w:hint="default" w:ascii="Times New Roman" w:hAnsi="Times New Roman" w:eastAsia="仿宋_GB2312" w:cs="Times New Roman"/>
          <w:b w:val="0"/>
          <w:bCs w:val="0"/>
          <w:color w:val="000000"/>
          <w:spacing w:val="17"/>
          <w:kern w:val="2"/>
          <w:sz w:val="32"/>
          <w:szCs w:val="32"/>
          <w:lang w:val="en-US" w:eastAsia="zh-CN" w:bidi="ar-SA"/>
        </w:rPr>
        <w:t>（一）比较法</w:t>
      </w:r>
      <w:r>
        <w:rPr>
          <w:rFonts w:hint="eastAsia" w:eastAsia="仿宋_GB2312" w:cs="Times New Roman"/>
          <w:b w:val="0"/>
          <w:bCs w:val="0"/>
          <w:color w:val="000000"/>
          <w:spacing w:val="17"/>
          <w:kern w:val="2"/>
          <w:sz w:val="32"/>
          <w:szCs w:val="32"/>
          <w:lang w:val="en-US" w:eastAsia="zh-CN" w:bidi="ar-SA"/>
        </w:rPr>
        <w:t>。是指</w:t>
      </w:r>
      <w:r>
        <w:rPr>
          <w:rFonts w:hint="default" w:ascii="Times New Roman" w:hAnsi="Times New Roman" w:eastAsia="仿宋_GB2312" w:cs="Times New Roman"/>
          <w:b w:val="0"/>
          <w:bCs w:val="0"/>
          <w:color w:val="000000"/>
          <w:spacing w:val="17"/>
          <w:kern w:val="2"/>
          <w:sz w:val="32"/>
          <w:szCs w:val="32"/>
          <w:lang w:val="en-US" w:eastAsia="zh-CN" w:bidi="ar-SA"/>
        </w:rPr>
        <w:t>项目实施情况与绩效目标、历史数据、其他同类博物馆支出情况进行对比分析的方法。</w:t>
      </w:r>
      <w:r>
        <w:rPr>
          <w:rFonts w:hint="eastAsia" w:eastAsia="仿宋_GB2312" w:cs="Times New Roman"/>
          <w:b w:val="0"/>
          <w:bCs w:val="0"/>
          <w:color w:val="000000"/>
          <w:spacing w:val="17"/>
          <w:kern w:val="2"/>
          <w:sz w:val="32"/>
          <w:szCs w:val="32"/>
          <w:lang w:val="en-US" w:eastAsia="zh-CN" w:bidi="ar-SA"/>
        </w:rPr>
        <w:t>该</w:t>
      </w:r>
      <w:r>
        <w:rPr>
          <w:rFonts w:hint="default" w:ascii="Times New Roman" w:hAnsi="Times New Roman" w:eastAsia="仿宋_GB2312" w:cs="Times New Roman"/>
          <w:b w:val="0"/>
          <w:bCs w:val="0"/>
          <w:color w:val="000000"/>
          <w:spacing w:val="17"/>
          <w:kern w:val="2"/>
          <w:sz w:val="32"/>
          <w:szCs w:val="32"/>
          <w:lang w:val="en-US" w:eastAsia="zh-CN" w:bidi="ar-SA"/>
        </w:rPr>
        <w:t xml:space="preserve">项目中采用此方法，原因如下： </w:t>
      </w:r>
    </w:p>
    <w:p>
      <w:pPr>
        <w:keepNext w:val="0"/>
        <w:keepLines w:val="0"/>
        <w:pageBreakBefore w:val="0"/>
        <w:widowControl w:val="0"/>
        <w:kinsoku/>
        <w:wordWrap/>
        <w:overflowPunct/>
        <w:topLinePunct w:val="0"/>
        <w:autoSpaceDE/>
        <w:autoSpaceDN/>
        <w:bidi w:val="0"/>
        <w:adjustRightInd/>
        <w:snapToGrid/>
        <w:ind w:firstLine="708" w:firstLineChars="200"/>
        <w:textAlignment w:val="auto"/>
        <w:rPr>
          <w:rFonts w:hint="default" w:ascii="Times New Roman" w:hAnsi="Times New Roman" w:eastAsia="仿宋_GB2312" w:cs="Times New Roman"/>
          <w:b w:val="0"/>
          <w:bCs w:val="0"/>
          <w:color w:val="000000"/>
          <w:spacing w:val="17"/>
          <w:kern w:val="2"/>
          <w:sz w:val="32"/>
          <w:szCs w:val="32"/>
          <w:lang w:val="en-US" w:eastAsia="zh-CN" w:bidi="ar-SA"/>
        </w:rPr>
      </w:pPr>
      <w:r>
        <w:rPr>
          <w:rFonts w:hint="default" w:ascii="Times New Roman" w:hAnsi="Times New Roman" w:eastAsia="仿宋_GB2312" w:cs="Times New Roman"/>
          <w:b w:val="0"/>
          <w:bCs w:val="0"/>
          <w:color w:val="000000"/>
          <w:spacing w:val="17"/>
          <w:kern w:val="2"/>
          <w:sz w:val="32"/>
          <w:szCs w:val="32"/>
          <w:lang w:val="en-US" w:eastAsia="zh-CN" w:bidi="ar-SA"/>
        </w:rPr>
        <w:t xml:space="preserve">1. 与绩效目标对比：将场馆设施维修进度、传统节日活动举办场次、陈列展览更新频次等实际完成情况，与年初设定的绩效目标进行比对，直观反映项目是否达到预期。 </w:t>
      </w:r>
    </w:p>
    <w:p>
      <w:pPr>
        <w:keepNext w:val="0"/>
        <w:keepLines w:val="0"/>
        <w:pageBreakBefore w:val="0"/>
        <w:widowControl w:val="0"/>
        <w:kinsoku/>
        <w:wordWrap/>
        <w:overflowPunct/>
        <w:topLinePunct w:val="0"/>
        <w:autoSpaceDE/>
        <w:autoSpaceDN/>
        <w:bidi w:val="0"/>
        <w:adjustRightInd/>
        <w:snapToGrid/>
        <w:ind w:firstLine="708" w:firstLineChars="200"/>
        <w:textAlignment w:val="auto"/>
        <w:rPr>
          <w:rFonts w:hint="default" w:ascii="Times New Roman" w:hAnsi="Times New Roman" w:eastAsia="仿宋_GB2312" w:cs="Times New Roman"/>
          <w:b w:val="0"/>
          <w:bCs w:val="0"/>
          <w:color w:val="000000"/>
          <w:spacing w:val="17"/>
          <w:kern w:val="2"/>
          <w:sz w:val="32"/>
          <w:szCs w:val="32"/>
          <w:lang w:val="en-US" w:eastAsia="zh-CN" w:bidi="ar-SA"/>
        </w:rPr>
      </w:pPr>
      <w:r>
        <w:rPr>
          <w:rFonts w:hint="default" w:ascii="Times New Roman" w:hAnsi="Times New Roman" w:eastAsia="仿宋_GB2312" w:cs="Times New Roman"/>
          <w:b w:val="0"/>
          <w:bCs w:val="0"/>
          <w:color w:val="000000"/>
          <w:spacing w:val="17"/>
          <w:kern w:val="2"/>
          <w:sz w:val="32"/>
          <w:szCs w:val="32"/>
          <w:lang w:val="en-US" w:eastAsia="zh-CN" w:bidi="ar-SA"/>
        </w:rPr>
        <w:t>2. 与历史情况对比：通过分析过往年度免费开放资金使用效率、参观人数增长率、活动参与度等数据，总结经验规律</w:t>
      </w:r>
      <w:r>
        <w:rPr>
          <w:rFonts w:hint="eastAsia" w:eastAsia="仿宋_GB2312" w:cs="Times New Roman"/>
          <w:b w:val="0"/>
          <w:bCs w:val="0"/>
          <w:color w:val="000000"/>
          <w:spacing w:val="17"/>
          <w:kern w:val="2"/>
          <w:sz w:val="32"/>
          <w:szCs w:val="32"/>
          <w:lang w:val="en-US" w:eastAsia="zh-CN" w:bidi="ar-SA"/>
        </w:rPr>
        <w:t>，</w:t>
      </w:r>
      <w:r>
        <w:rPr>
          <w:rFonts w:hint="default" w:ascii="Times New Roman" w:hAnsi="Times New Roman" w:eastAsia="仿宋_GB2312" w:cs="Times New Roman"/>
          <w:b w:val="0"/>
          <w:bCs w:val="0"/>
          <w:color w:val="000000"/>
          <w:spacing w:val="17"/>
          <w:kern w:val="2"/>
          <w:sz w:val="32"/>
          <w:szCs w:val="32"/>
          <w:lang w:val="en-US" w:eastAsia="zh-CN" w:bidi="ar-SA"/>
        </w:rPr>
        <w:t xml:space="preserve">发现项目实施过程中的变化趋势和潜在问题。 </w:t>
      </w:r>
    </w:p>
    <w:p>
      <w:pPr>
        <w:keepNext w:val="0"/>
        <w:keepLines w:val="0"/>
        <w:pageBreakBefore w:val="0"/>
        <w:widowControl w:val="0"/>
        <w:kinsoku/>
        <w:wordWrap/>
        <w:overflowPunct/>
        <w:topLinePunct w:val="0"/>
        <w:autoSpaceDE/>
        <w:autoSpaceDN/>
        <w:bidi w:val="0"/>
        <w:adjustRightInd/>
        <w:snapToGrid/>
        <w:ind w:firstLine="708" w:firstLineChars="200"/>
        <w:textAlignment w:val="auto"/>
        <w:rPr>
          <w:rFonts w:hint="default"/>
        </w:rPr>
      </w:pPr>
      <w:r>
        <w:rPr>
          <w:rFonts w:hint="default" w:ascii="Times New Roman" w:hAnsi="Times New Roman" w:eastAsia="仿宋_GB2312" w:cs="Times New Roman"/>
          <w:b w:val="0"/>
          <w:bCs w:val="0"/>
          <w:color w:val="000000"/>
          <w:spacing w:val="17"/>
          <w:kern w:val="2"/>
          <w:sz w:val="32"/>
          <w:szCs w:val="32"/>
          <w:lang w:val="en-US" w:eastAsia="zh-CN" w:bidi="ar-SA"/>
        </w:rPr>
        <w:t>3. 与同类支出对比：选取疆内其他同类型民俗文化博物馆，比较在设施维护、展览运营、活动开展等方面的资金支出和产出效益。参考其先进管理经验和资金配置模式，为库尔勒民俗文化博物馆优化资金使用、提升服务质量提供借鉴，发现自身在资金使用和项目管理上的优势与不足 。</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708" w:firstLineChars="200"/>
        <w:textAlignment w:val="auto"/>
        <w:rPr>
          <w:rFonts w:hint="default" w:ascii="Times New Roman" w:hAnsi="Times New Roman" w:eastAsia="仿宋_GB2312" w:cs="Times New Roman"/>
          <w:color w:val="000000"/>
          <w:spacing w:val="17"/>
          <w:sz w:val="32"/>
          <w:szCs w:val="32"/>
          <w:highlight w:val="green"/>
        </w:rPr>
      </w:pPr>
      <w:r>
        <w:rPr>
          <w:rFonts w:hint="default" w:ascii="Times New Roman" w:hAnsi="Times New Roman" w:eastAsia="仿宋_GB2312" w:cs="Times New Roman"/>
          <w:b w:val="0"/>
          <w:bCs w:val="0"/>
          <w:color w:val="000000"/>
          <w:spacing w:val="17"/>
          <w:kern w:val="2"/>
          <w:sz w:val="32"/>
          <w:szCs w:val="32"/>
          <w:highlight w:val="none"/>
          <w:lang w:val="en-US" w:eastAsia="zh-CN" w:bidi="ar-SA"/>
        </w:rPr>
        <w:t>（一）</w:t>
      </w:r>
      <w:r>
        <w:rPr>
          <w:rFonts w:hint="default" w:ascii="Times New Roman" w:hAnsi="Times New Roman" w:eastAsia="仿宋_GB2312" w:cs="Times New Roman"/>
          <w:color w:val="000000"/>
          <w:spacing w:val="17"/>
          <w:sz w:val="32"/>
          <w:szCs w:val="32"/>
          <w:highlight w:val="none"/>
        </w:rPr>
        <w:t>最低成本法</w:t>
      </w:r>
      <w:r>
        <w:rPr>
          <w:rFonts w:hint="eastAsia"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是在确保实现绩效目标的前提下，以成本最小化为优选标准的评价方法。</w:t>
      </w:r>
      <w:r>
        <w:rPr>
          <w:rFonts w:hint="eastAsia" w:eastAsia="仿宋_GB2312" w:cs="Times New Roman"/>
          <w:b w:val="0"/>
          <w:bCs w:val="0"/>
          <w:color w:val="000000"/>
          <w:spacing w:val="17"/>
          <w:kern w:val="2"/>
          <w:sz w:val="32"/>
          <w:szCs w:val="32"/>
          <w:lang w:val="en-US" w:eastAsia="zh-CN" w:bidi="ar-SA"/>
        </w:rPr>
        <w:t>该</w:t>
      </w:r>
      <w:r>
        <w:rPr>
          <w:rFonts w:hint="default" w:ascii="Times New Roman" w:hAnsi="Times New Roman" w:eastAsia="仿宋_GB2312" w:cs="Times New Roman"/>
          <w:b w:val="0"/>
          <w:bCs w:val="0"/>
          <w:color w:val="000000"/>
          <w:spacing w:val="17"/>
          <w:kern w:val="2"/>
          <w:sz w:val="32"/>
          <w:szCs w:val="32"/>
          <w:lang w:val="en-US" w:eastAsia="zh-CN" w:bidi="ar-SA"/>
        </w:rPr>
        <w:t>项目中采用此方法，原因如下</w:t>
      </w:r>
      <w:r>
        <w:rPr>
          <w:rFonts w:hint="default" w:ascii="Times New Roman" w:hAnsi="Times New Roman" w:eastAsia="仿宋_GB2312" w:cs="Times New Roman"/>
          <w:color w:val="000000"/>
          <w:spacing w:val="17"/>
          <w:sz w:val="32"/>
          <w:szCs w:val="32"/>
          <w:highlight w:val="none"/>
        </w:rPr>
        <w:t>：</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708" w:firstLineChars="200"/>
        <w:textAlignment w:val="auto"/>
        <w:rPr>
          <w:rFonts w:hint="default"/>
        </w:rPr>
      </w:pPr>
      <w:r>
        <w:rPr>
          <w:rFonts w:hint="default" w:ascii="Times New Roman" w:hAnsi="Times New Roman" w:eastAsia="仿宋_GB2312" w:cs="Times New Roman"/>
          <w:color w:val="000000"/>
          <w:spacing w:val="17"/>
          <w:sz w:val="32"/>
          <w:szCs w:val="32"/>
          <w:highlight w:val="none"/>
        </w:rPr>
        <w:t>库尔勒民俗文化博物馆在开展免费开放工作时，需在有限的30万元资金内，实现场馆设施维护、文化活动开展、陈列展览更新等多项任务目标。例如，在策划中华传统节日活动时，对于舞台搭建、节目编排、宣传推广等环节，通过方案比选，在保证活动质量和预期参与人数的前提下，优先选择成本最低的方案，确保资金使用效率最大化</w:t>
      </w:r>
      <w:r>
        <w:rPr>
          <w:rFonts w:hint="eastAsia" w:ascii="Times New Roman" w:hAnsi="Times New Roman" w:eastAsia="仿宋_GB2312" w:cs="Times New Roman"/>
          <w:color w:val="000000"/>
          <w:spacing w:val="17"/>
          <w:sz w:val="32"/>
          <w:szCs w:val="32"/>
          <w:highlight w:val="none"/>
          <w:lang w:eastAsia="zh-CN"/>
        </w:rPr>
        <w:t>。</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评价标准</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结合库尔勒民俗文化博物馆免费开放资金项目的实际管理需求与工作特性，本次绩效评价主要采用计划标准与历史标准，对项目各项绩效指标完成情况进行全面、科学的衡量与分析：</w:t>
      </w:r>
    </w:p>
    <w:p>
      <w:pPr>
        <w:pStyle w:val="11"/>
        <w:widowControl w:val="0"/>
        <w:numPr>
          <w:ilvl w:val="0"/>
          <w:numId w:val="2"/>
        </w:numPr>
        <w:spacing w:before="0" w:after="0" w:line="560" w:lineRule="exact"/>
        <w:ind w:firstLine="640" w:firstLineChars="200"/>
        <w:jc w:val="both"/>
        <w:outlineLvl w:val="9"/>
        <w:rPr>
          <w:rFonts w:hint="eastAsia"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rPr>
        <w:t>计划标准。指以预先制定的目标、计划、预算、定额等作为评价标准</w:t>
      </w:r>
      <w:r>
        <w:rPr>
          <w:rFonts w:hint="eastAsia" w:ascii="Times New Roman" w:hAnsi="Times New Roman" w:eastAsia="仿宋_GB2312" w:cs="Times New Roman"/>
          <w:b w:val="0"/>
          <w:bCs w:val="0"/>
          <w:lang w:eastAsia="zh-CN"/>
        </w:rPr>
        <w:t>，</w:t>
      </w:r>
      <w:r>
        <w:rPr>
          <w:rFonts w:hint="eastAsia" w:ascii="Times New Roman" w:hAnsi="Times New Roman" w:eastAsia="仿宋_GB2312" w:cs="Times New Roman"/>
          <w:b w:val="0"/>
          <w:bCs w:val="0"/>
          <w:kern w:val="28"/>
          <w:sz w:val="32"/>
          <w:szCs w:val="32"/>
          <w:lang w:val="en-US" w:eastAsia="zh-CN" w:bidi="ar-SA"/>
        </w:rPr>
        <w:t>选择计划标准的原因</w:t>
      </w:r>
      <w:r>
        <w:rPr>
          <w:rFonts w:hint="eastAsia" w:eastAsia="仿宋_GB2312" w:cs="Times New Roman"/>
          <w:b w:val="0"/>
          <w:bCs w:val="0"/>
          <w:kern w:val="28"/>
          <w:sz w:val="32"/>
          <w:szCs w:val="32"/>
          <w:lang w:val="en-US" w:eastAsia="zh-CN" w:bidi="ar-SA"/>
        </w:rPr>
        <w:t>如下</w:t>
      </w:r>
      <w:r>
        <w:rPr>
          <w:rFonts w:hint="eastAsia" w:ascii="Times New Roman" w:hAnsi="Times New Roman" w:eastAsia="仿宋_GB2312" w:cs="Times New Roman"/>
          <w:b w:val="0"/>
          <w:bCs w:val="0"/>
          <w:kern w:val="28"/>
          <w:sz w:val="32"/>
          <w:szCs w:val="32"/>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 xml:space="preserve">目标导向明确：库尔勒民俗文化博物馆在年初制定免费开放资金项目计划时，已围绕场馆运营核心任务设定清晰目标，通过将实际执行情况与这些计划目标对比，能够直观判断项目是否按照预期方向推进，及时发现执行偏差并调整策略。 </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预算管理精准：针对30万元的资金总额，博物馆细化编制了项目资金分配计划，以预算计划为标准，可严格监督资金使用是否合规、是否在既定额度内完成相应工作，保障财政资金使用的规范性和有效性。</w:t>
      </w:r>
    </w:p>
    <w:p>
      <w:pPr>
        <w:pStyle w:val="11"/>
        <w:widowControl w:val="0"/>
        <w:numPr>
          <w:ilvl w:val="0"/>
          <w:numId w:val="2"/>
        </w:numPr>
        <w:spacing w:before="0" w:after="0" w:line="560" w:lineRule="exact"/>
        <w:ind w:left="0" w:leftChars="0"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历史标准。指参照博物馆以往年度免费开放工作的相关数据，结合实际发展需求制定的评价尺度。为充分体现绩效提升原则，在可行性范围内设定相对较高的评价标准，</w:t>
      </w:r>
      <w:r>
        <w:rPr>
          <w:rFonts w:hint="eastAsia" w:ascii="Times New Roman" w:hAnsi="Times New Roman" w:eastAsia="仿宋_GB2312" w:cs="Times New Roman"/>
          <w:b w:val="0"/>
          <w:bCs w:val="0"/>
          <w:lang w:val="en-US" w:eastAsia="zh-CN"/>
        </w:rPr>
        <w:t>选择历史标准的</w:t>
      </w:r>
      <w:r>
        <w:rPr>
          <w:rFonts w:hint="default" w:ascii="Times New Roman" w:hAnsi="Times New Roman" w:eastAsia="仿宋_GB2312" w:cs="Times New Roman"/>
          <w:b w:val="0"/>
          <w:bCs w:val="0"/>
        </w:rPr>
        <w:t>具体原因如下：</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 xml:space="preserve">总结经验优化管理：通过分析过往年度参观人数、活动参与度、资金使用效率等历史数据，能够总结出博物馆运营的优势与不足。 </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挖掘潜力提升效能：对比历史数据中的成本支出与服务产出关系，如以往展览更新的单位成本，在保障展陈质量的前提下，设定更低的成本目标，推动博物馆优化资源配置，探索更高效的资金使用模式。</w:t>
      </w:r>
    </w:p>
    <w:p>
      <w:pPr>
        <w:pStyle w:val="11"/>
        <w:numPr>
          <w:ilvl w:val="0"/>
          <w:numId w:val="3"/>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结合库尔勒民俗文化博物馆免费开放资金项目实际情况，本次绩效评价工作严格遵循规范流程，具体实施过程如下：</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（1）前期准备与规划</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项目绩效评价启动前，库尔勒民俗文化博物馆联合财政部门、文旅行业专家组建专项评价小组。小组成员涵盖博物馆财务管理人员、展览策划骨干、设施维护技术人员及外部财务审计专家，从资金管理、业务实施、专业监督等多视角保障评价全面性。同时，明确以评估免费开放资金使用效益、优化博物馆运营为核心目标，划定场馆设施维修、传统节日活动、陈列展览三大重点评价范围，并制定详细的</w:t>
      </w:r>
      <w:r>
        <w:rPr>
          <w:rFonts w:hint="eastAsia" w:eastAsia="仿宋_GB2312" w:cs="Times New Roman"/>
          <w:b w:val="0"/>
          <w:bCs w:val="0"/>
          <w:kern w:val="28"/>
          <w:sz w:val="32"/>
          <w:szCs w:val="32"/>
          <w:lang w:val="en-US" w:eastAsia="zh-CN" w:bidi="ar-SA"/>
        </w:rPr>
        <w:t>项目年度工作计划</w:t>
      </w:r>
      <w:r>
        <w:rPr>
          <w:rFonts w:hint="default" w:ascii="Times New Roman" w:hAnsi="Times New Roman" w:eastAsia="仿宋_GB2312" w:cs="Times New Roman"/>
          <w:b w:val="0"/>
          <w:bCs w:val="0"/>
          <w:kern w:val="28"/>
          <w:sz w:val="32"/>
          <w:szCs w:val="32"/>
          <w:lang w:val="en-US" w:eastAsia="zh-CN" w:bidi="ar-SA"/>
        </w:rPr>
        <w:t xml:space="preserve">，确保评价工作有序开展。 </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（2）指标体系构建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依据博物馆免费开放资金项目特性，围绕“决策 - 过程 - 产出 - 效益”四大维度，构建贴合实际的指标体系：</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项目决策：设置“资金分配合理性”“活动策划可行性”等指标，衡量预算与维修、活动、展览需求的匹配度；</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 xml:space="preserve"> 项目过程：以“设施维修完成率”“活动经费支出合规率”等指标，监控资金使用规范性和项目进度；</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项目产出：通过“展览更新次数”“节日活动举办场次”等量化指标，考核服务供给数量；</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项目效益：采用“</w:t>
      </w:r>
      <w:r>
        <w:rPr>
          <w:rFonts w:hint="eastAsia" w:eastAsia="仿宋_GB2312" w:cs="Times New Roman"/>
          <w:b w:val="0"/>
          <w:bCs w:val="0"/>
          <w:kern w:val="28"/>
          <w:sz w:val="32"/>
          <w:szCs w:val="32"/>
          <w:lang w:val="en-US" w:eastAsia="zh-CN" w:bidi="ar-SA"/>
        </w:rPr>
        <w:t>参观群众</w:t>
      </w:r>
      <w:r>
        <w:rPr>
          <w:rFonts w:hint="default" w:ascii="Times New Roman" w:hAnsi="Times New Roman" w:eastAsia="仿宋_GB2312" w:cs="Times New Roman"/>
          <w:b w:val="0"/>
          <w:bCs w:val="0"/>
          <w:kern w:val="28"/>
          <w:sz w:val="32"/>
          <w:szCs w:val="32"/>
          <w:lang w:val="en-US" w:eastAsia="zh-CN" w:bidi="ar-SA"/>
        </w:rPr>
        <w:t>满意度”“文化传播覆盖率”等指标，评估社会效益。</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每项指标均结合计划标准与历史标准设定评分细则，并赋予差异化权重，确保评价精准反映项目绩效。</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（3）数据收集与整理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多渠道采集数据：从财务系统提取资金拨付、使用明细；通过活动签到记录、展览参观登记统计受众数据；借助线上问卷、现场访谈收集公众反馈；利用设施维护台账获取工程进度信息。针对缺失数据，采用抽样调查、行业对标等方式补充，对异常数据（如单场活动成本过高）进行溯源核查。最终将数据分类整合为资金管理、项目实施、社会反馈三大数据库，为后续分析夯实基础。</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（4）数据分析与评估</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运用比较法、最低成本法等</w:t>
      </w:r>
      <w:r>
        <w:rPr>
          <w:rFonts w:hint="eastAsia" w:eastAsia="仿宋_GB2312" w:cs="Times New Roman"/>
          <w:b w:val="0"/>
          <w:bCs w:val="0"/>
          <w:kern w:val="28"/>
          <w:sz w:val="32"/>
          <w:szCs w:val="32"/>
          <w:lang w:val="en-US" w:eastAsia="zh-CN" w:bidi="ar-SA"/>
        </w:rPr>
        <w:t>方法</w:t>
      </w:r>
      <w:r>
        <w:rPr>
          <w:rFonts w:hint="default" w:ascii="Times New Roman" w:hAnsi="Times New Roman" w:eastAsia="仿宋_GB2312" w:cs="Times New Roman"/>
          <w:b w:val="0"/>
          <w:bCs w:val="0"/>
          <w:kern w:val="28"/>
          <w:sz w:val="32"/>
          <w:szCs w:val="32"/>
          <w:lang w:val="en-US" w:eastAsia="zh-CN" w:bidi="ar-SA"/>
        </w:rPr>
        <w:t>，对比实际数据与绩效目标、历史数据</w:t>
      </w:r>
      <w:r>
        <w:rPr>
          <w:rFonts w:hint="eastAsia" w:eastAsia="仿宋_GB2312" w:cs="Times New Roman"/>
          <w:b w:val="0"/>
          <w:bCs w:val="0"/>
          <w:kern w:val="28"/>
          <w:sz w:val="32"/>
          <w:szCs w:val="32"/>
          <w:lang w:val="en-US" w:eastAsia="zh-CN" w:bidi="ar-SA"/>
        </w:rPr>
        <w:t>，</w:t>
      </w:r>
      <w:r>
        <w:rPr>
          <w:rFonts w:hint="default" w:ascii="Times New Roman" w:hAnsi="Times New Roman" w:eastAsia="仿宋_GB2312" w:cs="Times New Roman"/>
          <w:b w:val="0"/>
          <w:bCs w:val="0"/>
          <w:kern w:val="28"/>
          <w:sz w:val="32"/>
          <w:szCs w:val="32"/>
          <w:lang w:val="en-US" w:eastAsia="zh-CN" w:bidi="ar-SA"/>
        </w:rPr>
        <w:t>如对比2024年端午活动参与人数与2023年同期数据，分析活动吸引力变化；核算各展览单元单位成本，评估资金使用效率。通过计算指标达成率（如设施维修完成率=实际修复设备数/计划修复数×100%），结合权重加权计算总分，量化项目整体绩效。深入剖析得分较低指标（如某展览观众流量未达</w:t>
      </w:r>
      <w:r>
        <w:rPr>
          <w:rFonts w:hint="eastAsia" w:eastAsia="仿宋_GB2312" w:cs="Times New Roman"/>
          <w:b w:val="0"/>
          <w:bCs w:val="0"/>
          <w:kern w:val="28"/>
          <w:sz w:val="32"/>
          <w:szCs w:val="32"/>
          <w:lang w:val="en-US" w:eastAsia="zh-CN" w:bidi="ar-SA"/>
        </w:rPr>
        <w:t>到</w:t>
      </w:r>
      <w:r>
        <w:rPr>
          <w:rFonts w:hint="default" w:ascii="Times New Roman" w:hAnsi="Times New Roman" w:eastAsia="仿宋_GB2312" w:cs="Times New Roman"/>
          <w:b w:val="0"/>
          <w:bCs w:val="0"/>
          <w:kern w:val="28"/>
          <w:sz w:val="32"/>
          <w:szCs w:val="32"/>
          <w:lang w:val="en-US" w:eastAsia="zh-CN" w:bidi="ar-SA"/>
        </w:rPr>
        <w:t>预期</w:t>
      </w:r>
      <w:r>
        <w:rPr>
          <w:rFonts w:hint="eastAsia" w:eastAsia="仿宋_GB2312" w:cs="Times New Roman"/>
          <w:b w:val="0"/>
          <w:bCs w:val="0"/>
          <w:kern w:val="28"/>
          <w:sz w:val="32"/>
          <w:szCs w:val="32"/>
          <w:lang w:val="en-US" w:eastAsia="zh-CN" w:bidi="ar-SA"/>
        </w:rPr>
        <w:t>目标</w:t>
      </w:r>
      <w:r>
        <w:rPr>
          <w:rFonts w:hint="default" w:ascii="Times New Roman" w:hAnsi="Times New Roman" w:eastAsia="仿宋_GB2312" w:cs="Times New Roman"/>
          <w:b w:val="0"/>
          <w:bCs w:val="0"/>
          <w:kern w:val="28"/>
          <w:sz w:val="32"/>
          <w:szCs w:val="32"/>
          <w:lang w:val="en-US" w:eastAsia="zh-CN" w:bidi="ar-SA"/>
        </w:rPr>
        <w:t>），从策划方案、宣传力度等方面挖掘原因，为改进提供依据。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 xml:space="preserve"> （5）报告撰写与反馈</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 xml:space="preserve">按照财政部门规范格式，编制《库尔勒民俗文化博物馆免费开放资金项目绩效评价报告》，内容涵盖项目背景、资金使用概况、指标评分结果、典型案例分析（如传统节日活动因创新形式获高参与度）及改进建议（如优化展览宣传渠道）。报告完成后，组织博物馆管理层、项目执行团队及公众代表召开反馈会，听取对资金分配、活动设计等方面的意见，修订完善报告内容，确保评价结论客观、建议可行。 </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（6）后续跟踪与改进</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b w:val="0"/>
          <w:bCs w:val="0"/>
          <w:kern w:val="28"/>
          <w:sz w:val="32"/>
          <w:szCs w:val="32"/>
          <w:lang w:val="en-US" w:eastAsia="zh-CN" w:bidi="ar-SA"/>
        </w:rPr>
      </w:pPr>
      <w:r>
        <w:rPr>
          <w:rFonts w:hint="eastAsia" w:eastAsia="仿宋_GB2312" w:cs="Times New Roman"/>
          <w:b w:val="0"/>
          <w:bCs w:val="0"/>
          <w:kern w:val="28"/>
          <w:sz w:val="32"/>
          <w:szCs w:val="32"/>
          <w:lang w:val="en-US" w:eastAsia="zh-CN" w:bidi="ar-SA"/>
        </w:rPr>
        <w:t>在评价报告提交后，我们</w:t>
      </w:r>
      <w:r>
        <w:rPr>
          <w:rFonts w:hint="default" w:ascii="Times New Roman" w:hAnsi="Times New Roman" w:eastAsia="仿宋_GB2312" w:cs="Times New Roman"/>
          <w:b w:val="0"/>
          <w:bCs w:val="0"/>
          <w:kern w:val="28"/>
          <w:sz w:val="32"/>
          <w:szCs w:val="32"/>
          <w:lang w:val="en-US" w:eastAsia="zh-CN" w:bidi="ar-SA"/>
        </w:rPr>
        <w:t>建立“季度跟踪 - 年度复查”机制，监督改进措施落实：如针对报告提出的“部分活动宣传不足”问题，跟踪博物馆新增宣传渠道的使用效果；定期复核资金使用效率提升方案的执行情况。同时，根据公众文化需求变化、政策调整等因素，动态优化评价指标体系，例如新增“线上展览浏览量”指标以适应数字化发展趋势，持续提升博物馆免费开放服务质量与资金使用效益。</w:t>
      </w:r>
    </w:p>
    <w:p>
      <w:pPr>
        <w:numPr>
          <w:ilvl w:val="0"/>
          <w:numId w:val="4"/>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pPr>
        <w:pStyle w:val="11"/>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eastAsia="仿宋_GB2312" w:cs="Times New Roman"/>
          <w:color w:val="auto"/>
          <w:sz w:val="32"/>
          <w:szCs w:val="32"/>
          <w:highlight w:val="none"/>
          <w:lang w:val="en-US" w:eastAsia="zh-CN"/>
        </w:rPr>
        <w:t>巴财教[2023]67号提前下达2024年国家博物馆纪念馆免费开放补助资金</w:t>
      </w:r>
      <w:r>
        <w:rPr>
          <w:rFonts w:hint="default" w:ascii="Times New Roman" w:hAnsi="Times New Roman" w:eastAsia="仿宋_GB2312" w:cs="Times New Roman"/>
          <w:sz w:val="32"/>
          <w:szCs w:val="32"/>
          <w:highlight w:val="none"/>
          <w:lang w:val="en-US" w:eastAsia="zh-CN"/>
        </w:rPr>
        <w:t>在</w:t>
      </w:r>
      <w:r>
        <w:rPr>
          <w:rFonts w:hint="eastAsia" w:eastAsia="仿宋_GB2312" w:cs="Times New Roman"/>
          <w:color w:val="auto"/>
          <w:sz w:val="32"/>
          <w:szCs w:val="32"/>
          <w:highlight w:val="none"/>
          <w:lang w:val="en-US" w:eastAsia="zh-CN"/>
        </w:rPr>
        <w:t>博物馆场馆设施设备的维护</w:t>
      </w:r>
      <w:r>
        <w:rPr>
          <w:rFonts w:hint="default"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开展中华传统节日活动</w:t>
      </w:r>
      <w:r>
        <w:rPr>
          <w:rFonts w:hint="default" w:ascii="Times New Roman" w:hAnsi="Times New Roman" w:eastAsia="仿宋_GB2312" w:cs="Times New Roman"/>
          <w:sz w:val="32"/>
          <w:szCs w:val="32"/>
          <w:highlight w:val="none"/>
        </w:rPr>
        <w:t>等方面表现出色，达到了预期的标准与要求。同时，项目也在</w:t>
      </w:r>
      <w:r>
        <w:rPr>
          <w:rFonts w:hint="eastAsia" w:eastAsia="仿宋_GB2312" w:cs="Times New Roman"/>
          <w:color w:val="auto"/>
          <w:sz w:val="32"/>
          <w:szCs w:val="32"/>
          <w:highlight w:val="none"/>
          <w:lang w:val="en-US" w:eastAsia="zh-CN"/>
        </w:rPr>
        <w:t>博物馆流动博物馆及陈列展览等方面</w:t>
      </w:r>
      <w:r>
        <w:rPr>
          <w:rFonts w:hint="default" w:ascii="Times New Roman" w:hAnsi="Times New Roman" w:eastAsia="仿宋_GB2312" w:cs="Times New Roman"/>
          <w:sz w:val="32"/>
          <w:szCs w:val="32"/>
          <w:highlight w:val="none"/>
        </w:rPr>
        <w:t>取得了显著的成效，如极大地丰富了</w:t>
      </w:r>
      <w:r>
        <w:rPr>
          <w:rFonts w:hint="eastAsia" w:eastAsia="仿宋_GB2312" w:cs="Times New Roman"/>
          <w:sz w:val="32"/>
          <w:szCs w:val="32"/>
          <w:highlight w:val="none"/>
          <w:lang w:val="en-US" w:eastAsia="zh-CN"/>
        </w:rPr>
        <w:t>群众</w:t>
      </w:r>
      <w:r>
        <w:rPr>
          <w:rFonts w:hint="default" w:ascii="Times New Roman" w:hAnsi="Times New Roman" w:eastAsia="仿宋_GB2312" w:cs="Times New Roman"/>
          <w:sz w:val="32"/>
          <w:szCs w:val="32"/>
          <w:highlight w:val="none"/>
        </w:rPr>
        <w:t>的文化生活，提升了</w:t>
      </w:r>
      <w:r>
        <w:rPr>
          <w:rFonts w:hint="eastAsia" w:eastAsia="仿宋_GB2312" w:cs="Times New Roman"/>
          <w:sz w:val="32"/>
          <w:szCs w:val="32"/>
          <w:highlight w:val="none"/>
          <w:lang w:val="en-US" w:eastAsia="zh-CN"/>
        </w:rPr>
        <w:t>群众</w:t>
      </w:r>
      <w:r>
        <w:rPr>
          <w:rFonts w:hint="default" w:ascii="Times New Roman" w:hAnsi="Times New Roman" w:eastAsia="仿宋_GB2312" w:cs="Times New Roman"/>
          <w:sz w:val="32"/>
          <w:szCs w:val="32"/>
          <w:highlight w:val="none"/>
        </w:rPr>
        <w:t>的文化素养和爱国情怀，社会反响良好等。</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val="en-US" w:eastAsia="zh-CN"/>
        </w:rPr>
        <w:t>库尔勒民俗文化博物馆</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从项目效益的角度来看，本项目实现了预期的社会效益方面产生了积极的影响。具体而言，</w:t>
      </w:r>
      <w:r>
        <w:rPr>
          <w:rFonts w:hint="eastAsia" w:eastAsia="仿宋_GB2312" w:cs="Times New Roman"/>
          <w:sz w:val="32"/>
          <w:szCs w:val="32"/>
          <w:highlight w:val="none"/>
          <w:lang w:val="en-US" w:eastAsia="zh-CN"/>
        </w:rPr>
        <w:t>场馆正常运行率达到100%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博物馆免费开放时长达到300天</w:t>
      </w:r>
      <w:r>
        <w:rPr>
          <w:rFonts w:hint="default" w:ascii="Times New Roman" w:hAnsi="Times New Roman" w:eastAsia="仿宋_GB2312" w:cs="Times New Roman"/>
          <w:sz w:val="32"/>
          <w:szCs w:val="32"/>
          <w:highlight w:val="none"/>
        </w:rPr>
        <w:t>等方面的提升，为项目的利益相关者带来了实实在在的利益。</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default" w:eastAsia="仿宋_GB2312" w:cs="Times New Roman"/>
          <w:color w:val="auto"/>
          <w:sz w:val="32"/>
          <w:szCs w:val="32"/>
          <w:highlight w:val="none"/>
          <w:lang w:val="en-US" w:eastAsia="zh-CN"/>
        </w:rPr>
        <w:t>巴财教[2023]67号提前下达2024年国家博物馆纪念馆免费开放补助资金</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pPr>
        <w:pStyle w:val="11"/>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w:t>
      </w:r>
      <w:r>
        <w:rPr>
          <w:rFonts w:hint="default" w:ascii="Times New Roman" w:hAnsi="Times New Roman" w:eastAsia="仿宋_GB2312" w:cs="Times New Roman"/>
          <w:b w:val="0"/>
          <w:bCs w:val="0"/>
          <w:highlight w:val="none"/>
        </w:rPr>
        <w:t>准，通过数据采集、问卷调查及访谈等方式，对本项目进行客观评价，最终评分结果：总得分为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 xml:space="preserve">分，属于优。其中，项目决策类指标权重为20分，得分为 </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pPr>
        <w:rPr>
          <w:rFonts w:hint="default" w:ascii="Times New Roman" w:hAnsi="Times New Roman" w:eastAsia="仿宋_GB2312" w:cs="Times New Roman"/>
          <w:b w:val="0"/>
          <w:bCs w:val="0"/>
          <w:lang w:eastAsia="zh-CN"/>
        </w:rPr>
      </w:pPr>
    </w:p>
    <w:p>
      <w:pPr>
        <w:pStyle w:val="2"/>
        <w:rPr>
          <w:rFonts w:hint="default" w:ascii="Times New Roman" w:hAnsi="Times New Roman" w:eastAsia="仿宋_GB2312" w:cs="Times New Roman"/>
          <w:b w:val="0"/>
          <w:bCs w:val="0"/>
          <w:lang w:eastAsia="zh-CN"/>
        </w:rPr>
      </w:pPr>
    </w:p>
    <w:p>
      <w:pPr>
        <w:rPr>
          <w:rFonts w:hint="default"/>
          <w:lang w:eastAsia="zh-CN"/>
        </w:rPr>
      </w:pPr>
    </w:p>
    <w:p>
      <w:pPr>
        <w:pStyle w:val="11"/>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5"/>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25"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r>
    </w:tbl>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pPr>
        <w:pStyle w:val="11"/>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w:t>
      </w:r>
      <w:r>
        <w:rPr>
          <w:rFonts w:hint="eastAsia" w:eastAsia="仿宋_GB2312" w:cs="Times New Roman"/>
          <w:sz w:val="32"/>
          <w:szCs w:val="32"/>
          <w:lang w:val="en-US" w:eastAsia="zh-CN"/>
        </w:rPr>
        <w:t>《国家博物馆、纪念馆免费开放专项资金管理暂行办法》</w:t>
      </w:r>
      <w:r>
        <w:rPr>
          <w:rFonts w:hint="default" w:ascii="Times New Roman" w:hAnsi="Times New Roman" w:eastAsia="仿宋_GB2312" w:cs="Times New Roman"/>
          <w:sz w:val="32"/>
          <w:szCs w:val="32"/>
          <w:lang w:val="en-US" w:eastAsia="zh-CN"/>
        </w:rPr>
        <w:t>，符合</w:t>
      </w:r>
      <w:r>
        <w:rPr>
          <w:rFonts w:hint="eastAsia" w:eastAsia="仿宋_GB2312" w:cs="Times New Roman"/>
          <w:sz w:val="32"/>
          <w:szCs w:val="32"/>
          <w:lang w:val="en-US" w:eastAsia="zh-CN"/>
        </w:rPr>
        <w:t>资金补助范围、支出限制和管理原则</w:t>
      </w:r>
      <w:r>
        <w:rPr>
          <w:rFonts w:hint="default" w:ascii="Times New Roman" w:hAnsi="Times New Roman" w:eastAsia="仿宋_GB2312" w:cs="Times New Roman"/>
          <w:sz w:val="32"/>
          <w:szCs w:val="32"/>
          <w:lang w:val="en-US" w:eastAsia="zh-CN"/>
        </w:rPr>
        <w:t>，围绕</w:t>
      </w:r>
      <w:r>
        <w:rPr>
          <w:rFonts w:hint="eastAsia" w:eastAsia="仿宋_GB2312" w:cs="Times New Roman"/>
          <w:sz w:val="32"/>
          <w:szCs w:val="32"/>
          <w:lang w:val="en-US" w:eastAsia="zh-CN"/>
        </w:rPr>
        <w:t>民俗文化博物馆2024年度</w:t>
      </w:r>
      <w:r>
        <w:rPr>
          <w:rFonts w:hint="default" w:ascii="Times New Roman" w:hAnsi="Times New Roman" w:eastAsia="仿宋_GB2312" w:cs="Times New Roman"/>
          <w:sz w:val="32"/>
          <w:szCs w:val="32"/>
          <w:lang w:val="en-US" w:eastAsia="zh-CN"/>
        </w:rPr>
        <w:t>工作重点和工作计划制定经费预算</w:t>
      </w:r>
      <w:r>
        <w:rPr>
          <w:rFonts w:hint="eastAsia" w:eastAsia="仿宋_GB2312" w:cs="Times New Roman"/>
          <w:sz w:val="32"/>
          <w:szCs w:val="32"/>
          <w:lang w:val="en-US" w:eastAsia="zh-CN"/>
        </w:rPr>
        <w:t>；该项目可以吸引更多游客，带动周边餐饮、住宿、交通等相关产业的发展，对本市经济发展具有积极的推动作用。</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w:t>
      </w:r>
      <w:r>
        <w:rPr>
          <w:rFonts w:hint="eastAsia" w:eastAsia="仿宋_GB2312" w:cs="Times New Roman"/>
          <w:sz w:val="32"/>
          <w:szCs w:val="32"/>
          <w:lang w:val="en-US" w:eastAsia="zh-CN"/>
        </w:rPr>
        <w:t>中央补助地方博物馆纪念馆免费开放专项资金的审批流程，准备博物馆自身免费开放的实际需求和发展规划，编制详细的项目申报书，内容涵盖项目背景、目标、实施计划、资金预算等方面。</w:t>
      </w:r>
      <w:r>
        <w:rPr>
          <w:rFonts w:hint="default" w:ascii="Times New Roman" w:hAnsi="Times New Roman" w:eastAsia="仿宋_GB2312" w:cs="Times New Roman"/>
          <w:sz w:val="32"/>
          <w:szCs w:val="32"/>
          <w:lang w:val="en-US" w:eastAsia="zh-CN"/>
        </w:rPr>
        <w:t>根据</w:t>
      </w:r>
      <w:r>
        <w:rPr>
          <w:rFonts w:hint="eastAsia" w:eastAsia="仿宋_GB2312" w:cs="Times New Roman"/>
          <w:sz w:val="32"/>
          <w:szCs w:val="32"/>
          <w:lang w:val="en-US" w:eastAsia="zh-CN"/>
        </w:rPr>
        <w:t>博物馆2024年度</w:t>
      </w:r>
      <w:r>
        <w:rPr>
          <w:rFonts w:hint="default" w:ascii="Times New Roman" w:hAnsi="Times New Roman" w:eastAsia="仿宋_GB2312" w:cs="Times New Roman"/>
          <w:sz w:val="32"/>
          <w:szCs w:val="32"/>
          <w:lang w:val="en-US" w:eastAsia="zh-CN"/>
        </w:rPr>
        <w:t>工作计划和经费预算，经过与</w:t>
      </w:r>
      <w:r>
        <w:rPr>
          <w:rFonts w:hint="eastAsia" w:eastAsia="仿宋_GB2312" w:cs="Times New Roman"/>
          <w:sz w:val="32"/>
          <w:szCs w:val="32"/>
          <w:lang w:val="en-US" w:eastAsia="zh-CN"/>
        </w:rPr>
        <w:t>我馆</w:t>
      </w:r>
      <w:r>
        <w:rPr>
          <w:rFonts w:hint="default" w:ascii="Times New Roman" w:hAnsi="Times New Roman" w:eastAsia="仿宋_GB2312" w:cs="Times New Roman"/>
          <w:sz w:val="32"/>
          <w:szCs w:val="32"/>
          <w:lang w:val="en-US" w:eastAsia="zh-CN"/>
        </w:rPr>
        <w:t>项目分管领导沟通、筛选确定经费预算计划，确定最终预算方案。</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年初结合</w:t>
      </w:r>
      <w:r>
        <w:rPr>
          <w:rFonts w:hint="default" w:ascii="Times New Roman" w:hAnsi="Times New Roman" w:eastAsia="仿宋_GB2312" w:cs="Times New Roman"/>
          <w:kern w:val="2"/>
          <w:sz w:val="32"/>
          <w:szCs w:val="32"/>
          <w:lang w:val="en-US" w:eastAsia="zh-CN" w:bidi="ar-SA"/>
        </w:rPr>
        <w:t>博物馆的实际情况和资源条件来设定</w:t>
      </w:r>
      <w:r>
        <w:rPr>
          <w:rFonts w:hint="eastAsia" w:ascii="Times New Roman" w:hAnsi="Times New Roman" w:eastAsia="仿宋_GB2312" w:cs="Times New Roman"/>
          <w:kern w:val="2"/>
          <w:sz w:val="32"/>
          <w:szCs w:val="32"/>
          <w:lang w:val="en-US" w:eastAsia="zh-CN" w:bidi="ar-SA"/>
        </w:rPr>
        <w:t>绩效目标</w:t>
      </w:r>
      <w:r>
        <w:rPr>
          <w:rFonts w:hint="default" w:ascii="Times New Roman" w:hAnsi="Times New Roman" w:eastAsia="仿宋_GB2312" w:cs="Times New Roman"/>
          <w:kern w:val="2"/>
          <w:sz w:val="32"/>
          <w:szCs w:val="32"/>
          <w:lang w:val="en-US" w:eastAsia="zh-CN" w:bidi="ar-SA"/>
        </w:rPr>
        <w:t>，充分考虑博物馆的场馆规模、人员配备、藏品数量等因素，确保在合理的投入和努力下能够实现</w:t>
      </w:r>
      <w:r>
        <w:rPr>
          <w:rFonts w:hint="eastAsia" w:ascii="Times New Roman" w:hAnsi="Times New Roman" w:eastAsia="仿宋_GB2312" w:cs="Times New Roman"/>
          <w:kern w:val="2"/>
          <w:sz w:val="32"/>
          <w:szCs w:val="32"/>
          <w:lang w:val="en-US" w:eastAsia="zh-CN" w:bidi="ar-SA"/>
        </w:rPr>
        <w:t>；所有目标均围绕资金使用核心需求，与文物保护、展陈优化、教育活动开展等资金投向紧密相关；且明确时间节点，通过阶段性任务分解，保障资金使用进度与目标达成效率相匹配，形成系统、可行的绩效目标体系。</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numPr>
          <w:ilvl w:val="0"/>
          <w:numId w:val="5"/>
        </w:num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绩效指标明确性</w:t>
      </w:r>
    </w:p>
    <w:p>
      <w:pPr>
        <w:pStyle w:val="2"/>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该项目设置了</w:t>
      </w:r>
      <w:r>
        <w:rPr>
          <w:rFonts w:hint="default" w:ascii="Times New Roman" w:hAnsi="Times New Roman" w:eastAsia="仿宋_GB2312" w:cs="Times New Roman"/>
          <w:kern w:val="2"/>
          <w:sz w:val="32"/>
          <w:szCs w:val="32"/>
          <w:lang w:val="en-US" w:eastAsia="zh-CN" w:bidi="ar-SA"/>
        </w:rPr>
        <w:t>博物馆在免费开放过程中要达成的</w:t>
      </w:r>
      <w:r>
        <w:rPr>
          <w:rFonts w:hint="eastAsia" w:ascii="Times New Roman" w:hAnsi="Times New Roman" w:eastAsia="仿宋_GB2312" w:cs="Times New Roman"/>
          <w:kern w:val="2"/>
          <w:sz w:val="32"/>
          <w:szCs w:val="32"/>
          <w:lang w:val="en-US" w:eastAsia="zh-CN" w:bidi="ar-SA"/>
        </w:rPr>
        <w:t>预期</w:t>
      </w:r>
      <w:r>
        <w:rPr>
          <w:rFonts w:hint="default" w:ascii="Times New Roman" w:hAnsi="Times New Roman" w:eastAsia="仿宋_GB2312" w:cs="Times New Roman"/>
          <w:kern w:val="2"/>
          <w:sz w:val="32"/>
          <w:szCs w:val="32"/>
          <w:lang w:val="en-US" w:eastAsia="zh-CN" w:bidi="ar-SA"/>
        </w:rPr>
        <w:t>成果，如特定的展览主题、教育活动的类型等</w:t>
      </w:r>
      <w:r>
        <w:rPr>
          <w:rFonts w:hint="eastAsia" w:ascii="Times New Roman" w:hAnsi="Times New Roman" w:eastAsia="仿宋_GB2312" w:cs="Times New Roman"/>
          <w:kern w:val="2"/>
          <w:sz w:val="32"/>
          <w:szCs w:val="32"/>
          <w:lang w:val="en-US" w:eastAsia="zh-CN" w:bidi="ar-SA"/>
        </w:rPr>
        <w:t>；绩效</w:t>
      </w:r>
      <w:r>
        <w:rPr>
          <w:rFonts w:hint="default" w:ascii="Times New Roman" w:hAnsi="Times New Roman" w:eastAsia="仿宋_GB2312" w:cs="Times New Roman"/>
          <w:kern w:val="2"/>
          <w:sz w:val="32"/>
          <w:szCs w:val="32"/>
          <w:lang w:val="en-US" w:eastAsia="zh-CN" w:bidi="ar-SA"/>
        </w:rPr>
        <w:t>目标可量化，以便于考核和评估。例如，设定观众接待量、展览更新次数、公共教育活动参与人数等具体指标，并明确相应的数量或比例要求</w:t>
      </w:r>
      <w:r>
        <w:rPr>
          <w:rFonts w:hint="eastAsia" w:ascii="Times New Roman" w:hAnsi="Times New Roman" w:eastAsia="仿宋_GB2312" w:cs="Times New Roman"/>
          <w:kern w:val="2"/>
          <w:sz w:val="32"/>
          <w:szCs w:val="32"/>
          <w:lang w:val="en-US" w:eastAsia="zh-CN" w:bidi="ar-SA"/>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此项权重分值为3分，得分为3分。</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该项目的</w:t>
      </w:r>
      <w:r>
        <w:rPr>
          <w:rFonts w:hint="default" w:ascii="Times New Roman" w:hAnsi="Times New Roman" w:eastAsia="仿宋_GB2312" w:cs="Times New Roman"/>
          <w:kern w:val="2"/>
          <w:sz w:val="32"/>
          <w:szCs w:val="32"/>
          <w:highlight w:val="none"/>
          <w:lang w:val="en-US" w:eastAsia="zh-CN" w:bidi="ar-SA"/>
        </w:rPr>
        <w:t>预算编制全面涵盖博物馆免费开放的核心支出，包括人员</w:t>
      </w:r>
      <w:r>
        <w:rPr>
          <w:rFonts w:hint="eastAsia" w:ascii="Times New Roman" w:hAnsi="Times New Roman" w:eastAsia="仿宋_GB2312" w:cs="Times New Roman"/>
          <w:kern w:val="2"/>
          <w:sz w:val="32"/>
          <w:szCs w:val="32"/>
          <w:highlight w:val="none"/>
          <w:lang w:val="en-US" w:eastAsia="zh-CN" w:bidi="ar-SA"/>
        </w:rPr>
        <w:t>类指出</w:t>
      </w:r>
      <w:r>
        <w:rPr>
          <w:rFonts w:hint="default" w:ascii="Times New Roman" w:hAnsi="Times New Roman" w:eastAsia="仿宋_GB2312" w:cs="Times New Roman"/>
          <w:kern w:val="2"/>
          <w:sz w:val="32"/>
          <w:szCs w:val="32"/>
          <w:highlight w:val="none"/>
          <w:lang w:val="en-US" w:eastAsia="zh-CN" w:bidi="ar-SA"/>
        </w:rPr>
        <w:t>、文物保护、展览策划、</w:t>
      </w:r>
      <w:r>
        <w:rPr>
          <w:rFonts w:hint="eastAsia" w:ascii="Times New Roman" w:hAnsi="Times New Roman" w:eastAsia="仿宋_GB2312" w:cs="Times New Roman"/>
          <w:kern w:val="2"/>
          <w:sz w:val="32"/>
          <w:szCs w:val="32"/>
          <w:highlight w:val="none"/>
          <w:lang w:val="en-US" w:eastAsia="zh-CN" w:bidi="ar-SA"/>
        </w:rPr>
        <w:t>设施</w:t>
      </w:r>
      <w:r>
        <w:rPr>
          <w:rFonts w:hint="default" w:ascii="Times New Roman" w:hAnsi="Times New Roman" w:eastAsia="仿宋_GB2312" w:cs="Times New Roman"/>
          <w:kern w:val="2"/>
          <w:sz w:val="32"/>
          <w:szCs w:val="32"/>
          <w:highlight w:val="none"/>
          <w:lang w:val="en-US" w:eastAsia="zh-CN" w:bidi="ar-SA"/>
        </w:rPr>
        <w:t>设备维护、公共教育等</w:t>
      </w:r>
      <w:r>
        <w:rPr>
          <w:rFonts w:hint="eastAsia"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CN" w:bidi="ar-SA"/>
        </w:rPr>
        <w:t>以历史运营数据为基础，结合行业标准和物价波动，科学测算资金需求</w:t>
      </w:r>
      <w:r>
        <w:rPr>
          <w:rFonts w:hint="eastAsia" w:ascii="Times New Roman" w:hAnsi="Times New Roman" w:eastAsia="仿宋_GB2312" w:cs="Times New Roman"/>
          <w:kern w:val="2"/>
          <w:sz w:val="32"/>
          <w:szCs w:val="32"/>
          <w:highlight w:val="none"/>
          <w:lang w:val="en-US" w:eastAsia="zh-CN" w:bidi="ar-SA"/>
        </w:rPr>
        <w:t>，注重了成本控制与效益最大化的原则；</w:t>
      </w:r>
      <w:r>
        <w:rPr>
          <w:rFonts w:hint="default" w:ascii="Times New Roman" w:hAnsi="Times New Roman" w:eastAsia="仿宋_GB2312" w:cs="Times New Roman"/>
          <w:kern w:val="2"/>
          <w:sz w:val="32"/>
          <w:szCs w:val="32"/>
          <w:highlight w:val="none"/>
          <w:lang w:val="en-US" w:eastAsia="zh-CN" w:bidi="ar-SA"/>
        </w:rPr>
        <w:t>引入财务专家、文博行业专家对预算进行评审，结合博物馆实际运营能力，评估预算的可行性与合理性。此外，吸纳一线工作人员参与，确保预算符合实际操作需求，避免“纸上谈兵”。</w:t>
      </w:r>
    </w:p>
    <w:p>
      <w:pPr>
        <w:shd w:val="clear"/>
        <w:spacing w:line="600" w:lineRule="exact"/>
        <w:ind w:firstLine="640" w:firstLineChars="200"/>
        <w:outlineLvl w:val="0"/>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lang w:val="en-US" w:eastAsia="zh-CN"/>
        </w:rPr>
        <w:t>此项权重分值为4分，得分为4分。</w:t>
      </w:r>
    </w:p>
    <w:p>
      <w:pPr>
        <w:numPr>
          <w:ilvl w:val="0"/>
          <w:numId w:val="0"/>
        </w:numPr>
        <w:shd w:val="clear"/>
        <w:spacing w:line="600" w:lineRule="exact"/>
        <w:ind w:leftChars="200"/>
        <w:outlineLvl w:val="0"/>
        <w:rPr>
          <w:rFonts w:hint="default"/>
          <w:lang w:val="en-US" w:eastAsia="zh-CN"/>
        </w:rPr>
      </w:pPr>
      <w:r>
        <w:rPr>
          <w:rFonts w:hint="default" w:ascii="Times New Roman" w:hAnsi="Times New Roman" w:eastAsia="仿宋_GB2312" w:cs="Times New Roman"/>
          <w:sz w:val="32"/>
          <w:szCs w:val="32"/>
          <w:lang w:val="en-US" w:eastAsia="zh-CN"/>
        </w:rPr>
        <w:t>（</w:t>
      </w:r>
      <w:r>
        <w:rPr>
          <w:rFonts w:hint="eastAsia"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highlight w:val="none"/>
          <w:lang w:val="en-US" w:eastAsia="zh-CN"/>
        </w:rPr>
        <w:t>资金分配合理性</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lang w:val="en-US" w:eastAsia="zh-CN"/>
        </w:rPr>
      </w:pPr>
      <w:r>
        <w:rPr>
          <w:rFonts w:hint="eastAsia" w:ascii="Times New Roman" w:hAnsi="Times New Roman" w:eastAsia="仿宋_GB2312" w:cs="Times New Roman"/>
          <w:kern w:val="2"/>
          <w:sz w:val="32"/>
          <w:szCs w:val="32"/>
          <w:highlight w:val="none"/>
          <w:lang w:val="en-US" w:eastAsia="zh-CN" w:bidi="ar-SA"/>
        </w:rPr>
        <w:t>该项目</w:t>
      </w:r>
      <w:r>
        <w:rPr>
          <w:rFonts w:hint="default" w:ascii="Times New Roman" w:hAnsi="Times New Roman" w:eastAsia="仿宋_GB2312" w:cs="Times New Roman"/>
          <w:kern w:val="2"/>
          <w:sz w:val="32"/>
          <w:szCs w:val="32"/>
          <w:highlight w:val="none"/>
          <w:lang w:val="en-US" w:eastAsia="zh-CN" w:bidi="ar-SA"/>
        </w:rPr>
        <w:t>根据博物馆的规模、服务人口数量</w:t>
      </w:r>
      <w:r>
        <w:rPr>
          <w:rFonts w:hint="eastAsia"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CN" w:bidi="ar-SA"/>
        </w:rPr>
        <w:t>运营成本差异，实施差异化分配</w:t>
      </w:r>
      <w:r>
        <w:rPr>
          <w:rFonts w:hint="eastAsia"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CN" w:bidi="ar-SA"/>
        </w:rPr>
        <w:t>提升资源利用效率</w:t>
      </w:r>
      <w:r>
        <w:rPr>
          <w:rFonts w:hint="eastAsia" w:ascii="Times New Roman" w:hAnsi="Times New Roman" w:eastAsia="仿宋_GB2312" w:cs="Times New Roman"/>
          <w:kern w:val="2"/>
          <w:sz w:val="32"/>
          <w:szCs w:val="32"/>
          <w:highlight w:val="none"/>
          <w:lang w:val="en-US" w:eastAsia="zh-CN" w:bidi="ar-SA"/>
        </w:rPr>
        <w:t>；本项目的资金分配</w:t>
      </w:r>
      <w:r>
        <w:rPr>
          <w:rFonts w:hint="default" w:ascii="Times New Roman" w:hAnsi="Times New Roman" w:eastAsia="仿宋_GB2312" w:cs="Times New Roman"/>
          <w:sz w:val="32"/>
          <w:szCs w:val="32"/>
          <w:highlight w:val="none"/>
          <w:lang w:eastAsia="zh-CN"/>
        </w:rPr>
        <w:t>遵循了公平、公正、透明的原则</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我们把</w:t>
      </w:r>
      <w:r>
        <w:rPr>
          <w:rFonts w:hint="default" w:ascii="Times New Roman" w:hAnsi="Times New Roman" w:eastAsia="仿宋_GB2312" w:cs="Times New Roman"/>
          <w:kern w:val="2"/>
          <w:sz w:val="32"/>
          <w:szCs w:val="32"/>
          <w:highlight w:val="none"/>
          <w:lang w:val="en-US" w:eastAsia="zh-CN" w:bidi="ar-SA"/>
        </w:rPr>
        <w:t>资金分配方案向社会公开，接受</w:t>
      </w:r>
      <w:r>
        <w:rPr>
          <w:rFonts w:hint="eastAsia" w:ascii="Times New Roman" w:hAnsi="Times New Roman" w:eastAsia="仿宋_GB2312" w:cs="Times New Roman"/>
          <w:kern w:val="2"/>
          <w:sz w:val="32"/>
          <w:szCs w:val="32"/>
          <w:highlight w:val="none"/>
          <w:lang w:val="en-US" w:eastAsia="zh-CN" w:bidi="ar-SA"/>
        </w:rPr>
        <w:t>了</w:t>
      </w:r>
      <w:r>
        <w:rPr>
          <w:rFonts w:hint="default" w:ascii="Times New Roman" w:hAnsi="Times New Roman" w:eastAsia="仿宋_GB2312" w:cs="Times New Roman"/>
          <w:kern w:val="2"/>
          <w:sz w:val="32"/>
          <w:szCs w:val="32"/>
          <w:highlight w:val="none"/>
          <w:lang w:val="en-US" w:eastAsia="zh-CN" w:bidi="ar-SA"/>
        </w:rPr>
        <w:t>公众监督，并建立财政、审计、文化部门联合审查机制，确保分配过程无暗箱操作。</w:t>
      </w:r>
      <w:r>
        <w:rPr>
          <w:rFonts w:hint="eastAsia" w:ascii="Times New Roman" w:hAnsi="Times New Roman" w:eastAsia="仿宋_GB2312" w:cs="Times New Roman"/>
          <w:kern w:val="2"/>
          <w:sz w:val="32"/>
          <w:szCs w:val="32"/>
          <w:highlight w:val="none"/>
          <w:lang w:val="en-US" w:eastAsia="zh-CN" w:bidi="ar-SA"/>
        </w:rPr>
        <w:t>此外</w:t>
      </w:r>
      <w:r>
        <w:rPr>
          <w:rFonts w:hint="default" w:ascii="Times New Roman" w:hAnsi="Times New Roman"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CN" w:bidi="ar-SA"/>
        </w:rPr>
        <w:t>我们</w:t>
      </w:r>
      <w:r>
        <w:rPr>
          <w:rFonts w:hint="default" w:ascii="Times New Roman" w:hAnsi="Times New Roman" w:eastAsia="仿宋_GB2312" w:cs="Times New Roman"/>
          <w:kern w:val="2"/>
          <w:sz w:val="32"/>
          <w:szCs w:val="32"/>
          <w:highlight w:val="none"/>
          <w:lang w:val="en-US" w:eastAsia="zh-CN" w:bidi="ar-SA"/>
        </w:rPr>
        <w:t>定期开展</w:t>
      </w:r>
      <w:r>
        <w:rPr>
          <w:rFonts w:hint="eastAsia" w:ascii="Times New Roman" w:hAnsi="Times New Roman" w:eastAsia="仿宋_GB2312" w:cs="Times New Roman"/>
          <w:kern w:val="2"/>
          <w:sz w:val="32"/>
          <w:szCs w:val="32"/>
          <w:highlight w:val="none"/>
          <w:lang w:val="en-US" w:eastAsia="zh-CN" w:bidi="ar-SA"/>
        </w:rPr>
        <w:t>了本项目</w:t>
      </w:r>
      <w:r>
        <w:rPr>
          <w:rFonts w:hint="default" w:ascii="Times New Roman" w:hAnsi="Times New Roman" w:eastAsia="仿宋_GB2312" w:cs="Times New Roman"/>
          <w:kern w:val="2"/>
          <w:sz w:val="32"/>
          <w:szCs w:val="32"/>
          <w:highlight w:val="none"/>
          <w:lang w:val="en-US" w:eastAsia="zh-CN" w:bidi="ar-SA"/>
        </w:rPr>
        <w:t>资金</w:t>
      </w:r>
      <w:r>
        <w:rPr>
          <w:rFonts w:hint="eastAsia" w:ascii="Times New Roman" w:hAnsi="Times New Roman" w:eastAsia="仿宋_GB2312" w:cs="Times New Roman"/>
          <w:kern w:val="2"/>
          <w:sz w:val="32"/>
          <w:szCs w:val="32"/>
          <w:highlight w:val="none"/>
          <w:lang w:val="en-US" w:eastAsia="zh-CN" w:bidi="ar-SA"/>
        </w:rPr>
        <w:t>的</w:t>
      </w:r>
      <w:r>
        <w:rPr>
          <w:rFonts w:hint="default" w:ascii="Times New Roman" w:hAnsi="Times New Roman" w:eastAsia="仿宋_GB2312" w:cs="Times New Roman"/>
          <w:kern w:val="2"/>
          <w:sz w:val="32"/>
          <w:szCs w:val="32"/>
          <w:highlight w:val="none"/>
          <w:lang w:val="en-US" w:eastAsia="zh-CN" w:bidi="ar-SA"/>
        </w:rPr>
        <w:t>使用</w:t>
      </w:r>
      <w:r>
        <w:rPr>
          <w:rFonts w:hint="eastAsia" w:ascii="Times New Roman" w:hAnsi="Times New Roman" w:eastAsia="仿宋_GB2312" w:cs="Times New Roman"/>
          <w:kern w:val="2"/>
          <w:sz w:val="32"/>
          <w:szCs w:val="32"/>
          <w:highlight w:val="none"/>
          <w:lang w:val="en-US" w:eastAsia="zh-CN" w:bidi="ar-SA"/>
        </w:rPr>
        <w:t>情况</w:t>
      </w:r>
      <w:r>
        <w:rPr>
          <w:rFonts w:hint="default" w:ascii="Times New Roman" w:hAnsi="Times New Roman" w:eastAsia="仿宋_GB2312" w:cs="Times New Roman"/>
          <w:kern w:val="2"/>
          <w:sz w:val="32"/>
          <w:szCs w:val="32"/>
          <w:highlight w:val="none"/>
          <w:lang w:val="en-US" w:eastAsia="zh-CN" w:bidi="ar-SA"/>
        </w:rPr>
        <w:t>审计，及时纠正不合理分配行为，保障资金流向符合公共文化服务宗旨。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lang w:val="en-US" w:eastAsia="zh-CN"/>
        </w:rPr>
        <w:t>此项权重分值为4分，得分为4分。</w:t>
      </w:r>
    </w:p>
    <w:p>
      <w:pPr>
        <w:pStyle w:val="11"/>
        <w:numPr>
          <w:ilvl w:val="0"/>
          <w:numId w:val="6"/>
        </w:numPr>
        <w:spacing w:before="0" w:after="0" w:line="560" w:lineRule="exact"/>
        <w:ind w:left="-13" w:leftChars="0" w:firstLine="643" w:firstLineChars="0"/>
        <w:jc w:val="both"/>
        <w:rPr>
          <w:rFonts w:hint="default" w:ascii="Times New Roman" w:hAnsi="Times New Roman" w:eastAsia="楷体" w:cs="Times New Roman"/>
        </w:rPr>
      </w:pPr>
      <w:r>
        <w:rPr>
          <w:rFonts w:hint="default" w:ascii="Times New Roman" w:hAnsi="Times New Roman" w:eastAsia="楷体" w:cs="Times New Roman"/>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30</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30</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numPr>
          <w:ilvl w:val="0"/>
          <w:numId w:val="0"/>
        </w:numPr>
        <w:shd w:val="clear"/>
        <w:spacing w:line="600" w:lineRule="exact"/>
        <w:ind w:leftChars="200"/>
        <w:outlineLvl w:val="0"/>
        <w:rPr>
          <w:rFonts w:hint="default"/>
          <w:lang w:val="en-US" w:eastAsia="zh-CN"/>
        </w:rPr>
      </w:pPr>
      <w:r>
        <w:rPr>
          <w:rFonts w:hint="default" w:ascii="Times New Roman" w:hAnsi="Times New Roman" w:eastAsia="仿宋_GB2312" w:cs="Times New Roman"/>
          <w:sz w:val="32"/>
          <w:szCs w:val="32"/>
          <w:lang w:val="en-US" w:eastAsia="zh-CN"/>
        </w:rPr>
        <w:t>（2）资金使用合规性</w:t>
      </w:r>
    </w:p>
    <w:p>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eastAsia" w:ascii="Times New Roman" w:hAnsi="Times New Roman" w:eastAsia="仿宋_GB2312" w:cs="Times New Roman"/>
          <w:kern w:val="2"/>
          <w:sz w:val="32"/>
          <w:szCs w:val="32"/>
          <w:highlight w:val="none"/>
          <w:lang w:val="en-US" w:eastAsia="zh-CN" w:bidi="ar-SA"/>
        </w:rPr>
        <w:t>本项目的资金</w:t>
      </w:r>
      <w:r>
        <w:rPr>
          <w:rFonts w:hint="default" w:ascii="Times New Roman" w:hAnsi="Times New Roman" w:eastAsia="仿宋_GB2312" w:cs="Times New Roman"/>
          <w:kern w:val="2"/>
          <w:sz w:val="32"/>
          <w:szCs w:val="32"/>
          <w:highlight w:val="none"/>
          <w:lang w:val="en-US" w:eastAsia="zh-CN" w:bidi="ar-SA"/>
        </w:rPr>
        <w:t>严格遵守《中华人民共和国预算法》</w:t>
      </w:r>
      <w:r>
        <w:rPr>
          <w:rFonts w:hint="eastAsia"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CN" w:bidi="ar-SA"/>
        </w:rPr>
        <w:t>《行政事业单位内部控制规范》等法律法规，建立健全博物馆内部财务管理制度，确保资金申请、审批、拨付、使用全流程符合法定程序</w:t>
      </w:r>
      <w:r>
        <w:rPr>
          <w:rFonts w:hint="eastAsia" w:ascii="Times New Roman" w:hAnsi="Times New Roman" w:eastAsia="仿宋_GB2312" w:cs="Times New Roman"/>
          <w:kern w:val="2"/>
          <w:sz w:val="32"/>
          <w:szCs w:val="32"/>
          <w:highlight w:val="none"/>
          <w:lang w:val="en-US" w:eastAsia="zh-CN" w:bidi="ar-SA"/>
        </w:rPr>
        <w:t>；根据</w:t>
      </w:r>
      <w:r>
        <w:rPr>
          <w:rFonts w:hint="default" w:ascii="Times New Roman" w:hAnsi="Times New Roman" w:eastAsia="仿宋_GB2312" w:cs="Times New Roman"/>
          <w:kern w:val="2"/>
          <w:sz w:val="32"/>
          <w:szCs w:val="32"/>
          <w:highlight w:val="none"/>
          <w:lang w:val="en-US" w:eastAsia="zh-CN" w:bidi="ar-SA"/>
        </w:rPr>
        <w:t>《中央补助地方博物馆纪念馆免费开放专项资金管理暂行办法》及地方配套细则，规范资金使用，明确人员经费、文物保护、展览维护等各项支出的比例与标准，严禁超范围列支</w:t>
      </w:r>
      <w:r>
        <w:rPr>
          <w:rFonts w:hint="eastAsia" w:ascii="Times New Roman" w:hAnsi="Times New Roman" w:eastAsia="仿宋_GB2312" w:cs="Times New Roman"/>
          <w:kern w:val="2"/>
          <w:sz w:val="32"/>
          <w:szCs w:val="32"/>
          <w:highlight w:val="none"/>
          <w:lang w:val="en-US" w:eastAsia="zh-CN" w:bidi="ar-SA"/>
        </w:rPr>
        <w:t>；本项目</w:t>
      </w:r>
      <w:r>
        <w:rPr>
          <w:rFonts w:hint="default" w:ascii="Times New Roman" w:hAnsi="Times New Roman" w:eastAsia="仿宋_GB2312" w:cs="Times New Roman"/>
          <w:kern w:val="2"/>
          <w:sz w:val="32"/>
          <w:szCs w:val="32"/>
          <w:highlight w:val="none"/>
          <w:lang w:val="en-US" w:eastAsia="zh-CN" w:bidi="ar-SA"/>
        </w:rPr>
        <w:t>资金单独核算、专款专用，严禁与其他资金混用，不得截留、挪用或用于偿还债务、对外投资等非指定用途</w:t>
      </w:r>
      <w:r>
        <w:rPr>
          <w:rFonts w:hint="eastAsia"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CN" w:bidi="ar-SA"/>
        </w:rPr>
        <w:t>通过国库集中支付、政府采购等方式，实现</w:t>
      </w:r>
      <w:r>
        <w:rPr>
          <w:rFonts w:hint="eastAsia" w:ascii="Times New Roman" w:hAnsi="Times New Roman" w:eastAsia="仿宋_GB2312" w:cs="Times New Roman"/>
          <w:kern w:val="2"/>
          <w:sz w:val="32"/>
          <w:szCs w:val="32"/>
          <w:highlight w:val="none"/>
          <w:lang w:val="en-US" w:eastAsia="zh-CN" w:bidi="ar-SA"/>
        </w:rPr>
        <w:t>了</w:t>
      </w:r>
      <w:r>
        <w:rPr>
          <w:rFonts w:hint="default" w:ascii="Times New Roman" w:hAnsi="Times New Roman" w:eastAsia="仿宋_GB2312" w:cs="Times New Roman"/>
          <w:kern w:val="2"/>
          <w:sz w:val="32"/>
          <w:szCs w:val="32"/>
          <w:highlight w:val="none"/>
          <w:lang w:val="en-US" w:eastAsia="zh-CN" w:bidi="ar-SA"/>
        </w:rPr>
        <w:t>资金从拨付到使用的闭环管理</w:t>
      </w:r>
      <w:r>
        <w:rPr>
          <w:rFonts w:hint="eastAsia"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CN" w:bidi="ar-SA"/>
        </w:rPr>
        <w:t>对大额资金支出、设备采购等关键环节，严格执行集体决策、公开招标等制度，留存合同、验收报告等凭证，确保支出合法合规</w:t>
      </w:r>
      <w:r>
        <w:rPr>
          <w:rFonts w:hint="eastAsia"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CN" w:bidi="ar-SA"/>
        </w:rPr>
        <w:t>按规定向社会公开</w:t>
      </w:r>
      <w:r>
        <w:rPr>
          <w:rFonts w:hint="eastAsia" w:ascii="Times New Roman" w:hAnsi="Times New Roman" w:eastAsia="仿宋_GB2312" w:cs="Times New Roman"/>
          <w:kern w:val="2"/>
          <w:sz w:val="32"/>
          <w:szCs w:val="32"/>
          <w:highlight w:val="none"/>
          <w:lang w:val="en-US" w:eastAsia="zh-CN" w:bidi="ar-SA"/>
        </w:rPr>
        <w:t>了</w:t>
      </w:r>
      <w:r>
        <w:rPr>
          <w:rFonts w:hint="default" w:ascii="Times New Roman" w:hAnsi="Times New Roman" w:eastAsia="仿宋_GB2312" w:cs="Times New Roman"/>
          <w:kern w:val="2"/>
          <w:sz w:val="32"/>
          <w:szCs w:val="32"/>
          <w:highlight w:val="none"/>
          <w:lang w:val="en-US" w:eastAsia="zh-CN" w:bidi="ar-SA"/>
        </w:rPr>
        <w:t>项目实施进展及绩效成果，接受公众监督，增强资金使用透明度</w:t>
      </w:r>
      <w:r>
        <w:rPr>
          <w:rFonts w:hint="eastAsia"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CN" w:bidi="ar-SA"/>
        </w:rPr>
        <w:t>主动接受财政、审计部门的专项检查与绩效评价，对发现的问题及时整改，确保资金使用符合规范要求。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lang w:val="en-US" w:eastAsia="zh-CN"/>
        </w:rPr>
        <w:t>此项权重分值为4分，得分为4分。</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pPr>
        <w:pStyle w:val="2"/>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 xml:space="preserve"> </w:t>
      </w:r>
      <w:r>
        <w:rPr>
          <w:rFonts w:hint="eastAsia" w:ascii="Times New Roman" w:hAnsi="Times New Roman" w:eastAsia="仿宋_GB2312" w:cs="Times New Roman"/>
          <w:kern w:val="2"/>
          <w:sz w:val="32"/>
          <w:szCs w:val="32"/>
          <w:highlight w:val="none"/>
          <w:lang w:val="en-US" w:eastAsia="zh-CN" w:bidi="ar-SA"/>
        </w:rPr>
        <w:t xml:space="preserve"> </w:t>
      </w:r>
      <w:r>
        <w:rPr>
          <w:rFonts w:hint="eastAsia" w:eastAsia="仿宋_GB2312" w:cs="Times New Roman"/>
          <w:sz w:val="32"/>
          <w:szCs w:val="32"/>
          <w:highlight w:val="none"/>
          <w:lang w:val="en-US" w:eastAsia="zh-CN"/>
        </w:rPr>
        <w:t>该</w:t>
      </w:r>
      <w:r>
        <w:rPr>
          <w:rFonts w:hint="default" w:ascii="Times New Roman" w:hAnsi="Times New Roman" w:eastAsia="仿宋_GB2312" w:cs="Times New Roman"/>
          <w:sz w:val="32"/>
          <w:szCs w:val="32"/>
          <w:highlight w:val="none"/>
          <w:lang w:eastAsia="zh-CN"/>
        </w:rPr>
        <w:t>项目</w:t>
      </w:r>
      <w:r>
        <w:rPr>
          <w:rFonts w:hint="default" w:ascii="Times New Roman" w:hAnsi="Times New Roman" w:eastAsia="仿宋_GB2312" w:cs="Times New Roman"/>
          <w:kern w:val="2"/>
          <w:sz w:val="32"/>
          <w:szCs w:val="32"/>
          <w:highlight w:val="none"/>
          <w:lang w:val="en-US" w:eastAsia="zh-CN" w:bidi="ar-SA"/>
        </w:rPr>
        <w:t>依据国家《博物馆条例》《中央补助地方博物馆免费开放专项资金管理办法》等政策文件，</w:t>
      </w:r>
      <w:r>
        <w:rPr>
          <w:rFonts w:hint="default" w:ascii="Times New Roman" w:hAnsi="Times New Roman" w:eastAsia="仿宋_GB2312" w:cs="Times New Roman"/>
          <w:sz w:val="32"/>
          <w:szCs w:val="32"/>
          <w:highlight w:val="none"/>
          <w:lang w:eastAsia="zh-CN"/>
        </w:rPr>
        <w:t>拥有一套完善、健全的</w:t>
      </w:r>
      <w:r>
        <w:rPr>
          <w:rFonts w:hint="eastAsia" w:eastAsia="仿宋_GB2312" w:cs="Times New Roman"/>
          <w:sz w:val="32"/>
          <w:szCs w:val="32"/>
          <w:highlight w:val="none"/>
          <w:lang w:val="en-US" w:eastAsia="zh-CN"/>
        </w:rPr>
        <w:t>博物馆免费开放专项资金</w:t>
      </w:r>
      <w:r>
        <w:rPr>
          <w:rFonts w:hint="default" w:ascii="Times New Roman" w:hAnsi="Times New Roman" w:eastAsia="仿宋_GB2312" w:cs="Times New Roman"/>
          <w:sz w:val="32"/>
          <w:szCs w:val="32"/>
          <w:highlight w:val="none"/>
          <w:lang w:eastAsia="zh-CN"/>
        </w:rPr>
        <w:t>管理制度体系，为项目的成功实施提供了坚实的制度保障</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项目管理制度</w:t>
      </w:r>
      <w:r>
        <w:rPr>
          <w:rFonts w:hint="default" w:ascii="Times New Roman" w:hAnsi="Times New Roman" w:eastAsia="仿宋_GB2312" w:cs="Times New Roman"/>
          <w:kern w:val="2"/>
          <w:sz w:val="32"/>
          <w:szCs w:val="32"/>
          <w:highlight w:val="none"/>
          <w:lang w:val="en-US" w:eastAsia="zh-CN" w:bidi="ar-SA"/>
        </w:rPr>
        <w:t>结合</w:t>
      </w:r>
      <w:r>
        <w:rPr>
          <w:rFonts w:hint="eastAsia" w:ascii="Times New Roman" w:hAnsi="Times New Roman" w:eastAsia="仿宋_GB2312" w:cs="Times New Roman"/>
          <w:kern w:val="2"/>
          <w:sz w:val="32"/>
          <w:szCs w:val="32"/>
          <w:highlight w:val="none"/>
          <w:lang w:val="en-US" w:eastAsia="zh-CN" w:bidi="ar-SA"/>
        </w:rPr>
        <w:t>了</w:t>
      </w:r>
      <w:r>
        <w:rPr>
          <w:rFonts w:hint="default" w:ascii="Times New Roman" w:hAnsi="Times New Roman" w:eastAsia="仿宋_GB2312" w:cs="Times New Roman"/>
          <w:kern w:val="2"/>
          <w:sz w:val="32"/>
          <w:szCs w:val="32"/>
          <w:highlight w:val="none"/>
          <w:lang w:val="en-US" w:eastAsia="zh-CN" w:bidi="ar-SA"/>
        </w:rPr>
        <w:t>地方实际制定实施细则，明确资金使用方向、补助标准、管理职责等。</w:t>
      </w:r>
      <w:r>
        <w:rPr>
          <w:rFonts w:hint="eastAsia" w:eastAsia="仿宋_GB2312" w:cs="Times New Roman"/>
          <w:sz w:val="32"/>
          <w:szCs w:val="32"/>
          <w:highlight w:val="none"/>
          <w:lang w:val="en-US" w:eastAsia="zh-CN"/>
        </w:rPr>
        <w:t>项目管理制度</w:t>
      </w:r>
      <w:r>
        <w:rPr>
          <w:rFonts w:hint="default" w:ascii="Times New Roman" w:hAnsi="Times New Roman" w:eastAsia="仿宋_GB2312" w:cs="Times New Roman"/>
          <w:kern w:val="2"/>
          <w:sz w:val="32"/>
          <w:szCs w:val="32"/>
          <w:highlight w:val="none"/>
          <w:lang w:val="en-US" w:eastAsia="zh-CN" w:bidi="ar-SA"/>
        </w:rPr>
        <w:t>涵盖资金申请、审批、拨付、使用、监督、绩效评价等环节，确保资金管理无盲区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sz w:val="32"/>
          <w:szCs w:val="32"/>
          <w:highlight w:val="none"/>
          <w:lang w:eastAsia="zh-CN"/>
        </w:rPr>
        <w:t>在制度设计上，我们</w:t>
      </w:r>
      <w:r>
        <w:rPr>
          <w:rFonts w:hint="eastAsia" w:eastAsia="仿宋_GB2312" w:cs="Times New Roman"/>
          <w:sz w:val="32"/>
          <w:szCs w:val="32"/>
          <w:highlight w:val="none"/>
          <w:lang w:val="en-US" w:eastAsia="zh-CN"/>
        </w:rPr>
        <w:t>明确了</w:t>
      </w:r>
      <w:r>
        <w:rPr>
          <w:rFonts w:hint="default" w:ascii="Times New Roman" w:hAnsi="Times New Roman" w:eastAsia="仿宋_GB2312" w:cs="Times New Roman"/>
          <w:sz w:val="32"/>
          <w:szCs w:val="32"/>
          <w:highlight w:val="none"/>
          <w:lang w:eastAsia="zh-CN"/>
        </w:rPr>
        <w:t>资金使用范围</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清晰界定资金可用于的具体项目和领域，如展览策划与布置、文物保护与修复、设备购置与维护、人员培训、公共教育活动开展等，确保资金专款专用，防止挪作他用</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资金管理制度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kern w:val="2"/>
          <w:sz w:val="32"/>
          <w:szCs w:val="32"/>
          <w:highlight w:val="none"/>
          <w:lang w:val="en-US" w:eastAsia="zh-CN" w:bidi="ar-SA"/>
        </w:rPr>
        <w:t xml:space="preserve"> </w:t>
      </w:r>
      <w:r>
        <w:rPr>
          <w:rFonts w:hint="eastAsia" w:ascii="Times New Roman" w:hAnsi="Times New Roman" w:eastAsia="仿宋_GB2312" w:cs="Times New Roman"/>
          <w:kern w:val="2"/>
          <w:sz w:val="32"/>
          <w:szCs w:val="32"/>
          <w:highlight w:val="none"/>
          <w:lang w:val="en-US" w:eastAsia="zh-CN" w:bidi="ar-SA"/>
        </w:rPr>
        <w:t>此外，</w:t>
      </w:r>
      <w:r>
        <w:rPr>
          <w:rFonts w:hint="default" w:ascii="Times New Roman" w:hAnsi="Times New Roman" w:eastAsia="仿宋_GB2312" w:cs="Times New Roman"/>
          <w:sz w:val="32"/>
          <w:szCs w:val="32"/>
          <w:highlight w:val="none"/>
          <w:lang w:eastAsia="zh-CN"/>
        </w:rPr>
        <w:t>项目管理制度还充分考虑了风险因素</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kern w:val="2"/>
          <w:sz w:val="32"/>
          <w:szCs w:val="32"/>
          <w:highlight w:val="none"/>
          <w:lang w:val="en-US" w:eastAsia="zh-CN" w:bidi="ar-SA"/>
        </w:rPr>
        <w:t>包含</w:t>
      </w:r>
      <w:r>
        <w:rPr>
          <w:rFonts w:hint="eastAsia" w:ascii="Times New Roman" w:hAnsi="Times New Roman" w:eastAsia="仿宋_GB2312" w:cs="Times New Roman"/>
          <w:kern w:val="2"/>
          <w:sz w:val="32"/>
          <w:szCs w:val="32"/>
          <w:highlight w:val="none"/>
          <w:lang w:val="en-US" w:eastAsia="zh-CN" w:bidi="ar-SA"/>
        </w:rPr>
        <w:t>了</w:t>
      </w:r>
      <w:r>
        <w:rPr>
          <w:rFonts w:hint="default" w:ascii="Times New Roman" w:hAnsi="Times New Roman" w:eastAsia="仿宋_GB2312" w:cs="Times New Roman"/>
          <w:kern w:val="2"/>
          <w:sz w:val="32"/>
          <w:szCs w:val="32"/>
          <w:highlight w:val="none"/>
          <w:lang w:val="en-US" w:eastAsia="zh-CN" w:bidi="ar-SA"/>
        </w:rPr>
        <w:t>资金使用风险预警、内部审计、廉政风险防控等制度，如对大额支出、设备采购等关键环节的审批权限分级管理。财政部门、文旅部门、博物馆之间明确职责边界（如财政部门负责资金分配，文旅部门负责业务指导，博物馆负责项目实施），并建立定期沟通和联合监督机制</w:t>
      </w:r>
      <w:r>
        <w:rPr>
          <w:rFonts w:hint="eastAsia" w:eastAsia="仿宋_GB2312" w:cs="Times New Roman"/>
          <w:kern w:val="2"/>
          <w:sz w:val="32"/>
          <w:szCs w:val="32"/>
          <w:highlight w:val="none"/>
          <w:lang w:val="en-US" w:eastAsia="zh-CN" w:bidi="ar-SA"/>
        </w:rPr>
        <w:t>，</w:t>
      </w:r>
      <w:r>
        <w:rPr>
          <w:rFonts w:hint="default" w:ascii="Times New Roman" w:hAnsi="Times New Roman" w:eastAsia="仿宋_GB2312" w:cs="Times New Roman"/>
          <w:sz w:val="32"/>
          <w:szCs w:val="32"/>
          <w:highlight w:val="none"/>
          <w:lang w:eastAsia="zh-CN"/>
        </w:rPr>
        <w:t>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w:t>
      </w:r>
      <w:r>
        <w:rPr>
          <w:rFonts w:hint="eastAsia" w:eastAsia="仿宋_GB2312" w:cs="Times New Roman"/>
          <w:sz w:val="32"/>
          <w:szCs w:val="32"/>
          <w:highlight w:val="none"/>
          <w:lang w:val="en-US" w:eastAsia="zh-CN"/>
        </w:rPr>
        <w:t>博物馆免费开放专项资金</w:t>
      </w:r>
      <w:r>
        <w:rPr>
          <w:rFonts w:hint="default" w:ascii="Times New Roman" w:hAnsi="Times New Roman" w:eastAsia="仿宋_GB2312" w:cs="Times New Roman"/>
          <w:sz w:val="32"/>
          <w:szCs w:val="32"/>
          <w:highlight w:val="none"/>
          <w:lang w:eastAsia="zh-CN"/>
        </w:rPr>
        <w:t>管理制度是健全的、有效的，既符合项目的实际情况</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CN"/>
        </w:rPr>
        <w:t>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该</w:t>
      </w:r>
      <w:r>
        <w:rPr>
          <w:rFonts w:hint="default" w:ascii="Times New Roman" w:hAnsi="Times New Roman" w:eastAsia="仿宋_GB2312" w:cs="Times New Roman"/>
          <w:sz w:val="32"/>
          <w:szCs w:val="32"/>
          <w:lang w:eastAsia="zh-CN"/>
        </w:rPr>
        <w:t>项目在执行过程中，</w:t>
      </w:r>
      <w:r>
        <w:rPr>
          <w:rFonts w:hint="eastAsia" w:eastAsia="仿宋_GB2312" w:cs="Times New Roman"/>
          <w:sz w:val="32"/>
          <w:szCs w:val="32"/>
          <w:lang w:val="en-US" w:eastAsia="zh-CN"/>
        </w:rPr>
        <w:t>博物馆免费开放补助资金</w:t>
      </w:r>
      <w:r>
        <w:rPr>
          <w:rFonts w:hint="default" w:ascii="Times New Roman" w:hAnsi="Times New Roman" w:eastAsia="仿宋_GB2312" w:cs="Times New Roman"/>
          <w:sz w:val="32"/>
          <w:szCs w:val="32"/>
          <w:lang w:eastAsia="zh-CN"/>
        </w:rPr>
        <w:t>管理制度得到了全面、有效的落实，为确保</w:t>
      </w:r>
      <w:r>
        <w:rPr>
          <w:rFonts w:hint="eastAsia" w:eastAsia="仿宋_GB2312" w:cs="Times New Roman"/>
          <w:sz w:val="32"/>
          <w:szCs w:val="32"/>
          <w:lang w:val="en-US" w:eastAsia="zh-CN"/>
        </w:rPr>
        <w:t>该</w:t>
      </w:r>
      <w:r>
        <w:rPr>
          <w:rFonts w:hint="default" w:ascii="Times New Roman" w:hAnsi="Times New Roman" w:eastAsia="仿宋_GB2312" w:cs="Times New Roman"/>
          <w:sz w:val="32"/>
          <w:szCs w:val="32"/>
          <w:lang w:eastAsia="zh-CN"/>
        </w:rPr>
        <w:t>项目的顺利实施与目标实现提供了坚实的保障。</w:t>
      </w:r>
      <w:r>
        <w:rPr>
          <w:rFonts w:hint="eastAsia" w:eastAsia="仿宋_GB2312" w:cs="Times New Roman"/>
          <w:sz w:val="32"/>
          <w:szCs w:val="32"/>
          <w:lang w:val="en-US" w:eastAsia="zh-CN"/>
        </w:rPr>
        <w:t>比如，在博物馆陈列展览提升中，通过严格执行博物馆免费开放专项资金审批制度，确保9.6万元专项经费精准用于陈列展览的设计与设备采购，项目按期完成，观众满意度达到98%。</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eastAsia" w:eastAsia="仿宋_GB2312" w:cs="Times New Roman"/>
          <w:sz w:val="32"/>
          <w:szCs w:val="32"/>
          <w:lang w:val="en-US" w:eastAsia="zh-CN"/>
        </w:rPr>
        <w:t>我单位项目过程中，</w:t>
      </w:r>
      <w:r>
        <w:rPr>
          <w:rFonts w:hint="default" w:ascii="Times New Roman" w:hAnsi="Times New Roman" w:eastAsia="仿宋_GB2312" w:cs="Times New Roman"/>
          <w:sz w:val="32"/>
          <w:szCs w:val="32"/>
          <w:lang w:eastAsia="zh-CN"/>
        </w:rPr>
        <w:t>通过</w:t>
      </w:r>
      <w:r>
        <w:rPr>
          <w:rFonts w:hint="eastAsia" w:eastAsia="仿宋_GB2312" w:cs="Times New Roman"/>
          <w:sz w:val="32"/>
          <w:szCs w:val="32"/>
          <w:lang w:val="en-US" w:eastAsia="zh-CN"/>
        </w:rPr>
        <w:t>定期组织财务知识、制度法规等培训，提升工作人员专业素养，使其能准确执行管理制度，保障资金管理规范。我单位重视制度执行的重要性，通过宣传教育全体员工认识到资金管理的重要性，形成良好氛围，确保管理制度个环节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综上所述，</w:t>
      </w:r>
      <w:r>
        <w:rPr>
          <w:rFonts w:hint="eastAsia" w:eastAsia="仿宋_GB2312" w:cs="Times New Roman"/>
          <w:sz w:val="32"/>
          <w:szCs w:val="32"/>
          <w:lang w:val="en-US" w:eastAsia="zh-CN"/>
        </w:rPr>
        <w:t>博物馆免费开放专项资金项目的</w:t>
      </w:r>
      <w:r>
        <w:rPr>
          <w:rFonts w:hint="default" w:ascii="Times New Roman" w:hAnsi="Times New Roman" w:eastAsia="仿宋_GB2312" w:cs="Times New Roman"/>
          <w:sz w:val="32"/>
          <w:szCs w:val="32"/>
          <w:lang w:eastAsia="zh-CN"/>
        </w:rPr>
        <w:t>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sz w:val="32"/>
          <w:szCs w:val="32"/>
          <w:lang w:val="en-US" w:eastAsia="zh-CN"/>
        </w:rPr>
      </w:pPr>
      <w:r>
        <w:rPr>
          <w:rFonts w:hint="eastAsia" w:eastAsia="仿宋_GB2312" w:cs="Times New Roman"/>
          <w:sz w:val="32"/>
          <w:szCs w:val="32"/>
          <w:lang w:val="en-US" w:eastAsia="zh-CN"/>
        </w:rPr>
        <w:t>此项权重分值为5分，得分为5分。</w:t>
      </w:r>
    </w:p>
    <w:p>
      <w:pPr>
        <w:pStyle w:val="2"/>
        <w:rPr>
          <w:rFonts w:hint="default"/>
          <w:lang w:val="en-US" w:eastAsia="zh-CN"/>
        </w:rPr>
      </w:pPr>
    </w:p>
    <w:p>
      <w:pPr>
        <w:pStyle w:val="13"/>
        <w:numPr>
          <w:ilvl w:val="0"/>
          <w:numId w:val="6"/>
        </w:numPr>
        <w:spacing w:line="560" w:lineRule="exact"/>
        <w:ind w:left="-13" w:leftChars="0" w:firstLine="643" w:firstLineChars="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w:t>
      </w:r>
      <w:r>
        <w:rPr>
          <w:rFonts w:hint="default" w:ascii="Times New Roman" w:hAnsi="Times New Roman" w:eastAsia="仿宋_GB2312" w:cs="Times New Roman"/>
          <w:sz w:val="32"/>
          <w:szCs w:val="32"/>
          <w:lang w:val="en-US" w:eastAsia="zh-CN"/>
        </w:rPr>
        <w:t>体产出指标完成情况如下：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维护博物馆场馆数量</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=1个</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val="en-US" w:eastAsia="zh-CN"/>
        </w:rPr>
        <w:t>=1个</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val="en-US" w:eastAsia="zh-CN"/>
        </w:rPr>
        <w:t>无偏差</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开展中华传统节日活动场次</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w:t>
      </w:r>
      <w:r>
        <w:rPr>
          <w:rFonts w:hint="eastAsia" w:ascii="宋体" w:hAnsi="宋体" w:eastAsia="宋体" w:cs="宋体"/>
          <w:sz w:val="32"/>
          <w:szCs w:val="32"/>
          <w:highlight w:val="none"/>
          <w:lang w:eastAsia="zh-CN"/>
        </w:rPr>
        <w:t>≧</w:t>
      </w:r>
      <w:r>
        <w:rPr>
          <w:rFonts w:hint="eastAsia" w:eastAsia="仿宋_GB2312" w:cs="Times New Roman"/>
          <w:sz w:val="32"/>
          <w:szCs w:val="32"/>
          <w:highlight w:val="none"/>
          <w:lang w:val="en-US" w:eastAsia="zh-CN"/>
        </w:rPr>
        <w:t>6场次</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val="en-US" w:eastAsia="zh-CN"/>
        </w:rPr>
        <w:t>=6场次</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val="en-US" w:eastAsia="zh-CN"/>
        </w:rPr>
        <w:t>无偏差</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pPr>
        <w:shd w:val="clear"/>
        <w:spacing w:line="600" w:lineRule="exact"/>
        <w:ind w:firstLine="640" w:firstLineChars="200"/>
        <w:outlineLvl w:val="0"/>
        <w:rPr>
          <w:rFonts w:hint="default"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指标1：资金使用合格率，指标值：=100%，实际完成值：=100%，指标完成率：100%，偏差原因：无偏差</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资金支付及时率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val="en-US" w:eastAsia="zh-CN"/>
        </w:rPr>
        <w:t>无偏差</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博物馆场馆运行经费</w:t>
      </w:r>
      <w:r>
        <w:rPr>
          <w:rFonts w:hint="default" w:ascii="Times New Roman" w:hAnsi="Times New Roman" w:eastAsia="仿宋_GB2312" w:cs="Times New Roman"/>
          <w:sz w:val="32"/>
          <w:szCs w:val="32"/>
          <w:highlight w:val="none"/>
        </w:rPr>
        <w:t>，指标值：</w:t>
      </w:r>
      <w:r>
        <w:rPr>
          <w:rFonts w:hint="eastAsia" w:ascii="宋体" w:hAnsi="宋体" w:eastAsia="宋体" w:cs="宋体"/>
          <w:sz w:val="32"/>
          <w:szCs w:val="32"/>
          <w:highlight w:val="none"/>
          <w:lang w:val="en-US" w:eastAsia="zh-CN"/>
        </w:rPr>
        <w:t>≦</w:t>
      </w:r>
      <w:r>
        <w:rPr>
          <w:rFonts w:hint="eastAsia" w:eastAsia="仿宋_GB2312" w:cs="Times New Roman"/>
          <w:sz w:val="32"/>
          <w:szCs w:val="32"/>
          <w:highlight w:val="none"/>
          <w:lang w:val="en-US" w:eastAsia="zh-CN"/>
        </w:rPr>
        <w:t>24.08万元</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=24.08万元</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val="en-US" w:eastAsia="zh-CN"/>
        </w:rPr>
        <w:t>无偏差</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开展中华传统节日活动成本</w:t>
      </w:r>
      <w:r>
        <w:rPr>
          <w:rFonts w:hint="default" w:ascii="Times New Roman" w:hAnsi="Times New Roman" w:eastAsia="仿宋_GB2312" w:cs="Times New Roman"/>
          <w:sz w:val="32"/>
          <w:szCs w:val="32"/>
          <w:highlight w:val="none"/>
        </w:rPr>
        <w:t>，指标值：</w:t>
      </w:r>
      <w:r>
        <w:rPr>
          <w:rFonts w:hint="eastAsia" w:ascii="宋体" w:hAnsi="宋体" w:eastAsia="宋体" w:cs="宋体"/>
          <w:sz w:val="32"/>
          <w:szCs w:val="32"/>
          <w:highlight w:val="none"/>
        </w:rPr>
        <w:t>≦</w:t>
      </w:r>
      <w:r>
        <w:rPr>
          <w:rFonts w:hint="eastAsia" w:eastAsia="仿宋_GB2312" w:cs="Times New Roman"/>
          <w:sz w:val="32"/>
          <w:szCs w:val="32"/>
          <w:highlight w:val="none"/>
          <w:lang w:val="en-US" w:eastAsia="zh-CN"/>
        </w:rPr>
        <w:t>5.92万元</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val="en-US" w:eastAsia="zh-CN"/>
        </w:rPr>
        <w:t>=5.92万元</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val="en-US" w:eastAsia="zh-CN"/>
        </w:rPr>
        <w:t>无偏差</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lang w:val="en-US" w:eastAsia="zh-CN"/>
        </w:rPr>
        <w:t>此项权重分值为40分，得分为40分。</w:t>
      </w:r>
    </w:p>
    <w:p>
      <w:pPr>
        <w:pStyle w:val="13"/>
        <w:numPr>
          <w:ilvl w:val="0"/>
          <w:numId w:val="6"/>
        </w:numPr>
        <w:spacing w:line="560" w:lineRule="exact"/>
        <w:ind w:left="-13" w:leftChars="0" w:firstLine="643" w:firstLineChars="0"/>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项目效益类指标包括项目实施效益和满意度两方面的内容，</w:t>
      </w:r>
      <w:r>
        <w:rPr>
          <w:rFonts w:hint="default" w:ascii="Times New Roman" w:hAnsi="Times New Roman" w:eastAsia="仿宋_GB2312" w:cs="Times New Roman"/>
          <w:sz w:val="32"/>
          <w:szCs w:val="32"/>
          <w:highlight w:val="none"/>
          <w:lang w:val="en-US" w:eastAsia="zh-CN"/>
        </w:rPr>
        <w:t>由</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r>
        <w:rPr>
          <w:rFonts w:hint="default" w:ascii="Times New Roman" w:hAnsi="Times New Roman" w:eastAsia="仿宋_GB2312" w:cs="Times New Roman"/>
          <w:sz w:val="32"/>
          <w:szCs w:val="32"/>
          <w:lang w:val="en-US" w:eastAsia="zh-CN"/>
        </w:rPr>
        <w:t>：</w:t>
      </w:r>
    </w:p>
    <w:p>
      <w:pPr>
        <w:numPr>
          <w:ilvl w:val="0"/>
          <w:numId w:val="7"/>
        </w:num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实施效益</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社会效益指标：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博物馆免费开放时长</w:t>
      </w:r>
      <w:r>
        <w:rPr>
          <w:rFonts w:hint="default" w:ascii="Times New Roman" w:hAnsi="Times New Roman" w:eastAsia="仿宋_GB2312" w:cs="Times New Roman"/>
          <w:sz w:val="32"/>
          <w:szCs w:val="32"/>
          <w:highlight w:val="none"/>
        </w:rPr>
        <w:t>，指标值：</w:t>
      </w:r>
      <w:r>
        <w:rPr>
          <w:rFonts w:hint="eastAsia" w:ascii="宋体" w:hAnsi="宋体" w:eastAsia="宋体" w:cs="宋体"/>
          <w:sz w:val="32"/>
          <w:szCs w:val="32"/>
          <w:highlight w:val="none"/>
          <w:lang w:val="en-US" w:eastAsia="zh-CN"/>
        </w:rPr>
        <w:t>≧</w:t>
      </w:r>
      <w:r>
        <w:rPr>
          <w:rFonts w:hint="eastAsia" w:eastAsia="仿宋_GB2312" w:cs="Times New Roman"/>
          <w:sz w:val="32"/>
          <w:szCs w:val="32"/>
          <w:highlight w:val="none"/>
          <w:lang w:val="en-US" w:eastAsia="zh-CN"/>
        </w:rPr>
        <w:t>300天</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val="en-US" w:eastAsia="zh-CN"/>
        </w:rPr>
        <w:t>=300天</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val="en-US" w:eastAsia="zh-CN"/>
        </w:rPr>
        <w:t>无偏差</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保障场馆正常运行率</w:t>
      </w:r>
      <w:r>
        <w:rPr>
          <w:rFonts w:hint="default" w:ascii="Times New Roman" w:hAnsi="Times New Roman" w:eastAsia="仿宋_GB2312" w:cs="Times New Roman"/>
          <w:sz w:val="32"/>
          <w:szCs w:val="32"/>
          <w:highlight w:val="none"/>
        </w:rPr>
        <w:t>，指标值：</w:t>
      </w:r>
      <w:r>
        <w:rPr>
          <w:rFonts w:hint="eastAsia" w:ascii="宋体" w:hAnsi="宋体" w:cs="宋体"/>
          <w:sz w:val="32"/>
          <w:szCs w:val="32"/>
          <w:highlight w:val="none"/>
          <w:lang w:val="en-US" w:eastAsia="zh-CN"/>
        </w:rPr>
        <w:t>=</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val="en-US" w:eastAsia="zh-CN"/>
        </w:rPr>
        <w:t>=100%元</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val="en-US" w:eastAsia="zh-CN"/>
        </w:rPr>
        <w:t>无偏差</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参观群众满意度</w:t>
      </w:r>
      <w:r>
        <w:rPr>
          <w:rFonts w:hint="default" w:ascii="Times New Roman" w:hAnsi="Times New Roman" w:eastAsia="仿宋_GB2312" w:cs="Times New Roman"/>
          <w:sz w:val="32"/>
          <w:szCs w:val="32"/>
          <w:highlight w:val="none"/>
        </w:rPr>
        <w:t>，指标值：</w:t>
      </w:r>
      <w:r>
        <w:rPr>
          <w:rFonts w:hint="eastAsia" w:ascii="宋体" w:hAnsi="宋体" w:eastAsia="宋体" w:cs="宋体"/>
          <w:sz w:val="32"/>
          <w:szCs w:val="32"/>
          <w:highlight w:val="none"/>
          <w:lang w:val="en-US" w:eastAsia="zh-CN"/>
        </w:rPr>
        <w:t>≧</w:t>
      </w:r>
      <w:r>
        <w:rPr>
          <w:rFonts w:hint="eastAsia" w:ascii="宋体" w:hAnsi="宋体" w:cs="宋体"/>
          <w:sz w:val="32"/>
          <w:szCs w:val="32"/>
          <w:highlight w:val="none"/>
          <w:lang w:val="en-US" w:eastAsia="zh-CN"/>
        </w:rPr>
        <w:t>95</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val="en-US" w:eastAsia="zh-CN"/>
        </w:rPr>
        <w:t>=98.38%元</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val="en-US" w:eastAsia="zh-CN"/>
        </w:rPr>
        <w:t>无偏差</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lang w:val="en-US" w:eastAsia="zh-CN"/>
        </w:rPr>
        <w:t>此项权重分值为20分，得分为20分。</w:t>
      </w:r>
    </w:p>
    <w:p>
      <w:pPr>
        <w:spacing w:line="560" w:lineRule="exact"/>
        <w:ind w:firstLine="643" w:firstLineChars="200"/>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pPr>
        <w:pStyle w:val="20"/>
        <w:spacing w:line="560" w:lineRule="exact"/>
        <w:ind w:firstLine="640"/>
        <w:rPr>
          <w:rFonts w:hint="default" w:ascii="Times New Roman" w:hAnsi="Times New Roman" w:eastAsia="方正仿宋_GBK" w:cs="Times New Roman"/>
          <w:sz w:val="32"/>
          <w:szCs w:val="32"/>
          <w:highlight w:val="none"/>
        </w:rPr>
      </w:pPr>
      <w:r>
        <w:rPr>
          <w:rFonts w:hint="default" w:ascii="Times New Roman" w:hAnsi="Times New Roman" w:eastAsia="方正仿宋_GBK" w:cs="Times New Roman"/>
          <w:sz w:val="32"/>
          <w:szCs w:val="32"/>
          <w:highlight w:val="none"/>
          <w:lang w:val="en-US" w:eastAsia="zh-CN"/>
        </w:rPr>
        <w:t>巴财教[2023]67号提前下达2024年国家博物馆纪念馆免费开放补助资金</w:t>
      </w:r>
      <w:r>
        <w:rPr>
          <w:rFonts w:hint="default" w:ascii="Times New Roman" w:hAnsi="Times New Roman" w:eastAsia="方正仿宋_GBK" w:cs="Times New Roman"/>
          <w:sz w:val="32"/>
          <w:szCs w:val="32"/>
          <w:highlight w:val="none"/>
        </w:rPr>
        <w:t>项目年初预算</w:t>
      </w:r>
      <w:r>
        <w:rPr>
          <w:rFonts w:hint="eastAsia" w:eastAsia="方正仿宋_GBK" w:cs="Times New Roman"/>
          <w:sz w:val="32"/>
          <w:szCs w:val="32"/>
          <w:highlight w:val="none"/>
          <w:lang w:val="en-US" w:eastAsia="zh-CN"/>
        </w:rPr>
        <w:t>30</w:t>
      </w:r>
      <w:r>
        <w:rPr>
          <w:rFonts w:hint="default" w:ascii="Times New Roman" w:hAnsi="Times New Roman" w:eastAsia="方正仿宋_GBK" w:cs="Times New Roman"/>
          <w:sz w:val="32"/>
          <w:szCs w:val="32"/>
          <w:highlight w:val="none"/>
        </w:rPr>
        <w:t>万元，全年预算</w:t>
      </w:r>
      <w:r>
        <w:rPr>
          <w:rFonts w:hint="eastAsia" w:eastAsia="方正仿宋_GBK" w:cs="Times New Roman"/>
          <w:sz w:val="32"/>
          <w:szCs w:val="32"/>
          <w:highlight w:val="none"/>
          <w:lang w:val="en-US" w:eastAsia="zh-CN"/>
        </w:rPr>
        <w:t>30</w:t>
      </w:r>
      <w:r>
        <w:rPr>
          <w:rFonts w:hint="default" w:ascii="Times New Roman" w:hAnsi="Times New Roman" w:eastAsia="方正仿宋_GBK" w:cs="Times New Roman"/>
          <w:sz w:val="32"/>
          <w:szCs w:val="32"/>
          <w:highlight w:val="none"/>
        </w:rPr>
        <w:t>万元，实际支出</w:t>
      </w:r>
      <w:r>
        <w:rPr>
          <w:rFonts w:hint="eastAsia" w:eastAsia="方正仿宋_GBK" w:cs="Times New Roman"/>
          <w:sz w:val="32"/>
          <w:szCs w:val="32"/>
          <w:highlight w:val="none"/>
          <w:lang w:val="en-US" w:eastAsia="zh-CN"/>
        </w:rPr>
        <w:t>30</w:t>
      </w:r>
      <w:r>
        <w:rPr>
          <w:rFonts w:hint="default" w:ascii="Times New Roman" w:hAnsi="Times New Roman" w:eastAsia="方正仿宋_GBK" w:cs="Times New Roman"/>
          <w:sz w:val="32"/>
          <w:szCs w:val="32"/>
          <w:highlight w:val="none"/>
        </w:rPr>
        <w:t>万元，预算执行率为</w:t>
      </w:r>
      <w:r>
        <w:rPr>
          <w:rFonts w:hint="eastAsia"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rPr>
        <w:t>%，项目绩效指标总体完成率为</w:t>
      </w:r>
      <w:r>
        <w:rPr>
          <w:rFonts w:hint="eastAsia"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lang w:eastAsia="zh-Hans"/>
        </w:rPr>
        <w:t>总体</w:t>
      </w:r>
      <w:r>
        <w:rPr>
          <w:rFonts w:hint="default" w:ascii="Times New Roman" w:hAnsi="Times New Roman" w:eastAsia="方正仿宋_GBK" w:cs="Times New Roman"/>
          <w:sz w:val="32"/>
          <w:szCs w:val="32"/>
          <w:highlight w:val="none"/>
        </w:rPr>
        <w:t>偏差率为</w:t>
      </w:r>
      <w:r>
        <w:rPr>
          <w:rFonts w:hint="eastAsia" w:eastAsia="方正仿宋_GBK" w:cs="Times New Roman"/>
          <w:sz w:val="32"/>
          <w:szCs w:val="32"/>
          <w:highlight w:val="none"/>
          <w:lang w:val="en-US" w:eastAsia="zh-CN"/>
        </w:rPr>
        <w:t>0</w:t>
      </w:r>
      <w:r>
        <w:rPr>
          <w:rFonts w:hint="default" w:ascii="Times New Roman" w:hAnsi="Times New Roman" w:eastAsia="方正仿宋_GBK" w:cs="Times New Roman"/>
          <w:sz w:val="32"/>
          <w:szCs w:val="32"/>
          <w:highlight w:val="none"/>
        </w:rPr>
        <w:t>%</w:t>
      </w:r>
      <w:r>
        <w:rPr>
          <w:rFonts w:hint="eastAsia" w:ascii="Times New Roman" w:hAnsi="Times New Roman" w:cs="Times New Roman"/>
          <w:highlight w:val="none"/>
          <w:lang w:eastAsia="zh-CN"/>
        </w:rPr>
        <w:t>，</w:t>
      </w:r>
      <w:r>
        <w:rPr>
          <w:rFonts w:hint="eastAsia" w:eastAsia="方正仿宋_GBK" w:cs="Times New Roman"/>
          <w:sz w:val="32"/>
          <w:szCs w:val="32"/>
          <w:highlight w:val="none"/>
          <w:lang w:val="en-US" w:eastAsia="zh-CN"/>
        </w:rPr>
        <w:t>无偏差</w:t>
      </w:r>
    </w:p>
    <w:p>
      <w:pPr>
        <w:spacing w:line="560" w:lineRule="exact"/>
        <w:ind w:firstLine="640" w:firstLineChars="200"/>
        <w:rPr>
          <w:rStyle w:val="19"/>
          <w:rFonts w:hint="default" w:ascii="Times New Roman" w:hAnsi="Times New Roman" w:cs="Times New Roman"/>
          <w:color w:val="auto"/>
          <w:highlight w:val="none"/>
        </w:rPr>
      </w:pPr>
      <w:r>
        <w:rPr>
          <w:rFonts w:hint="eastAsia" w:eastAsia="黑体" w:cs="Times New Roman"/>
          <w:sz w:val="32"/>
          <w:szCs w:val="32"/>
          <w:highlight w:val="none"/>
          <w:lang w:val="en-US" w:eastAsia="zh-CN"/>
        </w:rPr>
        <w:t>五</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主要经验及做法、存在的问题及原因分析</w:t>
      </w:r>
    </w:p>
    <w:p>
      <w:pPr>
        <w:spacing w:line="560" w:lineRule="exact"/>
        <w:ind w:firstLine="627" w:firstLineChars="200"/>
        <w:rPr>
          <w:rFonts w:hint="default" w:ascii="Times New Roman" w:hAnsi="Times New Roman" w:eastAsia="楷体" w:cs="Times New Roman"/>
          <w:b/>
          <w:spacing w:val="-4"/>
          <w:sz w:val="32"/>
          <w:szCs w:val="32"/>
          <w:highlight w:val="none"/>
        </w:rPr>
      </w:pPr>
      <w:r>
        <w:rPr>
          <w:rFonts w:hint="default" w:ascii="Times New Roman" w:hAnsi="Times New Roman" w:eastAsia="楷体" w:cs="Times New Roman"/>
          <w:b/>
          <w:spacing w:val="-4"/>
          <w:sz w:val="32"/>
          <w:szCs w:val="32"/>
          <w:highlight w:val="none"/>
        </w:rPr>
        <w:t>（一）主要经验及做法</w:t>
      </w:r>
    </w:p>
    <w:p>
      <w:pPr>
        <w:spacing w:line="560" w:lineRule="exact"/>
        <w:ind w:firstLine="708" w:firstLineChars="200"/>
        <w:rPr>
          <w:rFonts w:hint="default" w:ascii="Times New Roman" w:hAnsi="Times New Roman" w:eastAsia="仿宋_GB2312" w:cs="Times New Roman"/>
          <w:color w:val="000000" w:themeColor="text1"/>
          <w:spacing w:val="17"/>
          <w:sz w:val="32"/>
          <w:szCs w:val="32"/>
          <w:highlight w:val="none"/>
          <w:lang w:eastAsia="zh-CN"/>
          <w14:textFill>
            <w14:solidFill>
              <w14:schemeClr w14:val="tx1"/>
            </w14:solidFill>
          </w14:textFill>
        </w:rPr>
      </w:pPr>
      <w:r>
        <w:rPr>
          <w:rFonts w:hint="default" w:ascii="Times New Roman" w:hAnsi="Times New Roman" w:eastAsia="仿宋_GB2312" w:cs="Times New Roman"/>
          <w:color w:val="000000" w:themeColor="text1"/>
          <w:spacing w:val="17"/>
          <w:sz w:val="32"/>
          <w:szCs w:val="32"/>
          <w:highlight w:val="none"/>
          <w:lang w:eastAsia="zh-CN"/>
          <w14:textFill>
            <w14:solidFill>
              <w14:schemeClr w14:val="tx1"/>
            </w14:solidFill>
          </w14:textFill>
        </w:rPr>
        <w:t>1. 注重展览创新：不断推出具有时代特色和文化内涵的展览，结合多媒体、数字化等技术手段，提升展览的吸引力和互动性。</w:t>
      </w:r>
    </w:p>
    <w:p>
      <w:pPr>
        <w:spacing w:line="560" w:lineRule="exact"/>
        <w:ind w:firstLine="708" w:firstLineChars="200"/>
        <w:rPr>
          <w:rFonts w:hint="default" w:ascii="Times New Roman" w:hAnsi="Times New Roman" w:eastAsia="仿宋_GB2312" w:cs="Times New Roman"/>
          <w:color w:val="000000" w:themeColor="text1"/>
          <w:spacing w:val="17"/>
          <w:sz w:val="32"/>
          <w:szCs w:val="32"/>
          <w:highlight w:val="none"/>
          <w:lang w:eastAsia="zh-CN"/>
          <w14:textFill>
            <w14:solidFill>
              <w14:schemeClr w14:val="tx1"/>
            </w14:solidFill>
          </w14:textFill>
        </w:rPr>
      </w:pPr>
      <w:r>
        <w:rPr>
          <w:rFonts w:hint="default" w:ascii="Times New Roman" w:hAnsi="Times New Roman" w:eastAsia="仿宋_GB2312" w:cs="Times New Roman"/>
          <w:color w:val="000000" w:themeColor="text1"/>
          <w:spacing w:val="17"/>
          <w:sz w:val="32"/>
          <w:szCs w:val="32"/>
          <w:highlight w:val="none"/>
          <w:lang w:eastAsia="zh-CN"/>
          <w14:textFill>
            <w14:solidFill>
              <w14:schemeClr w14:val="tx1"/>
            </w14:solidFill>
          </w14:textFill>
        </w:rPr>
        <w:t xml:space="preserve">2. 加强教育合作：与学校、社区、企业等建立广泛合作关系，开展多样化的教育活动，扩大文化传播范围。 </w:t>
      </w:r>
    </w:p>
    <w:p>
      <w:pPr>
        <w:spacing w:line="560" w:lineRule="exact"/>
        <w:ind w:firstLine="708" w:firstLineChars="200"/>
        <w:rPr>
          <w:rFonts w:hint="default" w:ascii="Times New Roman" w:hAnsi="Times New Roman" w:eastAsia="仿宋_GB2312" w:cs="Times New Roman"/>
          <w:b/>
          <w:color w:val="000000" w:themeColor="text1"/>
          <w:spacing w:val="17"/>
          <w:sz w:val="32"/>
          <w:szCs w:val="32"/>
          <w:highlight w:val="none"/>
          <w:lang w:eastAsia="zh-CN"/>
          <w14:textFill>
            <w14:solidFill>
              <w14:schemeClr w14:val="tx1"/>
            </w14:solidFill>
          </w14:textFill>
        </w:rPr>
      </w:pPr>
      <w:r>
        <w:rPr>
          <w:rFonts w:hint="default" w:ascii="Times New Roman" w:hAnsi="Times New Roman" w:eastAsia="仿宋_GB2312" w:cs="Times New Roman"/>
          <w:color w:val="000000" w:themeColor="text1"/>
          <w:spacing w:val="17"/>
          <w:sz w:val="32"/>
          <w:szCs w:val="32"/>
          <w:highlight w:val="none"/>
          <w:lang w:eastAsia="zh-CN"/>
          <w14:textFill>
            <w14:solidFill>
              <w14:schemeClr w14:val="tx1"/>
            </w14:solidFill>
          </w14:textFill>
        </w:rPr>
        <w:t>3. 强化团队建设：重视人才培养和引进，打造了一支专业素质高、业务能力强的工作团队，为项目实施提供有力保障 。</w:t>
      </w:r>
    </w:p>
    <w:p>
      <w:pPr>
        <w:keepNext/>
        <w:keepLines/>
        <w:numPr>
          <w:ilvl w:val="0"/>
          <w:numId w:val="8"/>
        </w:numPr>
        <w:spacing w:line="560" w:lineRule="exact"/>
        <w:ind w:firstLine="643" w:firstLineChars="200"/>
        <w:rPr>
          <w:rFonts w:hint="default" w:ascii="Times New Roman" w:hAnsi="Times New Roman" w:eastAsia="楷体_GB2312" w:cs="Times New Roman"/>
          <w:b/>
          <w:bCs/>
          <w:color w:val="000000" w:themeColor="text1"/>
          <w:sz w:val="32"/>
          <w:szCs w:val="32"/>
          <w:highlight w:val="none"/>
          <w14:textFill>
            <w14:solidFill>
              <w14:schemeClr w14:val="tx1"/>
            </w14:solidFill>
          </w14:textFill>
        </w:rPr>
      </w:pPr>
      <w:r>
        <w:rPr>
          <w:rFonts w:hint="default" w:ascii="Times New Roman" w:hAnsi="Times New Roman" w:eastAsia="楷体_GB2312" w:cs="Times New Roman"/>
          <w:b/>
          <w:bCs/>
          <w:color w:val="000000" w:themeColor="text1"/>
          <w:sz w:val="32"/>
          <w:szCs w:val="32"/>
          <w:highlight w:val="none"/>
          <w14:textFill>
            <w14:solidFill>
              <w14:schemeClr w14:val="tx1"/>
            </w14:solidFill>
          </w14:textFill>
        </w:rPr>
        <w:t>存在的问题及原因分析</w:t>
      </w:r>
    </w:p>
    <w:p>
      <w:pPr>
        <w:shd w:val="clear"/>
        <w:spacing w:line="600" w:lineRule="exact"/>
        <w:ind w:firstLine="708" w:firstLineChars="200"/>
        <w:outlineLvl w:val="0"/>
        <w:rPr>
          <w:rFonts w:hint="default" w:ascii="Times New Roman" w:hAnsi="Times New Roman" w:eastAsia="仿宋_GB2312" w:cs="Times New Roman"/>
          <w:color w:val="000000" w:themeColor="text1"/>
          <w:spacing w:val="17"/>
          <w:sz w:val="32"/>
          <w:szCs w:val="32"/>
          <w:highlight w:val="none"/>
          <w:lang w:eastAsia="zh-CN"/>
          <w14:textFill>
            <w14:solidFill>
              <w14:schemeClr w14:val="tx1"/>
            </w14:solidFill>
          </w14:textFill>
        </w:rPr>
      </w:pPr>
      <w:r>
        <w:rPr>
          <w:rFonts w:hint="default" w:ascii="Times New Roman" w:hAnsi="Times New Roman" w:eastAsia="仿宋_GB2312" w:cs="Times New Roman"/>
          <w:color w:val="000000" w:themeColor="text1"/>
          <w:spacing w:val="17"/>
          <w:sz w:val="32"/>
          <w:szCs w:val="32"/>
          <w:highlight w:val="none"/>
          <w:lang w:eastAsia="zh-CN"/>
          <w14:textFill>
            <w14:solidFill>
              <w14:schemeClr w14:val="tx1"/>
            </w14:solidFill>
          </w14:textFill>
        </w:rPr>
        <w:t>1. 资金压力仍存：尽管有补助资金支持，但随着运营成本上升和业务拓展需求，博物馆资金仍相对紧张。原因在于文物保护、展览提升等工作对资金需求较大，且社会捐赠、市场化收入等渠道有待进一步拓展。</w:t>
      </w:r>
    </w:p>
    <w:p>
      <w:pPr>
        <w:shd w:val="clear"/>
        <w:spacing w:line="600" w:lineRule="exact"/>
        <w:ind w:firstLine="708" w:firstLineChars="200"/>
        <w:outlineLvl w:val="0"/>
        <w:rPr>
          <w:rFonts w:hint="default" w:ascii="Times New Roman" w:hAnsi="Times New Roman" w:eastAsia="仿宋_GB2312" w:cs="Times New Roman"/>
          <w:color w:val="000000" w:themeColor="text1"/>
          <w:spacing w:val="17"/>
          <w:sz w:val="32"/>
          <w:szCs w:val="32"/>
          <w:highlight w:val="none"/>
          <w:lang w:eastAsia="zh-CN"/>
          <w14:textFill>
            <w14:solidFill>
              <w14:schemeClr w14:val="tx1"/>
            </w14:solidFill>
          </w14:textFill>
        </w:rPr>
      </w:pPr>
      <w:r>
        <w:rPr>
          <w:rFonts w:hint="default" w:ascii="Times New Roman" w:hAnsi="Times New Roman" w:eastAsia="仿宋_GB2312" w:cs="Times New Roman"/>
          <w:color w:val="000000" w:themeColor="text1"/>
          <w:spacing w:val="17"/>
          <w:sz w:val="32"/>
          <w:szCs w:val="32"/>
          <w:highlight w:val="none"/>
          <w:lang w:eastAsia="zh-CN"/>
          <w14:textFill>
            <w14:solidFill>
              <w14:schemeClr w14:val="tx1"/>
            </w14:solidFill>
          </w14:textFill>
        </w:rPr>
        <w:t xml:space="preserve">2. 数字化服务有待提升：在数字化展示、线上教育等方面虽有一定进展，但与观众日益增长的需求相比仍有差距。主要原因是相关技术人才短缺，技术研发与应用投入不足 。 </w:t>
      </w:r>
    </w:p>
    <w:p>
      <w:pPr>
        <w:shd w:val="clear"/>
        <w:spacing w:line="600" w:lineRule="exact"/>
        <w:ind w:firstLine="708" w:firstLineChars="200"/>
        <w:outlineLvl w:val="0"/>
        <w:rPr>
          <w:rFonts w:hint="default" w:ascii="Times New Roman" w:hAnsi="Times New Roman" w:eastAsia="仿宋_GB2312" w:cs="Times New Roman"/>
          <w:color w:val="000000" w:themeColor="text1"/>
          <w:spacing w:val="17"/>
          <w:sz w:val="32"/>
          <w:szCs w:val="32"/>
          <w:highlight w:val="none"/>
          <w:lang w:eastAsia="zh-CN"/>
          <w14:textFill>
            <w14:solidFill>
              <w14:schemeClr w14:val="tx1"/>
            </w14:solidFill>
          </w14:textFill>
        </w:rPr>
      </w:pPr>
      <w:r>
        <w:rPr>
          <w:rFonts w:hint="default" w:ascii="Times New Roman" w:hAnsi="Times New Roman" w:eastAsia="仿宋_GB2312" w:cs="Times New Roman"/>
          <w:color w:val="000000" w:themeColor="text1"/>
          <w:spacing w:val="17"/>
          <w:sz w:val="32"/>
          <w:szCs w:val="32"/>
          <w:highlight w:val="none"/>
          <w:lang w:eastAsia="zh-CN"/>
          <w14:textFill>
            <w14:solidFill>
              <w14:schemeClr w14:val="tx1"/>
            </w14:solidFill>
          </w14:textFill>
        </w:rPr>
        <w:t>3. 观众流量管理挑战：旅游旺季观众流量过大，给场馆设施和服务带来较大压力，影响观众参观体验。原因在于缺乏科学有效的观众流量预测与调控机制 。</w:t>
      </w:r>
    </w:p>
    <w:p>
      <w:pPr>
        <w:spacing w:line="560" w:lineRule="exact"/>
        <w:ind w:firstLine="640" w:firstLineChars="200"/>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eastAsia" w:ascii="Times New Roman" w:hAnsi="Times New Roman" w:eastAsia="黑体" w:cs="Times New Roman"/>
          <w:color w:val="000000" w:themeColor="text1"/>
          <w:sz w:val="32"/>
          <w:szCs w:val="32"/>
          <w:highlight w:val="none"/>
          <w:lang w:val="en-US" w:eastAsia="zh-CN"/>
          <w14:textFill>
            <w14:solidFill>
              <w14:schemeClr w14:val="tx1"/>
            </w14:solidFill>
          </w14:textFill>
        </w:rPr>
        <w:t>六</w:t>
      </w:r>
      <w:r>
        <w:rPr>
          <w:rFonts w:hint="default" w:ascii="Times New Roman" w:hAnsi="Times New Roman" w:eastAsia="黑体" w:cs="Times New Roman"/>
          <w:color w:val="000000" w:themeColor="text1"/>
          <w:sz w:val="32"/>
          <w:szCs w:val="32"/>
          <w:highlight w:val="none"/>
          <w:lang w:val="en-US" w:eastAsia="zh-CN"/>
          <w14:textFill>
            <w14:solidFill>
              <w14:schemeClr w14:val="tx1"/>
            </w14:solidFill>
          </w14:textFill>
        </w:rPr>
        <w:t>.</w:t>
      </w:r>
      <w:r>
        <w:rPr>
          <w:rFonts w:hint="default" w:ascii="Times New Roman" w:hAnsi="Times New Roman" w:eastAsia="黑体" w:cs="Times New Roman"/>
          <w:color w:val="000000" w:themeColor="text1"/>
          <w:sz w:val="32"/>
          <w:szCs w:val="32"/>
          <w:highlight w:val="none"/>
          <w14:textFill>
            <w14:solidFill>
              <w14:schemeClr w14:val="tx1"/>
            </w14:solidFill>
          </w14:textFill>
        </w:rPr>
        <w:t>有关建议</w:t>
      </w:r>
    </w:p>
    <w:p>
      <w:pPr>
        <w:spacing w:line="560" w:lineRule="exact"/>
        <w:ind w:firstLine="708" w:firstLineChars="200"/>
        <w:rPr>
          <w:rFonts w:hint="default" w:ascii="Times New Roman" w:hAnsi="Times New Roman" w:eastAsia="仿宋_GB2312" w:cs="Times New Roman"/>
          <w:color w:val="000000" w:themeColor="text1"/>
          <w:spacing w:val="17"/>
          <w:sz w:val="32"/>
          <w:szCs w:val="32"/>
          <w:highlight w:val="none"/>
          <w:lang w:eastAsia="zh-CN"/>
          <w14:textFill>
            <w14:solidFill>
              <w14:schemeClr w14:val="tx1"/>
            </w14:solidFill>
          </w14:textFill>
        </w:rPr>
      </w:pPr>
      <w:r>
        <w:rPr>
          <w:rFonts w:hint="default" w:ascii="Times New Roman" w:hAnsi="Times New Roman" w:eastAsia="仿宋_GB2312" w:cs="Times New Roman"/>
          <w:color w:val="000000" w:themeColor="text1"/>
          <w:spacing w:val="17"/>
          <w:sz w:val="32"/>
          <w:szCs w:val="32"/>
          <w:highlight w:val="none"/>
          <w:lang w:eastAsia="zh-CN"/>
          <w14:textFill>
            <w14:solidFill>
              <w14:schemeClr w14:val="tx1"/>
            </w14:solidFill>
          </w14:textFill>
        </w:rPr>
        <w:t xml:space="preserve">1. 争取政府进一步加大财政支持力度，优化补助资金分配结构，重点支持文物保护、展览创新等关键领域。 </w:t>
      </w:r>
    </w:p>
    <w:p>
      <w:pPr>
        <w:spacing w:line="560" w:lineRule="exact"/>
        <w:ind w:firstLine="708" w:firstLineChars="200"/>
        <w:rPr>
          <w:rFonts w:hint="default" w:ascii="Times New Roman" w:hAnsi="Times New Roman" w:eastAsia="仿宋_GB2312" w:cs="Times New Roman"/>
          <w:color w:val="000000" w:themeColor="text1"/>
          <w:spacing w:val="17"/>
          <w:sz w:val="32"/>
          <w:szCs w:val="32"/>
          <w:highlight w:val="none"/>
          <w:lang w:eastAsia="zh-CN"/>
          <w14:textFill>
            <w14:solidFill>
              <w14:schemeClr w14:val="tx1"/>
            </w14:solidFill>
          </w14:textFill>
        </w:rPr>
      </w:pPr>
      <w:r>
        <w:rPr>
          <w:rFonts w:hint="default" w:ascii="Times New Roman" w:hAnsi="Times New Roman" w:eastAsia="仿宋_GB2312" w:cs="Times New Roman"/>
          <w:color w:val="000000" w:themeColor="text1"/>
          <w:spacing w:val="17"/>
          <w:sz w:val="32"/>
          <w:szCs w:val="32"/>
          <w:highlight w:val="none"/>
          <w:lang w:eastAsia="zh-CN"/>
          <w14:textFill>
            <w14:solidFill>
              <w14:schemeClr w14:val="tx1"/>
            </w14:solidFill>
          </w14:textFill>
        </w:rPr>
        <w:t xml:space="preserve">2. 加强与企业、社会组织的合作，吸引社会捐赠和赞助；拓展文化创意产品开发、场馆运营合作等市场化收入渠道，提高博物馆自身造血能力 。 </w:t>
      </w:r>
    </w:p>
    <w:p>
      <w:pPr>
        <w:spacing w:line="560" w:lineRule="exact"/>
        <w:ind w:firstLine="708" w:firstLineChars="200"/>
        <w:rPr>
          <w:rFonts w:hint="default" w:ascii="Times New Roman" w:hAnsi="Times New Roman" w:eastAsia="黑体" w:cs="Times New Roman"/>
          <w:color w:val="000000" w:themeColor="text1"/>
          <w:sz w:val="32"/>
          <w:szCs w:val="32"/>
          <w:highlight w:val="none"/>
          <w14:textFill>
            <w14:solidFill>
              <w14:schemeClr w14:val="tx1"/>
            </w14:solidFill>
          </w14:textFill>
        </w:rPr>
      </w:pPr>
      <w:r>
        <w:rPr>
          <w:rFonts w:hint="eastAsia" w:eastAsia="仿宋_GB2312" w:cs="Times New Roman"/>
          <w:color w:val="000000" w:themeColor="text1"/>
          <w:spacing w:val="17"/>
          <w:sz w:val="32"/>
          <w:szCs w:val="32"/>
          <w:highlight w:val="none"/>
          <w:lang w:val="en-US" w:eastAsia="zh-CN"/>
          <w14:textFill>
            <w14:solidFill>
              <w14:schemeClr w14:val="tx1"/>
            </w14:solidFill>
          </w14:textFill>
        </w:rPr>
        <w:t>3</w:t>
      </w:r>
      <w:r>
        <w:rPr>
          <w:rFonts w:hint="default" w:ascii="Times New Roman" w:hAnsi="Times New Roman" w:eastAsia="仿宋_GB2312" w:cs="Times New Roman"/>
          <w:color w:val="000000" w:themeColor="text1"/>
          <w:spacing w:val="17"/>
          <w:sz w:val="32"/>
          <w:szCs w:val="32"/>
          <w:highlight w:val="none"/>
          <w:lang w:eastAsia="zh-CN"/>
          <w14:textFill>
            <w14:solidFill>
              <w14:schemeClr w14:val="tx1"/>
            </w14:solidFill>
          </w14:textFill>
        </w:rPr>
        <w:t>. 加大对数字化建设的资金投入，引进先进技术设备，提升数字化展示</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pPr>
        <w:pStyle w:val="14"/>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pPr>
        <w:pStyle w:val="14"/>
        <w:spacing w:after="0" w:line="560" w:lineRule="exact"/>
        <w:ind w:left="0" w:leftChars="0" w:firstLine="640"/>
        <w:rPr>
          <w:rFonts w:hint="eastAsia" w:ascii="Times New Roman" w:hAnsi="Times New Roman" w:eastAsia="仿宋_GB2312" w:cs="Times New Roman"/>
          <w:sz w:val="32"/>
          <w:szCs w:val="32"/>
          <w:lang w:eastAsia="zh-CN"/>
        </w:rPr>
      </w:pPr>
    </w:p>
    <w:p>
      <w:pPr>
        <w:pStyle w:val="14"/>
        <w:spacing w:after="0" w:line="560" w:lineRule="exact"/>
        <w:ind w:left="0" w:leftChars="0" w:firstLine="640"/>
        <w:rPr>
          <w:rFonts w:hint="eastAsia" w:ascii="Times New Roman" w:hAnsi="Times New Roman" w:eastAsia="仿宋_GB2312" w:cs="Times New Roman"/>
          <w:sz w:val="32"/>
          <w:szCs w:val="32"/>
          <w:lang w:eastAsia="zh-CN"/>
        </w:rPr>
      </w:pPr>
    </w:p>
    <w:p>
      <w:pPr>
        <w:pStyle w:val="14"/>
        <w:spacing w:after="0" w:line="560" w:lineRule="exact"/>
        <w:ind w:left="0" w:leftChars="0" w:firstLine="640"/>
        <w:rPr>
          <w:rFonts w:hint="eastAsia" w:ascii="Times New Roman" w:hAnsi="Times New Roman" w:eastAsia="仿宋_GB2312" w:cs="Times New Roman"/>
          <w:sz w:val="32"/>
          <w:szCs w:val="32"/>
          <w:lang w:eastAsia="zh-CN"/>
        </w:rPr>
      </w:pPr>
    </w:p>
    <w:p>
      <w:pPr>
        <w:pStyle w:val="14"/>
        <w:spacing w:after="0" w:line="560" w:lineRule="exact"/>
        <w:rPr>
          <w:rFonts w:hint="default" w:ascii="Times New Roman" w:hAnsi="Times New Roman" w:eastAsia="仿宋_GB2312" w:cs="Times New Roman"/>
          <w:sz w:val="32"/>
          <w:szCs w:val="32"/>
        </w:rPr>
      </w:pPr>
    </w:p>
    <w:p>
      <w:pPr>
        <w:pStyle w:val="14"/>
        <w:spacing w:after="0" w:line="560" w:lineRule="exact"/>
        <w:ind w:left="0" w:leftChars="0" w:firstLine="640"/>
        <w:rPr>
          <w:rFonts w:hint="default" w:ascii="Times New Roman" w:hAnsi="Times New Roman" w:eastAsia="仿宋_GB2312" w:cs="Times New Roman"/>
          <w:sz w:val="32"/>
          <w:szCs w:val="32"/>
        </w:rPr>
      </w:pPr>
    </w:p>
    <w:p>
      <w:pPr>
        <w:spacing w:line="600" w:lineRule="exact"/>
        <w:rPr>
          <w:rFonts w:hint="eastAsia" w:ascii="Times New Roman" w:hAnsi="Times New Roman" w:eastAsia="黑体" w:cs="Times New Roman"/>
          <w:sz w:val="32"/>
          <w:szCs w:val="32"/>
          <w:lang w:val="en-US" w:eastAsia="zh-CN"/>
        </w:rPr>
      </w:pPr>
    </w:p>
    <w:p>
      <w:pPr>
        <w:pStyle w:val="2"/>
        <w:rPr>
          <w:rFonts w:hint="eastAsia" w:ascii="Times New Roman" w:hAnsi="Times New Roman" w:eastAsia="黑体" w:cs="Times New Roman"/>
          <w:sz w:val="32"/>
          <w:szCs w:val="32"/>
          <w:lang w:val="en-US" w:eastAsia="zh-CN"/>
        </w:rPr>
      </w:pPr>
    </w:p>
    <w:p>
      <w:pPr>
        <w:rPr>
          <w:rFonts w:hint="eastAsia" w:ascii="Times New Roman" w:hAnsi="Times New Roman" w:eastAsia="黑体" w:cs="Times New Roman"/>
          <w:sz w:val="32"/>
          <w:szCs w:val="32"/>
          <w:lang w:val="en-US" w:eastAsia="zh-CN"/>
        </w:rPr>
      </w:pPr>
    </w:p>
    <w:p>
      <w:pPr>
        <w:pStyle w:val="2"/>
        <w:rPr>
          <w:rFonts w:hint="eastAsia" w:ascii="Times New Roman" w:hAnsi="Times New Roman" w:eastAsia="黑体" w:cs="Times New Roman"/>
          <w:sz w:val="32"/>
          <w:szCs w:val="32"/>
          <w:lang w:val="en-US" w:eastAsia="zh-CN"/>
        </w:rPr>
      </w:pPr>
    </w:p>
    <w:p>
      <w:pPr>
        <w:rPr>
          <w:rFonts w:hint="eastAsia" w:ascii="Times New Roman" w:hAnsi="Times New Roman" w:eastAsia="黑体" w:cs="Times New Roman"/>
          <w:sz w:val="32"/>
          <w:szCs w:val="32"/>
          <w:lang w:val="en-US" w:eastAsia="zh-CN"/>
        </w:rPr>
      </w:pPr>
    </w:p>
    <w:p>
      <w:pPr>
        <w:pStyle w:val="2"/>
        <w:rPr>
          <w:rFonts w:hint="eastAsia" w:ascii="Times New Roman" w:hAnsi="Times New Roman" w:eastAsia="黑体" w:cs="Times New Roman"/>
          <w:sz w:val="32"/>
          <w:szCs w:val="32"/>
          <w:lang w:val="en-US" w:eastAsia="zh-CN"/>
        </w:rPr>
      </w:pPr>
    </w:p>
    <w:p>
      <w:pPr>
        <w:rPr>
          <w:rFonts w:hint="eastAsia" w:ascii="Times New Roman" w:hAnsi="Times New Roman" w:eastAsia="黑体" w:cs="Times New Roman"/>
          <w:sz w:val="32"/>
          <w:szCs w:val="32"/>
          <w:lang w:val="en-US" w:eastAsia="zh-CN"/>
        </w:rPr>
      </w:pPr>
    </w:p>
    <w:p>
      <w:pPr>
        <w:pStyle w:val="2"/>
        <w:rPr>
          <w:rFonts w:hint="eastAsia" w:ascii="Times New Roman" w:hAnsi="Times New Roman" w:eastAsia="黑体" w:cs="Times New Roman"/>
          <w:sz w:val="32"/>
          <w:szCs w:val="32"/>
          <w:lang w:val="en-US" w:eastAsia="zh-CN"/>
        </w:rPr>
      </w:pPr>
    </w:p>
    <w:p>
      <w:pPr>
        <w:rPr>
          <w:rFonts w:hint="eastAsia" w:ascii="Times New Roman" w:hAnsi="Times New Roman" w:eastAsia="黑体" w:cs="Times New Roman"/>
          <w:sz w:val="32"/>
          <w:szCs w:val="32"/>
          <w:lang w:val="en-US" w:eastAsia="zh-CN"/>
        </w:rPr>
      </w:pPr>
    </w:p>
    <w:p>
      <w:pPr>
        <w:pStyle w:val="2"/>
        <w:rPr>
          <w:rFonts w:hint="eastAsia" w:ascii="Times New Roman" w:hAnsi="Times New Roman" w:eastAsia="黑体" w:cs="Times New Roman"/>
          <w:sz w:val="32"/>
          <w:szCs w:val="32"/>
          <w:lang w:val="en-US" w:eastAsia="zh-CN"/>
        </w:rPr>
      </w:pPr>
    </w:p>
    <w:p>
      <w:pPr>
        <w:rPr>
          <w:rFonts w:hint="eastAsia" w:ascii="Times New Roman" w:hAnsi="Times New Roman" w:eastAsia="黑体" w:cs="Times New Roman"/>
          <w:sz w:val="32"/>
          <w:szCs w:val="32"/>
          <w:lang w:val="en-US" w:eastAsia="zh-CN"/>
        </w:rPr>
      </w:pPr>
    </w:p>
    <w:p>
      <w:pPr>
        <w:pStyle w:val="2"/>
        <w:rPr>
          <w:rFonts w:hint="eastAsia" w:ascii="Times New Roman" w:hAnsi="Times New Roman" w:eastAsia="黑体" w:cs="Times New Roman"/>
          <w:sz w:val="32"/>
          <w:szCs w:val="32"/>
          <w:lang w:val="en-US" w:eastAsia="zh-CN"/>
        </w:rPr>
      </w:pPr>
    </w:p>
    <w:p>
      <w:pPr>
        <w:rPr>
          <w:rFonts w:hint="eastAsia" w:ascii="Times New Roman" w:hAnsi="Times New Roman" w:eastAsia="黑体" w:cs="Times New Roman"/>
          <w:sz w:val="32"/>
          <w:szCs w:val="32"/>
          <w:lang w:val="en-US" w:eastAsia="zh-CN"/>
        </w:rPr>
      </w:pPr>
    </w:p>
    <w:p>
      <w:pPr>
        <w:pStyle w:val="2"/>
        <w:rPr>
          <w:rFonts w:hint="eastAsia" w:ascii="Times New Roman" w:hAnsi="Times New Roman" w:eastAsia="黑体" w:cs="Times New Roman"/>
          <w:sz w:val="32"/>
          <w:szCs w:val="32"/>
          <w:lang w:val="en-US" w:eastAsia="zh-CN"/>
        </w:rPr>
      </w:pPr>
    </w:p>
    <w:p>
      <w:pPr>
        <w:rPr>
          <w:rFonts w:hint="eastAsia" w:ascii="Times New Roman" w:hAnsi="Times New Roman" w:eastAsia="黑体" w:cs="Times New Roman"/>
          <w:sz w:val="32"/>
          <w:szCs w:val="32"/>
          <w:lang w:val="en-US" w:eastAsia="zh-CN"/>
        </w:rPr>
      </w:pPr>
    </w:p>
    <w:p>
      <w:pPr>
        <w:pStyle w:val="2"/>
        <w:rPr>
          <w:rFonts w:hint="eastAsia" w:ascii="Times New Roman" w:hAnsi="Times New Roman" w:eastAsia="黑体" w:cs="Times New Roman"/>
          <w:sz w:val="32"/>
          <w:szCs w:val="32"/>
          <w:lang w:val="en-US" w:eastAsia="zh-CN"/>
        </w:rPr>
      </w:pPr>
    </w:p>
    <w:p>
      <w:pPr>
        <w:rPr>
          <w:rFonts w:hint="eastAsia" w:ascii="Times New Roman" w:hAnsi="Times New Roman" w:eastAsia="黑体" w:cs="Times New Roman"/>
          <w:sz w:val="32"/>
          <w:szCs w:val="32"/>
          <w:lang w:val="en-US" w:eastAsia="zh-CN"/>
        </w:rPr>
      </w:pPr>
    </w:p>
    <w:p>
      <w:pPr>
        <w:pStyle w:val="2"/>
        <w:rPr>
          <w:rFonts w:hint="eastAsia" w:ascii="Times New Roman" w:hAnsi="Times New Roman" w:eastAsia="黑体" w:cs="Times New Roman"/>
          <w:sz w:val="32"/>
          <w:szCs w:val="32"/>
          <w:lang w:val="en-US" w:eastAsia="zh-CN"/>
        </w:rPr>
      </w:pPr>
    </w:p>
    <w:p>
      <w:pPr>
        <w:rPr>
          <w:rFonts w:hint="eastAsia" w:ascii="Times New Roman" w:hAnsi="Times New Roman" w:eastAsia="黑体" w:cs="Times New Roman"/>
          <w:sz w:val="32"/>
          <w:szCs w:val="32"/>
          <w:lang w:val="en-US" w:eastAsia="zh-CN"/>
        </w:rPr>
      </w:pPr>
    </w:p>
    <w:p>
      <w:pPr>
        <w:pStyle w:val="2"/>
        <w:rPr>
          <w:rFonts w:hint="eastAsia" w:ascii="Times New Roman" w:hAnsi="Times New Roman" w:eastAsia="黑体" w:cs="Times New Roman"/>
          <w:sz w:val="32"/>
          <w:szCs w:val="32"/>
          <w:lang w:val="en-US" w:eastAsia="zh-CN"/>
        </w:rPr>
      </w:pPr>
    </w:p>
    <w:p>
      <w:pPr>
        <w:rPr>
          <w:rFonts w:hint="eastAsia" w:ascii="Times New Roman" w:hAnsi="Times New Roman" w:eastAsia="黑体" w:cs="Times New Roman"/>
          <w:sz w:val="32"/>
          <w:szCs w:val="32"/>
          <w:lang w:val="en-US" w:eastAsia="zh-CN"/>
        </w:rPr>
      </w:pPr>
    </w:p>
    <w:p>
      <w:pPr>
        <w:pStyle w:val="2"/>
        <w:rPr>
          <w:rFonts w:hint="eastAsia" w:ascii="Times New Roman" w:hAnsi="Times New Roman" w:eastAsia="黑体" w:cs="Times New Roman"/>
          <w:sz w:val="32"/>
          <w:szCs w:val="32"/>
          <w:lang w:val="en-US" w:eastAsia="zh-CN"/>
        </w:rPr>
      </w:pPr>
    </w:p>
    <w:p>
      <w:pPr>
        <w:rPr>
          <w:rFonts w:hint="eastAsia" w:ascii="Times New Roman" w:hAnsi="Times New Roman" w:eastAsia="黑体" w:cs="Times New Roman"/>
          <w:sz w:val="32"/>
          <w:szCs w:val="32"/>
          <w:lang w:val="en-US" w:eastAsia="zh-CN"/>
        </w:rPr>
      </w:pPr>
    </w:p>
    <w:p>
      <w:pPr>
        <w:pStyle w:val="2"/>
        <w:rPr>
          <w:rFonts w:hint="eastAsia" w:ascii="Times New Roman" w:hAnsi="Times New Roman" w:eastAsia="黑体" w:cs="Times New Roman"/>
          <w:sz w:val="32"/>
          <w:szCs w:val="32"/>
          <w:lang w:val="en-US" w:eastAsia="zh-CN"/>
        </w:rPr>
      </w:pPr>
    </w:p>
    <w:p>
      <w:pPr>
        <w:rPr>
          <w:rFonts w:hint="eastAsia" w:ascii="Times New Roman" w:hAnsi="Times New Roman" w:eastAsia="黑体" w:cs="Times New Roman"/>
          <w:sz w:val="32"/>
          <w:szCs w:val="32"/>
          <w:lang w:val="en-US" w:eastAsia="zh-CN"/>
        </w:rPr>
      </w:pPr>
    </w:p>
    <w:p>
      <w:pPr>
        <w:pStyle w:val="2"/>
        <w:rPr>
          <w:rFonts w:hint="eastAsia" w:ascii="Times New Roman" w:hAnsi="Times New Roman" w:eastAsia="黑体" w:cs="Times New Roman"/>
          <w:sz w:val="32"/>
          <w:szCs w:val="32"/>
          <w:lang w:val="en-US" w:eastAsia="zh-CN"/>
        </w:rPr>
      </w:pPr>
    </w:p>
    <w:p>
      <w:pPr>
        <w:rPr>
          <w:rFonts w:hint="eastAsia" w:ascii="Times New Roman" w:hAnsi="Times New Roman" w:eastAsia="黑体" w:cs="Times New Roman"/>
          <w:sz w:val="32"/>
          <w:szCs w:val="32"/>
          <w:lang w:val="en-US" w:eastAsia="zh-CN"/>
        </w:rPr>
      </w:pPr>
    </w:p>
    <w:p>
      <w:pPr>
        <w:pStyle w:val="2"/>
        <w:rPr>
          <w:rFonts w:hint="eastAsia" w:ascii="Times New Roman" w:hAnsi="Times New Roman" w:eastAsia="黑体" w:cs="Times New Roman"/>
          <w:sz w:val="32"/>
          <w:szCs w:val="32"/>
          <w:lang w:val="en-US" w:eastAsia="zh-CN"/>
        </w:rPr>
      </w:pPr>
    </w:p>
    <w:p>
      <w:pPr>
        <w:rPr>
          <w:rFonts w:hint="eastAsia" w:ascii="Times New Roman" w:hAnsi="Times New Roman" w:eastAsia="黑体" w:cs="Times New Roman"/>
          <w:sz w:val="32"/>
          <w:szCs w:val="32"/>
          <w:lang w:val="en-US" w:eastAsia="zh-CN"/>
        </w:rPr>
      </w:pPr>
    </w:p>
    <w:p>
      <w:pPr>
        <w:pStyle w:val="2"/>
        <w:rPr>
          <w:rFonts w:hint="eastAsia" w:ascii="Times New Roman" w:hAnsi="Times New Roman" w:eastAsia="黑体" w:cs="Times New Roman"/>
          <w:sz w:val="32"/>
          <w:szCs w:val="32"/>
          <w:lang w:val="en-US" w:eastAsia="zh-CN"/>
        </w:rPr>
      </w:pPr>
    </w:p>
    <w:p>
      <w:pPr>
        <w:rPr>
          <w:rFonts w:hint="eastAsia" w:ascii="Times New Roman" w:hAnsi="Times New Roman" w:eastAsia="黑体" w:cs="Times New Roman"/>
          <w:sz w:val="32"/>
          <w:szCs w:val="32"/>
          <w:lang w:val="en-US" w:eastAsia="zh-CN"/>
        </w:rPr>
      </w:pPr>
    </w:p>
    <w:p>
      <w:pPr>
        <w:pStyle w:val="2"/>
        <w:rPr>
          <w:rFonts w:hint="eastAsia" w:ascii="Times New Roman" w:hAnsi="Times New Roman" w:eastAsia="黑体" w:cs="Times New Roman"/>
          <w:sz w:val="32"/>
          <w:szCs w:val="32"/>
          <w:lang w:val="en-US" w:eastAsia="zh-CN"/>
        </w:rPr>
      </w:pPr>
    </w:p>
    <w:p>
      <w:pPr>
        <w:pStyle w:val="2"/>
        <w:rPr>
          <w:rFonts w:hint="eastAsia"/>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pPr>
        <w:pStyle w:val="20"/>
        <w:ind w:firstLine="562"/>
        <w:jc w:val="center"/>
        <w:rPr>
          <w:rFonts w:hint="eastAsia" w:ascii="仿宋_GB2312" w:hAnsi="仿宋_GB2312" w:eastAsia="仿宋_GB2312" w:cs="仿宋_GB2312"/>
          <w:sz w:val="28"/>
          <w:szCs w:val="40"/>
        </w:rPr>
      </w:pPr>
      <w:bookmarkStart w:id="1" w:name="_Toc30064_WPSOffice_Level1"/>
      <w:bookmarkStart w:id="2" w:name="_Toc26499_WPSOffice_Level2"/>
      <w:r>
        <w:rPr>
          <w:rFonts w:hint="eastAsia" w:ascii="仿宋_GB2312" w:hAnsi="仿宋_GB2312" w:eastAsia="仿宋_GB2312" w:cs="仿宋_GB2312"/>
          <w:b/>
          <w:bCs/>
          <w:sz w:val="28"/>
          <w:szCs w:val="40"/>
          <w:highlight w:val="none"/>
          <w:lang w:val="en-US" w:eastAsia="zh-CN"/>
        </w:rPr>
        <w:t>巴财教【2023】67号提前下达2024年国家博物馆纪念馆免费开放补助资金</w:t>
      </w:r>
      <w:r>
        <w:rPr>
          <w:rFonts w:hint="eastAsia" w:ascii="仿宋_GB2312" w:hAnsi="仿宋_GB2312" w:eastAsia="仿宋_GB2312" w:cs="仿宋_GB2312"/>
          <w:b/>
          <w:bCs/>
          <w:sz w:val="28"/>
          <w:szCs w:val="40"/>
          <w:highlight w:val="none"/>
        </w:rPr>
        <w:t>项</w:t>
      </w:r>
      <w:r>
        <w:rPr>
          <w:rFonts w:hint="eastAsia" w:ascii="仿宋_GB2312" w:hAnsi="仿宋_GB2312" w:eastAsia="仿宋_GB2312" w:cs="仿宋_GB2312"/>
          <w:b/>
          <w:bCs/>
          <w:sz w:val="28"/>
          <w:szCs w:val="40"/>
          <w:highlight w:val="none"/>
        </w:rPr>
        <w:t>目绩效评价指标体系及综合评</w:t>
      </w:r>
      <w:r>
        <w:rPr>
          <w:rFonts w:hint="eastAsia" w:ascii="仿宋_GB2312" w:hAnsi="仿宋_GB2312" w:eastAsia="仿宋_GB2312" w:cs="仿宋_GB2312"/>
          <w:b/>
          <w:bCs/>
          <w:sz w:val="28"/>
          <w:szCs w:val="40"/>
        </w:rPr>
        <w:t>分</w:t>
      </w:r>
      <w:r>
        <w:rPr>
          <w:rFonts w:hint="eastAsia" w:ascii="仿宋_GB2312" w:hAnsi="仿宋_GB2312" w:eastAsia="仿宋_GB2312" w:cs="仿宋_GB2312"/>
          <w:b/>
          <w:bCs/>
          <w:sz w:val="28"/>
          <w:szCs w:val="40"/>
        </w:rPr>
        <w:t>表</w:t>
      </w:r>
      <w:bookmarkEnd w:id="1"/>
      <w:bookmarkEnd w:id="2"/>
    </w:p>
    <w:tbl>
      <w:tblPr>
        <w:tblStyle w:val="15"/>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680"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2055"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680"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bl>
    <w:p>
      <w:pPr>
        <w:rPr>
          <w:rFonts w:hint="default" w:ascii="Times New Roman" w:hAnsi="Times New Roman" w:cs="Times New Roman"/>
          <w:highlight w:val="none"/>
        </w:rPr>
        <w:sectPr>
          <w:pgSz w:w="16838" w:h="11906" w:orient="landscape"/>
          <w:pgMar w:top="1800" w:right="1440" w:bottom="1558" w:left="1440" w:header="851" w:footer="992" w:gutter="0"/>
          <w:cols w:space="425" w:num="1"/>
          <w:docGrid w:type="lines" w:linePitch="312" w:charSpace="0"/>
        </w:sectPr>
      </w:pPr>
    </w:p>
    <w:p>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8"/>
          <w:jc w:val="center"/>
        </w:pPr>
        <w:r>
          <w:fldChar w:fldCharType="begin"/>
        </w:r>
        <w:r>
          <w:instrText xml:space="preserve">PAGE   \* MERGEFORMAT</w:instrText>
        </w:r>
        <w:r>
          <w:fldChar w:fldCharType="separate"/>
        </w:r>
        <w:r>
          <w:rPr>
            <w:lang w:val="zh-CN"/>
          </w:rPr>
          <w:t>13</w:t>
        </w:r>
        <w: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04178F"/>
    <w:multiLevelType w:val="singleLevel"/>
    <w:tmpl w:val="9A04178F"/>
    <w:lvl w:ilvl="0" w:tentative="0">
      <w:start w:val="2"/>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0234D6A3"/>
    <w:multiLevelType w:val="singleLevel"/>
    <w:tmpl w:val="0234D6A3"/>
    <w:lvl w:ilvl="0" w:tentative="0">
      <w:start w:val="1"/>
      <w:numFmt w:val="decimal"/>
      <w:lvlText w:val="%1."/>
      <w:lvlJc w:val="left"/>
      <w:pPr>
        <w:tabs>
          <w:tab w:val="left" w:pos="312"/>
        </w:tabs>
      </w:p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47692894"/>
    <w:multiLevelType w:val="singleLevel"/>
    <w:tmpl w:val="47692894"/>
    <w:lvl w:ilvl="0" w:tentative="0">
      <w:start w:val="1"/>
      <w:numFmt w:val="decimal"/>
      <w:suff w:val="nothing"/>
      <w:lvlText w:val="（%1）"/>
      <w:lvlJc w:val="left"/>
    </w:lvl>
  </w:abstractNum>
  <w:abstractNum w:abstractNumId="6">
    <w:nsid w:val="4E51398B"/>
    <w:multiLevelType w:val="singleLevel"/>
    <w:tmpl w:val="4E51398B"/>
    <w:lvl w:ilvl="0" w:tentative="0">
      <w:start w:val="3"/>
      <w:numFmt w:val="decimal"/>
      <w:lvlText w:val="%1."/>
      <w:lvlJc w:val="left"/>
      <w:pPr>
        <w:tabs>
          <w:tab w:val="left" w:pos="312"/>
        </w:tabs>
      </w:pPr>
    </w:lvl>
  </w:abstractNum>
  <w:abstractNum w:abstractNumId="7">
    <w:nsid w:val="6FAA0AB1"/>
    <w:multiLevelType w:val="singleLevel"/>
    <w:tmpl w:val="6FAA0AB1"/>
    <w:lvl w:ilvl="0" w:tentative="0">
      <w:start w:val="2"/>
      <w:numFmt w:val="chineseCounting"/>
      <w:suff w:val="nothing"/>
      <w:lvlText w:val="（%1）"/>
      <w:lvlJc w:val="left"/>
      <w:pPr>
        <w:ind w:left="-13"/>
      </w:pPr>
      <w:rPr>
        <w:rFonts w:hint="eastAsia"/>
      </w:rPr>
    </w:lvl>
  </w:abstractNum>
  <w:num w:numId="1">
    <w:abstractNumId w:val="6"/>
  </w:num>
  <w:num w:numId="2">
    <w:abstractNumId w:val="5"/>
  </w:num>
  <w:num w:numId="3">
    <w:abstractNumId w:val="4"/>
  </w:num>
  <w:num w:numId="4">
    <w:abstractNumId w:val="3"/>
  </w:num>
  <w:num w:numId="5">
    <w:abstractNumId w:val="0"/>
  </w:num>
  <w:num w:numId="6">
    <w:abstractNumId w:val="7"/>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Y5Mjg2OTlhMDI0OWI3MDY2YTQ5YTA2NDUyOTlkMjYifQ=="/>
  </w:docVars>
  <w:rsids>
    <w:rsidRoot w:val="FF6C4049"/>
    <w:rsid w:val="006F7242"/>
    <w:rsid w:val="007B168A"/>
    <w:rsid w:val="0085726C"/>
    <w:rsid w:val="008B2CFE"/>
    <w:rsid w:val="00F26F09"/>
    <w:rsid w:val="00F26FF6"/>
    <w:rsid w:val="010D6029"/>
    <w:rsid w:val="015E6FD5"/>
    <w:rsid w:val="01610122"/>
    <w:rsid w:val="017B5688"/>
    <w:rsid w:val="018D025D"/>
    <w:rsid w:val="02510197"/>
    <w:rsid w:val="02581525"/>
    <w:rsid w:val="029B565D"/>
    <w:rsid w:val="02E46E60"/>
    <w:rsid w:val="03BB6210"/>
    <w:rsid w:val="03BD5AE4"/>
    <w:rsid w:val="03EC461B"/>
    <w:rsid w:val="04177516"/>
    <w:rsid w:val="0461077D"/>
    <w:rsid w:val="04D56E5D"/>
    <w:rsid w:val="051931EE"/>
    <w:rsid w:val="052D0A47"/>
    <w:rsid w:val="054144F3"/>
    <w:rsid w:val="0591547A"/>
    <w:rsid w:val="059565ED"/>
    <w:rsid w:val="05EF2F96"/>
    <w:rsid w:val="069468A4"/>
    <w:rsid w:val="06B807E5"/>
    <w:rsid w:val="06EE2458"/>
    <w:rsid w:val="07153E89"/>
    <w:rsid w:val="07397B77"/>
    <w:rsid w:val="073C31C4"/>
    <w:rsid w:val="081E0B1B"/>
    <w:rsid w:val="08891FDF"/>
    <w:rsid w:val="0891753F"/>
    <w:rsid w:val="08D35DAA"/>
    <w:rsid w:val="08EE4992"/>
    <w:rsid w:val="090D2CD0"/>
    <w:rsid w:val="0911242E"/>
    <w:rsid w:val="0946032A"/>
    <w:rsid w:val="09570789"/>
    <w:rsid w:val="095E2AE9"/>
    <w:rsid w:val="096B4234"/>
    <w:rsid w:val="097924AD"/>
    <w:rsid w:val="09CF4F0F"/>
    <w:rsid w:val="0A195A3E"/>
    <w:rsid w:val="0A723A77"/>
    <w:rsid w:val="0AD007F3"/>
    <w:rsid w:val="0AE876BF"/>
    <w:rsid w:val="0B310B66"/>
    <w:rsid w:val="0B927856"/>
    <w:rsid w:val="0C3E353A"/>
    <w:rsid w:val="0C481041"/>
    <w:rsid w:val="0C56464D"/>
    <w:rsid w:val="0CB63A18"/>
    <w:rsid w:val="0D417786"/>
    <w:rsid w:val="0DD57ECE"/>
    <w:rsid w:val="0E097B78"/>
    <w:rsid w:val="0E242ECD"/>
    <w:rsid w:val="0E3C619F"/>
    <w:rsid w:val="0E8029E9"/>
    <w:rsid w:val="0EBD7E0F"/>
    <w:rsid w:val="0F587009"/>
    <w:rsid w:val="0F64775C"/>
    <w:rsid w:val="0F735BF1"/>
    <w:rsid w:val="0FA7589A"/>
    <w:rsid w:val="0FD20B69"/>
    <w:rsid w:val="100F38EC"/>
    <w:rsid w:val="10637A13"/>
    <w:rsid w:val="108552A4"/>
    <w:rsid w:val="110A4333"/>
    <w:rsid w:val="11170296"/>
    <w:rsid w:val="111E393A"/>
    <w:rsid w:val="11B04EDA"/>
    <w:rsid w:val="12462F19"/>
    <w:rsid w:val="1283614B"/>
    <w:rsid w:val="12C66037"/>
    <w:rsid w:val="12CD1ABC"/>
    <w:rsid w:val="12CF75E2"/>
    <w:rsid w:val="13471461"/>
    <w:rsid w:val="136C3083"/>
    <w:rsid w:val="13B90F01"/>
    <w:rsid w:val="13C407C9"/>
    <w:rsid w:val="13C927E6"/>
    <w:rsid w:val="147D6BCA"/>
    <w:rsid w:val="149E6600"/>
    <w:rsid w:val="152D239E"/>
    <w:rsid w:val="154C1139"/>
    <w:rsid w:val="155E4C4D"/>
    <w:rsid w:val="156009C5"/>
    <w:rsid w:val="16070E41"/>
    <w:rsid w:val="16534086"/>
    <w:rsid w:val="16AB5C70"/>
    <w:rsid w:val="175400B6"/>
    <w:rsid w:val="17CA65CA"/>
    <w:rsid w:val="181066D2"/>
    <w:rsid w:val="185365BF"/>
    <w:rsid w:val="18591D0D"/>
    <w:rsid w:val="18CF0B6A"/>
    <w:rsid w:val="190653E0"/>
    <w:rsid w:val="19832ED4"/>
    <w:rsid w:val="1A11228E"/>
    <w:rsid w:val="1A271AB1"/>
    <w:rsid w:val="1A9B3688"/>
    <w:rsid w:val="1AB23A71"/>
    <w:rsid w:val="1B083691"/>
    <w:rsid w:val="1B54283C"/>
    <w:rsid w:val="1B634D6B"/>
    <w:rsid w:val="1BE55780"/>
    <w:rsid w:val="1C671E73"/>
    <w:rsid w:val="1CDF0421"/>
    <w:rsid w:val="1D104A7F"/>
    <w:rsid w:val="1D152095"/>
    <w:rsid w:val="1D322C47"/>
    <w:rsid w:val="1D5C4168"/>
    <w:rsid w:val="1DE5415D"/>
    <w:rsid w:val="1DF4614E"/>
    <w:rsid w:val="1E075364"/>
    <w:rsid w:val="1E490E1B"/>
    <w:rsid w:val="1EEE0DF0"/>
    <w:rsid w:val="1F0C571A"/>
    <w:rsid w:val="1F664E2A"/>
    <w:rsid w:val="1FCD4EA9"/>
    <w:rsid w:val="200308CB"/>
    <w:rsid w:val="20052895"/>
    <w:rsid w:val="20120B0E"/>
    <w:rsid w:val="20AE4CDA"/>
    <w:rsid w:val="20B56069"/>
    <w:rsid w:val="20DD2ECA"/>
    <w:rsid w:val="21333432"/>
    <w:rsid w:val="21C267C7"/>
    <w:rsid w:val="21C81DCC"/>
    <w:rsid w:val="21D7200F"/>
    <w:rsid w:val="22032E04"/>
    <w:rsid w:val="229E0D7F"/>
    <w:rsid w:val="22C02AA3"/>
    <w:rsid w:val="22FF4299"/>
    <w:rsid w:val="23164DB9"/>
    <w:rsid w:val="23502079"/>
    <w:rsid w:val="23616034"/>
    <w:rsid w:val="23696C97"/>
    <w:rsid w:val="236E575A"/>
    <w:rsid w:val="23713D9D"/>
    <w:rsid w:val="23D9206E"/>
    <w:rsid w:val="24480FA2"/>
    <w:rsid w:val="245C5FE8"/>
    <w:rsid w:val="248072D8"/>
    <w:rsid w:val="248A3369"/>
    <w:rsid w:val="248B7CD0"/>
    <w:rsid w:val="24E567F1"/>
    <w:rsid w:val="24E862E1"/>
    <w:rsid w:val="24F349BA"/>
    <w:rsid w:val="24F37160"/>
    <w:rsid w:val="24F829C8"/>
    <w:rsid w:val="250A64A0"/>
    <w:rsid w:val="25227A45"/>
    <w:rsid w:val="252437BD"/>
    <w:rsid w:val="25710085"/>
    <w:rsid w:val="259049AF"/>
    <w:rsid w:val="25BD32CA"/>
    <w:rsid w:val="25C36E47"/>
    <w:rsid w:val="264834DB"/>
    <w:rsid w:val="26A83F7A"/>
    <w:rsid w:val="26AC3A6A"/>
    <w:rsid w:val="277F4CDB"/>
    <w:rsid w:val="27AC35F6"/>
    <w:rsid w:val="27BF3329"/>
    <w:rsid w:val="27D03788"/>
    <w:rsid w:val="27F37477"/>
    <w:rsid w:val="28616AD6"/>
    <w:rsid w:val="28BC5ABB"/>
    <w:rsid w:val="28C01A4F"/>
    <w:rsid w:val="290040C4"/>
    <w:rsid w:val="29080D00"/>
    <w:rsid w:val="291853E7"/>
    <w:rsid w:val="291D29FD"/>
    <w:rsid w:val="29A0362E"/>
    <w:rsid w:val="29A44ECD"/>
    <w:rsid w:val="29B55BD2"/>
    <w:rsid w:val="29B64F52"/>
    <w:rsid w:val="29BB3B0B"/>
    <w:rsid w:val="2A07545B"/>
    <w:rsid w:val="2A135BAE"/>
    <w:rsid w:val="2A5306A1"/>
    <w:rsid w:val="2A554419"/>
    <w:rsid w:val="2AC05D36"/>
    <w:rsid w:val="2AE64910"/>
    <w:rsid w:val="2B9D7E25"/>
    <w:rsid w:val="2BE55328"/>
    <w:rsid w:val="2C7C7A3B"/>
    <w:rsid w:val="2D4F6EFD"/>
    <w:rsid w:val="2DB631E5"/>
    <w:rsid w:val="2DC25921"/>
    <w:rsid w:val="2E6E5700"/>
    <w:rsid w:val="2EC102CF"/>
    <w:rsid w:val="2EF04710"/>
    <w:rsid w:val="2EFF7909"/>
    <w:rsid w:val="2F0A0195"/>
    <w:rsid w:val="2F171C9D"/>
    <w:rsid w:val="2F3565C7"/>
    <w:rsid w:val="2F364819"/>
    <w:rsid w:val="2F3F160C"/>
    <w:rsid w:val="2FD63906"/>
    <w:rsid w:val="300A7A53"/>
    <w:rsid w:val="306F1B59"/>
    <w:rsid w:val="308F4285"/>
    <w:rsid w:val="30DA11D4"/>
    <w:rsid w:val="317E6003"/>
    <w:rsid w:val="31E72093"/>
    <w:rsid w:val="325423CD"/>
    <w:rsid w:val="32A45F3D"/>
    <w:rsid w:val="32AB72CC"/>
    <w:rsid w:val="32B83797"/>
    <w:rsid w:val="32E97DF4"/>
    <w:rsid w:val="33264BA4"/>
    <w:rsid w:val="33686F6B"/>
    <w:rsid w:val="33704071"/>
    <w:rsid w:val="33AA1331"/>
    <w:rsid w:val="342E1F62"/>
    <w:rsid w:val="34313801"/>
    <w:rsid w:val="343155AF"/>
    <w:rsid w:val="34C44320"/>
    <w:rsid w:val="34E73EBF"/>
    <w:rsid w:val="35521C81"/>
    <w:rsid w:val="35B04BF9"/>
    <w:rsid w:val="35D95EFE"/>
    <w:rsid w:val="367125DA"/>
    <w:rsid w:val="36B50719"/>
    <w:rsid w:val="37054AD1"/>
    <w:rsid w:val="37215DAE"/>
    <w:rsid w:val="37384EA6"/>
    <w:rsid w:val="37C36E66"/>
    <w:rsid w:val="38CA40DD"/>
    <w:rsid w:val="38D600AA"/>
    <w:rsid w:val="39276F80"/>
    <w:rsid w:val="392A6A70"/>
    <w:rsid w:val="395F2B56"/>
    <w:rsid w:val="396E02F7"/>
    <w:rsid w:val="3A80103E"/>
    <w:rsid w:val="3AE27603"/>
    <w:rsid w:val="3B304812"/>
    <w:rsid w:val="3B7B35B3"/>
    <w:rsid w:val="3B8A4B98"/>
    <w:rsid w:val="3BBA0580"/>
    <w:rsid w:val="3BBD597A"/>
    <w:rsid w:val="3BC44F5A"/>
    <w:rsid w:val="3BECE841"/>
    <w:rsid w:val="3C6247EB"/>
    <w:rsid w:val="3C7920CA"/>
    <w:rsid w:val="3C7E15AD"/>
    <w:rsid w:val="3CDE204C"/>
    <w:rsid w:val="3D1141CF"/>
    <w:rsid w:val="3D363C36"/>
    <w:rsid w:val="3D7309E6"/>
    <w:rsid w:val="3D736C38"/>
    <w:rsid w:val="3D864BBD"/>
    <w:rsid w:val="3DA43295"/>
    <w:rsid w:val="3DDB6BED"/>
    <w:rsid w:val="3E5C591E"/>
    <w:rsid w:val="3E854E75"/>
    <w:rsid w:val="3E8804C1"/>
    <w:rsid w:val="3E9C3F6D"/>
    <w:rsid w:val="3EE01D9D"/>
    <w:rsid w:val="3F277CDA"/>
    <w:rsid w:val="3F3441A5"/>
    <w:rsid w:val="3F4A31FF"/>
    <w:rsid w:val="3F66383B"/>
    <w:rsid w:val="3F6727CC"/>
    <w:rsid w:val="3F80563C"/>
    <w:rsid w:val="3FCE63A8"/>
    <w:rsid w:val="3FD87226"/>
    <w:rsid w:val="3FDB2873"/>
    <w:rsid w:val="3FF7797D"/>
    <w:rsid w:val="40752CC7"/>
    <w:rsid w:val="40C63523"/>
    <w:rsid w:val="40E37C31"/>
    <w:rsid w:val="40F7192E"/>
    <w:rsid w:val="410C6536"/>
    <w:rsid w:val="411C3143"/>
    <w:rsid w:val="413D1475"/>
    <w:rsid w:val="415154E2"/>
    <w:rsid w:val="415B4202"/>
    <w:rsid w:val="41DD6D76"/>
    <w:rsid w:val="41FB4D33"/>
    <w:rsid w:val="422601A7"/>
    <w:rsid w:val="42C6780A"/>
    <w:rsid w:val="434C41B3"/>
    <w:rsid w:val="436F39FE"/>
    <w:rsid w:val="43A35D9D"/>
    <w:rsid w:val="43B540BA"/>
    <w:rsid w:val="43DD4E0B"/>
    <w:rsid w:val="43E32EF2"/>
    <w:rsid w:val="43E97C54"/>
    <w:rsid w:val="440A3726"/>
    <w:rsid w:val="44343FA0"/>
    <w:rsid w:val="444430DC"/>
    <w:rsid w:val="44780FD8"/>
    <w:rsid w:val="44953938"/>
    <w:rsid w:val="450F3B4E"/>
    <w:rsid w:val="45FC4C14"/>
    <w:rsid w:val="46222FA9"/>
    <w:rsid w:val="46690BD8"/>
    <w:rsid w:val="46BC33FE"/>
    <w:rsid w:val="4725513D"/>
    <w:rsid w:val="473311E6"/>
    <w:rsid w:val="47362E1B"/>
    <w:rsid w:val="48054931"/>
    <w:rsid w:val="487D4E0F"/>
    <w:rsid w:val="48B60321"/>
    <w:rsid w:val="48DD765B"/>
    <w:rsid w:val="495214A8"/>
    <w:rsid w:val="49755AE6"/>
    <w:rsid w:val="49DE368B"/>
    <w:rsid w:val="49F70BF1"/>
    <w:rsid w:val="4A043D0F"/>
    <w:rsid w:val="4A05330E"/>
    <w:rsid w:val="4A6C513B"/>
    <w:rsid w:val="4B4340EE"/>
    <w:rsid w:val="4B5A4F93"/>
    <w:rsid w:val="4BCD4623"/>
    <w:rsid w:val="4C7E2F03"/>
    <w:rsid w:val="4C871DB8"/>
    <w:rsid w:val="4CBA11ED"/>
    <w:rsid w:val="4D2D4D06"/>
    <w:rsid w:val="4D3127C9"/>
    <w:rsid w:val="4D445EFB"/>
    <w:rsid w:val="4D5C3245"/>
    <w:rsid w:val="4D626381"/>
    <w:rsid w:val="4D8B58D8"/>
    <w:rsid w:val="4E9764FE"/>
    <w:rsid w:val="4E9B7D9D"/>
    <w:rsid w:val="4EAC3D58"/>
    <w:rsid w:val="4EC5306C"/>
    <w:rsid w:val="4FD42BF3"/>
    <w:rsid w:val="4FFA4F97"/>
    <w:rsid w:val="500B0F52"/>
    <w:rsid w:val="503D507A"/>
    <w:rsid w:val="506B7335"/>
    <w:rsid w:val="507B7E86"/>
    <w:rsid w:val="508C2093"/>
    <w:rsid w:val="50C1075E"/>
    <w:rsid w:val="50C11611"/>
    <w:rsid w:val="5125272A"/>
    <w:rsid w:val="51532BB1"/>
    <w:rsid w:val="51FA74D0"/>
    <w:rsid w:val="524A3FB4"/>
    <w:rsid w:val="52AA4A52"/>
    <w:rsid w:val="52B93C01"/>
    <w:rsid w:val="52DE294E"/>
    <w:rsid w:val="52E2243E"/>
    <w:rsid w:val="52E31D12"/>
    <w:rsid w:val="531225F7"/>
    <w:rsid w:val="538A03E0"/>
    <w:rsid w:val="539914A5"/>
    <w:rsid w:val="53B92A73"/>
    <w:rsid w:val="53DE791F"/>
    <w:rsid w:val="53F31BCB"/>
    <w:rsid w:val="54295E4B"/>
    <w:rsid w:val="550B5550"/>
    <w:rsid w:val="550D3076"/>
    <w:rsid w:val="55651104"/>
    <w:rsid w:val="55E55DA1"/>
    <w:rsid w:val="55FD133D"/>
    <w:rsid w:val="56075D18"/>
    <w:rsid w:val="56426DA8"/>
    <w:rsid w:val="568668DD"/>
    <w:rsid w:val="56881FAE"/>
    <w:rsid w:val="56903F5F"/>
    <w:rsid w:val="56955A19"/>
    <w:rsid w:val="56B85264"/>
    <w:rsid w:val="56CD0D0F"/>
    <w:rsid w:val="57DE2F63"/>
    <w:rsid w:val="57E722A5"/>
    <w:rsid w:val="57FB7AFE"/>
    <w:rsid w:val="581B1F4E"/>
    <w:rsid w:val="5848288D"/>
    <w:rsid w:val="596C2A61"/>
    <w:rsid w:val="598A5569"/>
    <w:rsid w:val="59943D66"/>
    <w:rsid w:val="59E051FD"/>
    <w:rsid w:val="59E6355E"/>
    <w:rsid w:val="59F40CA9"/>
    <w:rsid w:val="5A2A6479"/>
    <w:rsid w:val="5A4F2D05"/>
    <w:rsid w:val="5A851901"/>
    <w:rsid w:val="5AD84127"/>
    <w:rsid w:val="5AF251E8"/>
    <w:rsid w:val="5AFF3461"/>
    <w:rsid w:val="5B615ECA"/>
    <w:rsid w:val="5B821531"/>
    <w:rsid w:val="5BDE576D"/>
    <w:rsid w:val="5BFF6039"/>
    <w:rsid w:val="5C1B42CB"/>
    <w:rsid w:val="5CD0104A"/>
    <w:rsid w:val="5D76A616"/>
    <w:rsid w:val="5D7F20B9"/>
    <w:rsid w:val="5DAC7D0E"/>
    <w:rsid w:val="5E781EA8"/>
    <w:rsid w:val="5EF7101F"/>
    <w:rsid w:val="5F1A2F60"/>
    <w:rsid w:val="5F357D99"/>
    <w:rsid w:val="5F545E04"/>
    <w:rsid w:val="5F7F0817"/>
    <w:rsid w:val="5F7F2518"/>
    <w:rsid w:val="5F98B5AF"/>
    <w:rsid w:val="5F990328"/>
    <w:rsid w:val="5FA8056B"/>
    <w:rsid w:val="5FEA2932"/>
    <w:rsid w:val="5FFE8511"/>
    <w:rsid w:val="5FFEACE2"/>
    <w:rsid w:val="60395667"/>
    <w:rsid w:val="6074044E"/>
    <w:rsid w:val="609D5BF6"/>
    <w:rsid w:val="60F44AF8"/>
    <w:rsid w:val="60FD48E7"/>
    <w:rsid w:val="61016185"/>
    <w:rsid w:val="61073070"/>
    <w:rsid w:val="610C68D8"/>
    <w:rsid w:val="610D1780"/>
    <w:rsid w:val="6142054C"/>
    <w:rsid w:val="615838CB"/>
    <w:rsid w:val="61B9080E"/>
    <w:rsid w:val="61CB6793"/>
    <w:rsid w:val="61CD250B"/>
    <w:rsid w:val="61DF3FED"/>
    <w:rsid w:val="61F21F72"/>
    <w:rsid w:val="623B7475"/>
    <w:rsid w:val="625642AF"/>
    <w:rsid w:val="62D578C9"/>
    <w:rsid w:val="62FA10DE"/>
    <w:rsid w:val="631F6D97"/>
    <w:rsid w:val="6347265C"/>
    <w:rsid w:val="636E387A"/>
    <w:rsid w:val="63F25305"/>
    <w:rsid w:val="63FA6EBC"/>
    <w:rsid w:val="64167B1A"/>
    <w:rsid w:val="642B176B"/>
    <w:rsid w:val="643EE26D"/>
    <w:rsid w:val="649E3CEB"/>
    <w:rsid w:val="64A137DB"/>
    <w:rsid w:val="64B81251"/>
    <w:rsid w:val="64E95DAB"/>
    <w:rsid w:val="64F97173"/>
    <w:rsid w:val="656019A0"/>
    <w:rsid w:val="658E701D"/>
    <w:rsid w:val="65ED4F2A"/>
    <w:rsid w:val="65F242EE"/>
    <w:rsid w:val="65FC6F1B"/>
    <w:rsid w:val="661A55F3"/>
    <w:rsid w:val="66293A88"/>
    <w:rsid w:val="666D7E19"/>
    <w:rsid w:val="66CA0DC7"/>
    <w:rsid w:val="66D165FA"/>
    <w:rsid w:val="68376930"/>
    <w:rsid w:val="687F3E33"/>
    <w:rsid w:val="68916EBB"/>
    <w:rsid w:val="68A13DAA"/>
    <w:rsid w:val="68F16ADF"/>
    <w:rsid w:val="68F91E38"/>
    <w:rsid w:val="69A2602B"/>
    <w:rsid w:val="6A6A4FA4"/>
    <w:rsid w:val="6B272C8C"/>
    <w:rsid w:val="6B3158B9"/>
    <w:rsid w:val="6B543355"/>
    <w:rsid w:val="6B893E22"/>
    <w:rsid w:val="6B95409A"/>
    <w:rsid w:val="6BA02A3F"/>
    <w:rsid w:val="6C1E5A53"/>
    <w:rsid w:val="6C9C1458"/>
    <w:rsid w:val="6CFC5A53"/>
    <w:rsid w:val="6DE54739"/>
    <w:rsid w:val="6E26547D"/>
    <w:rsid w:val="6E91041D"/>
    <w:rsid w:val="6EA63EC8"/>
    <w:rsid w:val="6EB83BFB"/>
    <w:rsid w:val="6EBD1212"/>
    <w:rsid w:val="6EBD15FB"/>
    <w:rsid w:val="6EEB2223"/>
    <w:rsid w:val="6EF2535F"/>
    <w:rsid w:val="6F184237"/>
    <w:rsid w:val="6F4A6F49"/>
    <w:rsid w:val="6F5C41AC"/>
    <w:rsid w:val="6FAF6C78"/>
    <w:rsid w:val="6FC05BA7"/>
    <w:rsid w:val="70893AA1"/>
    <w:rsid w:val="70DA42FD"/>
    <w:rsid w:val="711F7F62"/>
    <w:rsid w:val="716167CC"/>
    <w:rsid w:val="718A7AD1"/>
    <w:rsid w:val="71A30B93"/>
    <w:rsid w:val="720930EC"/>
    <w:rsid w:val="720A6E64"/>
    <w:rsid w:val="723839D1"/>
    <w:rsid w:val="729B7ABC"/>
    <w:rsid w:val="72A44BC2"/>
    <w:rsid w:val="72B34E05"/>
    <w:rsid w:val="72F01BB6"/>
    <w:rsid w:val="730833A3"/>
    <w:rsid w:val="7317C656"/>
    <w:rsid w:val="734ED73F"/>
    <w:rsid w:val="73752F6C"/>
    <w:rsid w:val="73C82B32"/>
    <w:rsid w:val="73F94DAE"/>
    <w:rsid w:val="741144D9"/>
    <w:rsid w:val="74220495"/>
    <w:rsid w:val="747D1B6F"/>
    <w:rsid w:val="749E5641"/>
    <w:rsid w:val="74A92964"/>
    <w:rsid w:val="74E27C24"/>
    <w:rsid w:val="751909B1"/>
    <w:rsid w:val="758E3908"/>
    <w:rsid w:val="76271066"/>
    <w:rsid w:val="77764653"/>
    <w:rsid w:val="77DF669D"/>
    <w:rsid w:val="77FD8BE9"/>
    <w:rsid w:val="78000AED"/>
    <w:rsid w:val="783658A0"/>
    <w:rsid w:val="78B813C8"/>
    <w:rsid w:val="78D45AD6"/>
    <w:rsid w:val="79865022"/>
    <w:rsid w:val="79A9BD3F"/>
    <w:rsid w:val="79D20267"/>
    <w:rsid w:val="79FA77BE"/>
    <w:rsid w:val="7A664E53"/>
    <w:rsid w:val="7A8552D9"/>
    <w:rsid w:val="7A9C2623"/>
    <w:rsid w:val="7A9E5A95"/>
    <w:rsid w:val="7AD16771"/>
    <w:rsid w:val="7AF10BC1"/>
    <w:rsid w:val="7B0F54EB"/>
    <w:rsid w:val="7B776F12"/>
    <w:rsid w:val="7B7A2964"/>
    <w:rsid w:val="7BB37C24"/>
    <w:rsid w:val="7BE73D72"/>
    <w:rsid w:val="7BFFFDD0"/>
    <w:rsid w:val="7C336E5F"/>
    <w:rsid w:val="7C7C270C"/>
    <w:rsid w:val="7C7E0232"/>
    <w:rsid w:val="7C8D4919"/>
    <w:rsid w:val="7C8F68E3"/>
    <w:rsid w:val="7CC114A2"/>
    <w:rsid w:val="7CCD740C"/>
    <w:rsid w:val="7D1352EA"/>
    <w:rsid w:val="7D7A5F86"/>
    <w:rsid w:val="7E4B683A"/>
    <w:rsid w:val="7E5964B1"/>
    <w:rsid w:val="7E5E656D"/>
    <w:rsid w:val="7E8104AE"/>
    <w:rsid w:val="7E8F2BCB"/>
    <w:rsid w:val="7E9006F1"/>
    <w:rsid w:val="7EEB3B79"/>
    <w:rsid w:val="7F1E3F4E"/>
    <w:rsid w:val="7F242738"/>
    <w:rsid w:val="7F37BB4E"/>
    <w:rsid w:val="7F3E339D"/>
    <w:rsid w:val="7F480FCB"/>
    <w:rsid w:val="7F6A7F0B"/>
    <w:rsid w:val="7FEF2EBD"/>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Plain Text"/>
    <w:basedOn w:val="1"/>
    <w:next w:val="1"/>
    <w:qFormat/>
    <w:uiPriority w:val="0"/>
    <w:pPr>
      <w:spacing w:line="240" w:lineRule="auto"/>
    </w:pPr>
    <w:rPr>
      <w:rFonts w:ascii="宋体" w:hAnsi="Courier New"/>
      <w:kern w:val="0"/>
      <w:sz w:val="20"/>
      <w:szCs w:val="21"/>
    </w:rPr>
  </w:style>
  <w:style w:type="paragraph" w:styleId="4">
    <w:name w:val="annotation text"/>
    <w:basedOn w:val="1"/>
    <w:link w:val="23"/>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1"/>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subject"/>
    <w:basedOn w:val="4"/>
    <w:next w:val="4"/>
    <w:link w:val="24"/>
    <w:qFormat/>
    <w:uiPriority w:val="0"/>
    <w:rPr>
      <w:b/>
      <w:bCs/>
    </w:rPr>
  </w:style>
  <w:style w:type="paragraph" w:styleId="13">
    <w:name w:val="Body Text First Indent"/>
    <w:basedOn w:val="5"/>
    <w:qFormat/>
    <w:uiPriority w:val="0"/>
    <w:pPr>
      <w:spacing w:after="0"/>
      <w:ind w:firstLine="200" w:firstLineChars="200"/>
    </w:pPr>
  </w:style>
  <w:style w:type="paragraph" w:styleId="14">
    <w:name w:val="Body Text First Indent 2"/>
    <w:basedOn w:val="6"/>
    <w:qFormat/>
    <w:uiPriority w:val="0"/>
    <w:pPr>
      <w:ind w:firstLine="420" w:firstLineChars="200"/>
    </w:pPr>
  </w:style>
  <w:style w:type="character" w:styleId="17">
    <w:name w:val="Strong"/>
    <w:basedOn w:val="16"/>
    <w:qFormat/>
    <w:uiPriority w:val="0"/>
    <w:rPr>
      <w:b/>
      <w:bCs/>
    </w:rPr>
  </w:style>
  <w:style w:type="character" w:styleId="18">
    <w:name w:val="annotation reference"/>
    <w:basedOn w:val="16"/>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6"/>
    <w:link w:val="7"/>
    <w:qFormat/>
    <w:uiPriority w:val="0"/>
    <w:rPr>
      <w:rFonts w:ascii="Times New Roman" w:hAnsi="Times New Roman" w:eastAsia="宋体" w:cs="Times New Roman"/>
      <w:kern w:val="2"/>
      <w:sz w:val="18"/>
      <w:szCs w:val="18"/>
    </w:rPr>
  </w:style>
  <w:style w:type="character" w:customStyle="1" w:styleId="22">
    <w:name w:val="页眉 字符"/>
    <w:basedOn w:val="16"/>
    <w:link w:val="9"/>
    <w:qFormat/>
    <w:uiPriority w:val="0"/>
    <w:rPr>
      <w:rFonts w:ascii="Times New Roman" w:hAnsi="Times New Roman" w:eastAsia="宋体" w:cs="Times New Roman"/>
      <w:kern w:val="2"/>
      <w:sz w:val="18"/>
      <w:szCs w:val="18"/>
    </w:rPr>
  </w:style>
  <w:style w:type="character" w:customStyle="1" w:styleId="23">
    <w:name w:val="批注文字 字符"/>
    <w:basedOn w:val="16"/>
    <w:link w:val="4"/>
    <w:qFormat/>
    <w:uiPriority w:val="0"/>
    <w:rPr>
      <w:rFonts w:ascii="Times New Roman" w:hAnsi="Times New Roman" w:eastAsia="宋体" w:cs="Times New Roman"/>
      <w:kern w:val="2"/>
      <w:sz w:val="21"/>
      <w:szCs w:val="24"/>
    </w:rPr>
  </w:style>
  <w:style w:type="character" w:customStyle="1" w:styleId="24">
    <w:name w:val="批注主题 字符"/>
    <w:basedOn w:val="23"/>
    <w:link w:val="12"/>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33</Pages>
  <Words>155</Words>
  <Characters>182</Characters>
  <Lines>58</Lines>
  <Paragraphs>16</Paragraphs>
  <TotalTime>30</TotalTime>
  <ScaleCrop>false</ScaleCrop>
  <LinksUpToDate>false</LinksUpToDate>
  <CharactersWithSpaces>183</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cp:lastPrinted>2025-04-29T10:41:31Z</cp:lastPrinted>
  <dcterms:modified xsi:type="dcterms:W3CDTF">2025-04-29T10:57:58Z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F1A32EB7C53F433780EB4BD1AD3DECDF_13</vt:lpwstr>
  </property>
  <property fmtid="{D5CDD505-2E9C-101B-9397-08002B2CF9AE}" pid="4" name="KSOTemplateDocerSaveRecord">
    <vt:lpwstr>eyJoZGlkIjoiZjM5NjNkZjcwZTFlZWM1ZWM2NTU2YzZjYjM5ZDhiZjMiLCJ1c2VySWQiOiIxNDY0NzM1MjA4In0=</vt:lpwstr>
  </property>
</Properties>
</file>