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巴财综[2024]4号关于下达2024年自治州体育彩票公益金支持体育事业项目的通知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库尔勒市文化体育广播电视和旅游局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库尔勒市文化体育广播电视和旅游局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秦亮</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深入贯彻落实《体育强国建设纲要》《全民健身计划（2021-2025年）》及《新疆维吾尔自治区体育发展“十四五”规划》，充分发挥体育彩票公益金“取之于民、用之于民”的社会效益，2024年体育彩票公益金将主要用于支持群众体育赛事活动和竞技体育赛事，旨在丰富人民群众的文化生活，提高全民身体素质，促进体育产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项目主要内容：举办赛事活动场次不少于26场，承办自治州指令性比赛天数不少于11天,开展全民体育活动不仅丰富了广大人民群众的生活，还增强了人民体质、提高了各民族群众身体素质和生活质量。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项目实施情况：2月14日、2月24日在人民广场举办2024年“龙舞华章贺新岁 欢欢喜喜过大年”游园活动，4月28日，库尔勒市在鸿雁广场举办了千人太极拳展演活动，5月3日，2024和美乡村·伊犁马性能测试系列赛在库尔勒市东归赛马场开赛。5月12日，举办2024库尔勒马拉松比赛。6月10日，库尔勒2024年第三届“中交绿城·蘭园杯”端午节龙舟赛在孔雀河畔火热开赛。8月8日，武术、篮球、气功、围棋、自行车、拉丁舞、广场舞等16个体育协会及社会团体近2700余人次在风帆广场进行“全民健身日”主题活动展演、推介、体验、健步走活动。9月6日，新疆·库尔勒2024“梨享时光 缤纷采摘季”系列活动盛大启幕，为期三天，先后开展第四届“捷安特杯”公路自行车赛、文化·体育专场(变脸、威风锣鼓、武术、健身操、太极、街舞”）、街头篮球争霸赛、围棋挑战赛、摔跤比赛、观赏鸽比赛等系列体育活动。9月26日至9月29日，“迈开步 动出彩”“国球进社区”“国球进公园”公益行活动走进新疆库尔勒，奥运冠军、优秀运动员和健身专家深入基层，推广乒乓球等群众喜爱的运动项目，其间中央媒体深入当地社区、学校、商圈采访。组织乡镇村、街道社区开展农牧民篮球赛、广场舞大赛、社区运动会、羽毛球、乒乓球等一系列形式多样、内容丰富、社会反响热烈的群体赛事活动，切实把体育精神带到群众身边，唤起本土体育文化共鸣，打造全民健身多样化品牌，营造全民健身良好氛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该项目年初预算数419万元，全年预算数419万元，该项目资金已全部落实到位，资金来源为自治州体育彩票公益金支持体育事业发展。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该项目年初预算数419万元，全年预算数419万元，全年执行数207.75万元，预算执行率为49.58%，主要用于：支付2024年马拉松比赛183.3万元；支付6项赛事24.45万元。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举办赛事活动场次不少于26场，承办自治州指令性比赛天数不少于11天。目标2：促进竞技体育事业发展达到80%。2024年，我局抢抓丰富群众体育、竞技体育、学校体育活动等重点工作，加强群众体育活动的组织和领导，建立政府组织、社会支持、群众参与的体育活动运作机制，广泛而经常地组织全市城乡开展各种大、中型群众性体育活动，形成大节日有大活动、小节日有小活动、日常活动经常化的体育活动模式。进一步激发广大人民群众热爱运动、热爱家乡、热爱祖国的情怀，传承和弘扬中华民族优秀传统文化，充分体现各族人民团结奋进、砥砺奋进的精神风貌，增强城市凝聚力、吸引力、创造力、竞争力、影响力，打造宜居、宜业、宜游的现代生态文明之城，促进各族群众交流交往交融，努力提高群众健康水平，倡导健康生活方式，推动群众体育、竞技体育、体育产业协调发展，促进库尔勒市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第一阶段是对需要定期组织赛事活动策划培训和组织能力培训，提高工作人员的组织策划能力和专业水平。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第二阶段是制定赛事活动组织流程和标准化工作指引、确保赛事活动顺利进行。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第三阶段是不定期对项目开展情况进行问效并跟进具体实施情况，扩大赛事活动的影响力和社会影响力。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第四阶段是发放调查问卷进行数据分析，对赛事开展情况进行摸底调查。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数据收集与分析环节，采用了多种科学合理的方法，如实地调研、问卷调查，广泛收集了与项目相关的基础信息、需求反馈、实施效果、群众满意度等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项目预算执行情况及各项绩效目标达成程度的系统性分析，全面、客观地评估巴财综[2024]4号关于下达2024年自治州体育彩票公益金支持体育事业项目（416万元）项目在预定周期内的实施效果，包括社会效益以及可持续性体育人才选拔等多维度指标，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项目预算执行情况及各项绩效目标达成程度的系统性分析，全面、客观地评估项目在预定周期内的实施效果，包括社会效益以及可持续性体育人才选拔等多维度指标，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巴财综[2024]4号关于下达2024年自治州体育彩票公益金支持体育事业项目的通知及其预算执行情况。该项目由库尔勒市文化体育广播电视和旅游局负责实施，通过举办赛事活动场次不少于26场，承办自治州指令性比赛天数不少于11天。促进竞技体育事业发展达到80%。项目预算涵盖从2024-01-01至2024-12-31的全部资金投入与支出，涉及资金总额为207.75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（1）项目预算编制与执行：全面审视项目预算的编制依据、合理性、科学性以及实际执行情况，包括预算调整的原因和效果。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（2）资金管理：深入分析项目资金的分配、使用和监管情况，确保资金使用的合规性、高效性和透明度。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（4）社会影响：激发广大人民群众热爱运动、热爱家乡、热爱祖国的情怀，传承和弘扬中华民族优秀传统文化</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（一）比较法。在项目实施之前预先制定了该项目的目标、计划和预算，可以将该项目的实施情况与绩效目标比较后进行评价。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（二）公众评判法。本单位在该项目实施完成后向参与到该项目的群众及工作人员发放调查问卷对该项目绩效的各种指标进行评判，可以根据评判结果进行评价。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本次评价主要采用了计划标准。因为本单位在项目实施之前预先制定了该项目的目标、计划和预算，可以通过对比该项目的实际完成值与预定值，找出两者之间的差距，从而评估绩效。？</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初，成立了专门的评价工作小组，小组成员由财务报账员张若琳、项目管理专业人员张鹏亮、罗晓雯、贺月强骨干组成，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项目资金支出报表、人员名单、参与度年龄及参与人数年龄调查、满意度评价等。在数据收集过程中，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达到了预期的标准和要求，按照预定计划完成各项任务，符合预期的质量标准，对社会产生积极影响，改善了公共服务、提高了广大爱好体育运动人员的参与率，群众满意率也相应提高。在分析过程中，注重数据之间的关联性与逻辑性，深入剖析项目绩效背后的原因，识别出项目实施过程中的优势与不足，为提出有针对性的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综合评价基于对项目各方面绩效的深入分析与评估。从项目目标的达成情况来看，巴财综[2024]4号关于下达2024年自治州体育彩票公益金支持体育事业项目在承办自治州指令性比赛天数，全年开展自治州指令比赛天数达到10天，指令性比赛天数完成率90.91%。承办自治州指令性比赛成本等方面表现出色，达到了预期的标准与要求。2024年，库尔勒市抢抓丰富群众体育、竞技体育、学校体育活动等重点工作，加强群众体育活动的组织和领导，建立政府组织、社会支持、群众参与的体育活动运作机制，广泛而经常地组织全市城乡开展各种大、中型群众性体育活动，形成大节日有大活动、小节日有小活动、日常活动经常化的体育活动模式。进一步激发广大人民群众热爱运动、热爱家乡、热爱祖国的情怀，传承和弘扬中华民族优秀传统文化，充分体现各族人民团结奋进、砥砺奋进的精神风貌，增强城市凝聚力、吸引力、创造力、竞争力、影响力，打造宜居、宜业、宜游的现代生态文明之城，促进各族群众交流交往交融，努力提高群众健康水平，倡导健康生活方式，推动群众体育、竞技体育、体育产业协调发展，促进库尔勒市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站在新的起点上，库尔勒市将继续秉持以人民为中心的发展思想，深化体育改革，优化资源配置，不断提升体育公共服务水平，努力将库尔勒打造成为体育强市、健康之城。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在项目管理方面，库尔勒市文化体育广播电视和旅游局通过有效的规划、组织与协调，项目得以顺利实施，并在预算与时间上保持了良好的控制。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从项目效益的角度来看，本项目实现了预期的社会效益方面产生了积极的影响。具体而言，体育竞技方面的提升，为项目的利益相关者带来了实实在在的利益。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综上所述，巴财综[2024]4号关于下达2024年自治州体育彩票公益金支持体育事业项目的通知在绩效评价中表现出色，达到了项目的预期目标，并在多个方面取得了显著的成效。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93分，属于“优”。其中，项目决策类指标权重为20分，得分为 20分，得分率为 100%。项目过程类指标权重为20分，得分为19分，得分率为 95%。项目产出类指标权重为40分，得分为34分，得分率为85%。项目效益类指标权重为20分，得分为20分，得分率为100%。具体打分情况详见：附件1综合评分表。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表1综合评分表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权重分</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19</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34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93</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立项贯彻落实《体育强国建设纲要》《全民健身计划（2021-2025年）》及《新疆维吾尔自治区体育发展“十四五”规划》，围绕本年度工作重点和工作计划制定经费预算，属于公共财政支持范围。本项目与部门内部其他相关项目不重复。部门发展规划及职能文件等归档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请、设立过程符合《体育强国建设纲要》《全民健身计划（2021-2025年）》及《新疆维吾尔自治区体育发展“十四五”规划》，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项目过程类指标包括资金管理和组织实施两方面的内容，由5个三级指标构成，权重分值为20分，实际得分19分，得分率为95%。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本项目总投资419万元，财政资金及时足额到位，到位率100%，预算资金按计划进度执行。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预算编制较为详细，项目资金支出总体能够按照预算执行，预算资金支出207.75万元，预算执行率为49.58%。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使用严格遵循了《自治区体育彩票公益金支持地方体育事业资金管理办法》与财务制度，确保了资金的合规性与安全性。在资金使用过程中，我们建立了完善的财务管理体系，对资金的流动进行了全程监控与记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在制度设计上，我们注重了制度的科学性与可操作性，确保制度能够切实指导项目的执行与管理。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在具体执行过程中，我局严格按照上级专项资金支付制度要求进行操作。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项目产出类指标包括产出数量、产出质量、产出时效、产出成本四方面的内容，由6个三级指标构成，权重分为40分，实际得分34分，得分率为85%。具体产出指标完成情况如下：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指标1：举办赛事活动场次，指标值：&gt;=26场 ，实际完成值：10场，指标完成率38.46%，偏差原因：年初安排的部分赛事，因时间安排上有冲突，在后期赛事活动中取消或赛事进行合并，改进措施：提高绩效工作精准度。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指标2：承办自治州指令性比赛天数，指标值：&gt;=11个 ，实际完成值：10天，指标完成率90.91%，偏差原因：年初安排的部分赛事，赛事实施过程中受天气影响，缩短了比赛天数。改进措施：合理安排比赛日程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指标1：赛事任务完成率，指标值：=90%</w:t>
      </w:r>
      <w:r>
        <w:rPr>
          <w:rStyle w:val="18"/>
          <w:rFonts w:hint="eastAsia" w:ascii="楷体" w:hAnsi="楷体" w:eastAsia="楷体"/>
          <w:spacing w:val="-4"/>
          <w:sz w:val="32"/>
          <w:szCs w:val="32"/>
        </w:rPr>
        <w:tab/>
        <w:t xml:space="preserve"> ，实际完成值：38.46%，指标完成率38.46%，偏差原因：年初安排的部分赛事，因时间安排上有冲突，在后期赛事活动中取消或赛事进行合并，改进措施：提高绩效工作精准度。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此项权重分值为10分，得分为9分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指标1：赛事任务完成及时率，指标值：=90%</w:t>
      </w:r>
      <w:r>
        <w:rPr>
          <w:rStyle w:val="18"/>
          <w:rFonts w:hint="eastAsia" w:ascii="楷体" w:hAnsi="楷体" w:eastAsia="楷体"/>
          <w:spacing w:val="-4"/>
          <w:sz w:val="32"/>
          <w:szCs w:val="32"/>
        </w:rPr>
        <w:tab/>
        <w:t xml:space="preserve"> ，实际完成值：=38.46%，指标完成率=38.46%，偏差原因：年初安排的部分赛事，因时间安排上有冲突，在后期赛事活动中取消或赛事进行合并，改进措施：提高绩效工作精准度。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此项权重分值为10分，得分为9分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指标1：承办自治州指令性比赛成本，指标值：&lt;=26万元 ，实际完成值：24.45万元，指标完成率=94.04%，偏差原因：该笔费用用于6项体育赛事，在做预算支出时，未能及时询价导致实际支付低于预算；改进措施：提高绩效工作精准度。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举办其他赛事成本，指标值：&lt;=393万元，实际完成值：183.3万元，指标完成率46.64%，偏差原因：年初安排的部分赛事，因时间安排上有冲突，在后期赛事活动中取消或赛事进行合并；改进措施：提高绩效工作精准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指标1：促进竞技体育事业发展，指标值：&gt;=80% ，实际完成值：80%，指标完成率100%。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受调查群众满意度，指标值：&gt;=90% ，实际完成值：91%，指标完成率100%。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保障项目全周期高效推进，需构建系统化管理体系：一是强化前期规划，对项目实施方案开展多轮论证与审核，确保计划科学可行；二是严格过程管控，建立常态化监督机制，依据项目管理标准实施动态跟踪，实时监控项目进度与质量；三是健全资金监管体系，严格对照资金使用目录审核支出，确保专款专用、流向清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管理严格遵循"建设-验收-拨付"流程，构建全链条风险防控机制，有效遏制资金挤占挪用问题。财政、纪检、监察等部门全程参与项目监管，将监督关口前移，形成"事前预审-事中巡查-事后审计"三位一体的监督闭环。通过多部门协同、多环节联动的立体化监管模式，实现问题早预警、早处置，切实提升项目管理质效与资金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财务工作水平需进一步提升。会计2024年7月由体育科人员转任会计、报账员由人事干事兼任，因人员都不是财务专业、导致业务生疏，财务水平薄弱，财务知识欠缺，绩效工作项目支出水平有待提升。</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加强干部培训学习，提高绩效工作水平。一是通过支部集中学习、安排外出培训等多项式，及时跟进学习财政、审计等部门最新出台的政策规定，系统学习国家及地方最新的财务政策、法规，重点关注与残联业务相关的财务管理规定，深入学习残联职能定位、工作流程，全面掌握残联业务，不断更新绩效工作业务知识，结合实际工作提升服务质量不断增强干部理论实操，做到业务精、本领硬、责任心强，切实提高绩效工作水平；二是健全和完善绩效工作要求，找准薄弱环节，明确工作重点，强化预算管理、政府采购、资金拨付与费用支出管理、资产管理、报销审批程序等经济活动的学习，进一步夯实业务基础，提高我单位绩效人员水平。</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63778FA"/>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11646</Words>
  <Characters>12024</Characters>
  <Lines>5</Lines>
  <Paragraphs>1</Paragraphs>
  <TotalTime>0</TotalTime>
  <ScaleCrop>false</ScaleCrop>
  <LinksUpToDate>false</LinksUpToDate>
  <CharactersWithSpaces>12064</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2025-08-15T06:43:55Z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A9BB00EEDFB94E42BF3A7AD1D2429D9F</vt:lpwstr>
  </property>
</Properties>
</file>