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库尔勒市文化体育广播电视和旅游局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贯彻落实党和国家文化体育广播电视和旅游方针政策，发展中国特色社会主义文化，实施旅游兴市战略。牢牢掌握意识形态工作的领导权和主动权，指导文化体育广播电视和旅游人才队伍建设，拟订文化体育广播电视和旅游政策措施并组织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（二）统筹文化体育和旅游事业、产业振兴发展，拟订库尔勒市文化和旅游发展规划并组织实施，推进文化和旅游创新融合绿色发展，实施“文化体育和旅游+”。落实文化和旅游体制机制改革。</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管理全市重大文化体育和旅游活动，指导库尔勒市重点文化体育和旅游设施建设，组织文化体育和旅游整体形象推广，构建全媒体时代的宣传营销平台和机制。促进文化和旅游产业对外合作和市场推广，拟订旅游市场开发战略并组织实施。统筹文化和旅游景区管理、指导、推进全域旅游。</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（四）指导、管理文艺事业，指导艺术创作生产及艺术研究、评论，扶持坚守中华文化立场、体现社会主义核心价值观、具有导向性、代表性、示范性的文艺作品，推动各门类艺术、各艺术品种发展。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（五）负责公共文化事业发展，推进库尔勒市公共文化服务体系建设和旅游公共服务建设，深入实施文化惠民工程，统筹推进基本公共文化服务标准化、均等化。</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（六）指导文化和旅游科技创新发展，推进文化和旅游行业信息化、标准化建设。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（七）负责非物质文化遗产事业发展，推动非物质文化遗产的保护、传承、普及、弘扬和振兴。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八）统筹规划文化体育和旅游产业，组织实施文化和旅游资源的普查、挖掘、保护与利用工作，推动文化体育和旅游产业投融资体系建设，促进文化体育和旅游产业发展。结合乡村振兴战略，推进文化和旅游扶贫。指导全市打响文化旅游品牌，构建打造文化旅游强市和南疆丝绸之路旅游目的地和集散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（九）指导文化和旅游市场发展，推进文化和旅游行业信用体系建设。指导库尔勒市文化旅游市场综合执法，对文化、体育和旅游市场经营进行行业监管，依法规范文化、体育和旅游市场。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（十）负责文化和旅游安全的综合协调与监督管理，指导文化和旅游应急救援工作。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（十一）指导、管理文化和旅游对外交流、合作、宣传、推广，组织大型文化和旅游对外交流活动，推动中华文化走出去。</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（十二）指导统筹文物工作。负责文物保护管理、抢救维修、考古发掘、科技研究、宣传教育等工作。指导博物馆和革命文物工作。依法规范社会文物流通、经销和拍卖活动等工作。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（十三）统筹规划库尔勒市竞技体育发展，设置体育运动项目，指导协调体育训练和体育竞赛，承办和参加自治区、自治州以及库尔勒市的运动竞赛，指导运动队伍建设，协调、监督体育运动中的反兴奋剂工作。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四）统筹规划库尔勒市青少年体育发展，指导和推进青少年体育工作；规范体育服务管理，推动体育标准化建设；负责体育彩票发行管理；组织实施全民健身计划，推动建立和完善全民健身服务体系，推行社会体育指导员和国民体质监测制度；负责公共体育设施项目的申报、监督和管理工作；指导群众性体育项目的训练竞赛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（十五）负责制定广播电视领域事业产业发展政策和规划，开展广播电视交流与合作。指导、监督广播电视重点基础设施建设。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（十六）组织实施广播电视、网络视听节目服务管理行业标准，对广播电视机构进行业务指导和行业监管，会同有关部门对网络视听节目服务机构进行管理。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（十七）完成市党委、市人民政府交办的其他事项。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库尔勒市文化体育广播电视和旅游局包括本级机关及3个直属事业单位，机关内设5个科室（办公室、文化科、体育科、旅游科、广电科）。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库尔勒市文化体育广播电视和旅游局编制49，实有人数95人，其中：在职39人，增加2人；退休56人，增加2人；离休0人，增加0人。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目标1：开展文化惠民活动300场次，公益电影放映800场次，开展体育活动12场次，预计接待游客1100万人次，旅游重点项目建设数量2个。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目标2：深入实施文化润疆工程，不断增强共同体意识，落实好农村公益电影放映工程和广播电视“村村通”工程，大力开展群众体育活动和青少年竞技体育赛事，提高全民身体素质，丰富群众生活。</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详细计划：一是开展文化惠民活动场次，组织开展库尔勒市“欢欢喜喜过大年”乡村文旅主题系列活动、库尔勒市“龙舞华章贺新岁 欢欢喜喜过大年”游园活动、2024年元宵社火活动、2024第八届香梨文化旅游节暨“梨花”季活动、端午龙舟赛、中秋晚会录制、2024“梨享时光 缤纷采摘季系列活动、星光大道文艺汇演；二是公益电影放映场次，计划全年放映电影800场次，覆盖全市8乡4镇60个村，全市还扎实做好户户通、大喇叭运行维护工作，对全市实际在用的17676套“户户通”设备落实维护维修工作，我局计划出动车辆100余次，维护维修“户户通”设备1028套次，回访40000余户次，保障我市广播电视户户通工作正常运行；三是开展体育活动场次，组织开展自治州农牧民篮球赛、全程马拉松赛、“捷安特”自行车赛、龙舟赛、七夕漂流赛、赛马大会、广场舞比赛、跆拳道比赛等各类大型体育赛事活动12场次；四是预计接待游客1100万人次，计划在库尔勒市和周边旅游资源，推出一日游、二日游、三日游线路21条。疆外游客推荐线路8条，疆内游客推荐线路4条，库尔勒市四季主题游线路4条。结合重要节庆赛事推荐旅游线路，推介城市和乡村自由行打卡点，推出“梨花节”春赏梨花季线路10条，五一出游路线5条，十一出游路线5条。五是旅游重点项目建设数量，库尔勒华美胜地酒店集群项目于拟定于3月初开工建设，计划在英下乡田园综合体项目已完成项目一期游客接待中心、重走长征路拓展区、餐饮区、露营区、戏水区、卡丁车区、沙滩娱乐区、露营区、停车场等功能区的建设，并于2024年5月1日开始试营业。</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文化体育广播电视和旅游局单位年初预算安排1145.66万元，其中财政拨款1145.66万元，其他资金0万元，主要用于人员类医保社保住房公积金、人员工资福利、单位运转类及开展文化惠民活动音响及背景制作、公益电影放映人员补贴、“村村通、户户通”设备维修维护、开展</w:t>
      </w:r>
      <w:bookmarkStart w:id="1" w:name="_GoBack"/>
      <w:bookmarkEnd w:id="1"/>
      <w:r>
        <w:rPr>
          <w:rFonts w:hint="eastAsia" w:ascii="仿宋_GB2312" w:hAnsi="宋体" w:eastAsia="仿宋_GB2312"/>
          <w:bCs/>
          <w:sz w:val="32"/>
          <w:szCs w:val="32"/>
        </w:rPr>
        <w:t>体育活动比赛物品的购置及裁判员劳务费、开展旅游宣传活动及宣传品制作、用于支付旅游设施基础建设项目。年中调整761.99万元，调整后全年预算1904.85万元，预算调整率1.45%，调整预算的主要原因为追加了一般公共预算资金支付了全民健身中心维修费；追加了上级专项资金用于支付巴音郭楞体育公园项目和乡村振兴兴边富民项目建设经费。</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831.85万元，包括工资福利支出632.32万元，商品和服务支出129.79万元，对个人和家庭的补助69.74万元。其中：“三公”经费支出2.05万元，比上年较少7.46万元，主要是因为车辆租赁费及维修维护费商家无法及时提供发票，导致经费无法支付；会议费支出0万元，比上年增加0万元，主要原因是无会议费安排；培训费支出1.52万元，比上年减少1.63万元，主要原因是，减少外出培训安排，培训次数减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2024年专项项目支出1073万元，占总支出的56.32％，主要用于文化旅游体育与传媒支出621.87万元；体育彩票公益金支出258.39万元；其他支出192.74万元。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财政下发了1、巴财教（2023）52号关于提前下达自治区2024年广播电视“村村通”运行维护聘用人员经费16.77万元；2、巴财教（2023）60号关于提前下达2024年自治区旅游发展专项资金50万元；3、巴财教（2023）84号少数民族地区和边疆地区文化安全补助资金46.05万元；4、巴财教（2022）65号关于提前下达2023年中央补助地方公共文化服务体系建设补助资金42.45万元；5、部门专项-专项业务费6.04万元；6、巴财建（2024）27号关于下达社会服务设施建设支持工程2024年第一批中央基建投资预算1000万元；7、巴财综（2023）6号提前下达自治州体育彩票公益金支持体育事业项目资金75万元；8、巴财教（2023）48号关于提前下达2024年中央集中彩票公益金支持体育事业专项资金102万元；9、巴财综（2024）4号关于提前下达2024年中央集中彩票公益金支持体育事业专项资金419万元；结合这9个项目涉及的业务科室，我局安排各业务科室制订工作计划，并且对项目的工作分工、任务分配、资金落实、完成时限等提出了明确、具体的要求，以确保项目保质、保量、按时完成。截至2024年12月31日，完成专项9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单位主要采取四项措施。一是制订专项资金管理制度；二是各专项资金建立了专账；三是制定了项目实施方案；四是认真组织项目验收。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资金管理实施办法及资金管理办法，各项资金使用审批流程均按规定办理。涉及“三重一大”内容，严格按照规定提请文旅局党组会议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制定了《市文旅局2024年上级专项资金使用方案》专项实施方案，对中央、自治区、自治州、库尔勒市本级部门专项下达的各级资金项目任务、执行标准、参照文件、资金数额做出统一安排，确保项目实施全面推进，使文化旅游等各方面事业有了新的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办公室认真组织体育科、广电科、旅游科、文化科对市文旅局1、巴财教（2023）52号关于提前下达自治区2024年广播电视“村村通”运行维护聘用人员经费16.77万元；2、巴财教（2023）60号关于提前下达2024年自治区旅游发展专项资金50万元；3、巴财教（2023）84号少数民族地区和边疆地区文化安全补助资金46.05万元；4、巴财教（2022）65号关于提前下达2023年中央补助地方公共文化服务体系建设补助资金42.45万元；5、部门专项-专项业务费6.04万元；6、巴财建（2024）27号关于下达社会服务设施建设支持工程2024年第一批中央基建投资预算1000万元；7、巴财综（2023）6号提前下达自治州体育彩票公益金支持体育事业项目资金75万元；8、巴财教（2023）48号关于提前下达2024年中央集中彩票公益金支持体育事业专项资金102万元；9、巴财综（2024）4号关于提前下达2024年中央集中彩票公益金支持体育事业专项资金419万元。这9个项目验收，确保各项文化体育旅游活动政策落实到位，促进文旅事业全面发展。</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2024年库尔勒市文旅局单位总支出1904.85万元，预算执行率100%，其中文化旅游体育与传媒支出1443.73万元；其他支出461.12万元。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2024年，库尔勒市文旅局单位基本支出831.85万元，占总支出的43.68％，其中：工资福利支出632.32万元，商品和服务支出129.79万元，对个人和家庭的补助69.74万元。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2024年，项目支出1073万元，占总支出的56.32％，主要用于文化旅游体育与传媒支出621.87万元；体育彩票公益金支出258.39万元；其他支出192.74万元。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年初我单位设置部门整体绩效目标中包括一级指标1个，二级指标1个，三级指标5个，指标完成情况分析如下：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2.管理效率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无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（1）数量指标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开展文化惠民活动场次，指标值：&gt;=300场次，年中监控完成值：200场次，自评完成值：300场次，指标完成率166.67%，偏差66.67%，偏差原因:为丰富广大群众的文化体育活动，我局对全年活动计划进行及时调整，增加了活动场次。改进措施：我局下一步将听取多方意见，精准制定计划。   指标成效分析：通过开展各类文化惠民活动，有效提高群众的参与度，极大地丰富了传统节日期间我市各族群众精神文化活动。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公益电影放映场次，指标值：&gt;=800场，年中监控完成值：130场，自评完成值：800场，指标完成率100%，偏差0%，指标成效分析：通过开展公益电影放映，有效满足了群众日益增长的精神文化需求，极大地丰富了我市各族群众精神文化生活。</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开展体育活动场次，指标值：&gt;=12场，年中监控完成值：6场，自评完成值：20场，指标完成率166.67%，偏差66.67%，偏差原因：按照全民健身规划及结合自治区自治州赛事要求，对相关赛事进行增加。改进措施：下一步将不断提高绩效工作水平。指标成效分析：通过完成组织开展了自治州农牧民篮球赛、龙舟赛、广场舞比赛、跆拳道比赛等各类大型体育赛事活动近20场次，协助自治州举办陕西黑猫杯男子篮球邀请赛，有效吸引全市数万名各族群众参与其中，增强了人民体质、提高了各民族群众身体素质和生活质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预计接待游客次数，指标值：&gt;=1100万人次，年中监控完成值：483万人次，自评完成值：1498.06万人次，指标完成率136.19%，偏差36.19%，偏差原因：因库尔勒市具备独特的地理位置及人文文化，吸引了大批中内外游客。改进措施：下一步我局将继续做好旅游工作，精准制定旅游项目设定。指标成效分析：通过预计接待游客，做强文旅产业为主线，深入开展工作和旅游兴市战略和文化润疆工作，推动文旅事业朝着高质量发展阶段迈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指标5：旅游重点项目建设数量，指标值：=2个，年中监控完成值：1个，自评完成值：1，指标完成率50%，偏差50%，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偏差原因：2024年巴音体育公园建设项目于正在实施，还未完成。改进措施：下一步将督促项目尽快完成。指标成效分析：通过旅游重点项目建设开展，进一步加快旅游兴市战略和文化润疆工作，有效推动文旅事业朝着高质量发展阶段迈进。</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2024年度部门整体支出绩效评价综合得分95分，评价结果为“优”。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（一）绩效指标设置不够科学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我单位文化活动项目存在绩效指标设置不合理问题，部分项目绩效指标值设定为定性的指标，指标设置的科学性、合理性有待进一步提高。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（二）固定资产制度更新不及时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内部控制制度仍需完善，缺乏系统的内控制度体系。市文旅局2023年12月收到《关于印发&lt;新疆维吾尔自治区行政事业性国有资产管理实施办法&gt;的通知》（新政发[2023]27号）文件，市文旅局原有资产管理制度已不适用自治区下发的实施办法，资产管理制度仍需完善，与时俱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（三）绩效工作水平薄弱</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单位财务工作水平较低，业务生疏，财务水平薄弱，财务知识欠缺，绩效工作水平薄弱。</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（一）优化绩效指标设定</w:t>
      </w:r>
      <w:r>
        <w:rPr>
          <w:rFonts w:hint="eastAsia" w:ascii="仿宋_GB2312" w:hAnsi="宋体" w:eastAsia="仿宋_GB2312"/>
          <w:bCs/>
          <w:sz w:val="32"/>
          <w:szCs w:val="32"/>
        </w:rPr>
        <w:br w:type="textWrapping"/>
      </w:r>
      <w:r>
        <w:rPr>
          <w:rFonts w:hint="eastAsia" w:ascii="仿宋_GB2312" w:hAnsi="宋体" w:eastAsia="仿宋_GB2312"/>
          <w:bCs/>
          <w:sz w:val="32"/>
          <w:szCs w:val="32"/>
        </w:rPr>
        <w:t>一是根据我局岗位特点，设定科学合理的绩效指标体系，在绩效目标设置时清晰、明确细化和分解具体任务，绩效指标细化、量化，符合相关性、重要性、可比性、系统性、经济性要求，具备可操作、可考量。二是合理设置年度任务。提高体育科、文化科、旅游科等科室对部门中长期规划的重视程度，增强相关规划的落地性、导向性。三是实施绩效改进，根据上年度指标体系分析结果，通过目标比较法、历史比较法、历年同期比较法和横向比较法分析绩效不精准的原因，调整工作计划，提供必要的学习培训，改进管理方式等，不断提高绩效工作水平。</w:t>
      </w:r>
      <w:r>
        <w:rPr>
          <w:rFonts w:hint="eastAsia" w:ascii="仿宋_GB2312" w:hAnsi="宋体" w:eastAsia="仿宋_GB2312"/>
          <w:bCs/>
          <w:sz w:val="32"/>
          <w:szCs w:val="32"/>
        </w:rPr>
        <w:br w:type="textWrapping"/>
      </w:r>
      <w:r>
        <w:rPr>
          <w:rFonts w:hint="eastAsia" w:ascii="仿宋_GB2312" w:hAnsi="宋体" w:eastAsia="仿宋_GB2312"/>
          <w:bCs/>
          <w:sz w:val="32"/>
          <w:szCs w:val="32"/>
        </w:rPr>
        <w:t>（二）加强固定资产制度管理</w:t>
      </w:r>
      <w:r>
        <w:rPr>
          <w:rFonts w:hint="eastAsia" w:ascii="仿宋_GB2312" w:hAnsi="宋体" w:eastAsia="仿宋_GB2312"/>
          <w:bCs/>
          <w:sz w:val="32"/>
          <w:szCs w:val="32"/>
        </w:rPr>
        <w:br w:type="textWrapping"/>
      </w:r>
      <w:r>
        <w:rPr>
          <w:rFonts w:hint="eastAsia" w:ascii="仿宋_GB2312" w:hAnsi="宋体" w:eastAsia="仿宋_GB2312"/>
          <w:bCs/>
          <w:sz w:val="32"/>
          <w:szCs w:val="32"/>
        </w:rPr>
        <w:t>根据《关于印发&lt;新疆维吾尔自治区行政事业性国有资产管理实施办法&gt;的通知》、《内部控制规范》及相关部门对健全和完善固定资产管理的要求，找准薄弱环节，明确自控重点，强化制度管理，切实提高固定资产管理工作水平。</w:t>
      </w:r>
      <w:r>
        <w:rPr>
          <w:rFonts w:hint="eastAsia" w:ascii="仿宋_GB2312" w:hAnsi="宋体" w:eastAsia="仿宋_GB2312"/>
          <w:bCs/>
          <w:sz w:val="32"/>
          <w:szCs w:val="32"/>
        </w:rPr>
        <w:br w:type="textWrapping"/>
      </w:r>
      <w:r>
        <w:rPr>
          <w:rFonts w:hint="eastAsia" w:ascii="仿宋_GB2312" w:hAnsi="宋体" w:eastAsia="仿宋_GB2312"/>
          <w:bCs/>
          <w:sz w:val="32"/>
          <w:szCs w:val="32"/>
        </w:rPr>
        <w:t>（三）持续改进绩效工作水平</w:t>
      </w:r>
      <w:r>
        <w:rPr>
          <w:rFonts w:hint="eastAsia" w:ascii="仿宋_GB2312" w:hAnsi="宋体" w:eastAsia="仿宋_GB2312"/>
          <w:bCs/>
          <w:sz w:val="32"/>
          <w:szCs w:val="32"/>
        </w:rPr>
        <w:br w:type="textWrapping"/>
      </w:r>
      <w:r>
        <w:rPr>
          <w:rFonts w:hint="eastAsia" w:ascii="仿宋_GB2312" w:hAnsi="宋体" w:eastAsia="仿宋_GB2312"/>
          <w:bCs/>
          <w:sz w:val="32"/>
          <w:szCs w:val="32"/>
        </w:rPr>
        <w:t>加强干部培训学习，提高绩效工作水平。一是通过党组集中学习、安排外出培训等多项式，及时跟进学习财政、审计等部门最新出台的政策规定，系统学习国家及地方最新的财务政策、法规，重点关注与残联业务相关的财务管理规定，深入学习文旅职能定位、工作流程，全面掌握残联业务，不断更新业务知识，结合实际工作提升服务质量不断增强干部理论实操，做到业务精、本领硬、责任心强，切实发挥绩效监控作用。</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38DE0DF5"/>
    <w:rsid w:val="51C70EA9"/>
    <w:rsid w:val="54F842B6"/>
    <w:rsid w:val="64F5745B"/>
    <w:rsid w:val="656071F2"/>
    <w:rsid w:val="6BF1756B"/>
    <w:rsid w:val="6F5E1AA3"/>
    <w:rsid w:val="720C4CD2"/>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6144</Words>
  <Characters>6619</Characters>
  <Lines>2</Lines>
  <Paragraphs>1</Paragraphs>
  <TotalTime>8</TotalTime>
  <ScaleCrop>false</ScaleCrop>
  <LinksUpToDate>false</LinksUpToDate>
  <CharactersWithSpaces>6642</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2025-09-02T03:43:29Z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1AC2DD8995AB4FC79C3489678FA8CB49</vt:lpwstr>
  </property>
</Properties>
</file>