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hint="eastAsia"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880" w:firstLineChars="200"/>
        <w:jc w:val="left"/>
        <w:textAlignment w:val="auto"/>
        <w:rPr>
          <w:rFonts w:hint="eastAsia" w:ascii="仿宋_GB2312" w:hAnsi="仿宋_GB2312" w:eastAsia="仿宋_GB2312" w:cs="仿宋_GB2312"/>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880" w:firstLineChars="200"/>
        <w:jc w:val="left"/>
        <w:textAlignment w:val="auto"/>
        <w:rPr>
          <w:rFonts w:hint="eastAsia" w:ascii="仿宋_GB2312" w:hAnsi="仿宋_GB2312" w:eastAsia="仿宋_GB2312" w:cs="仿宋_GB2312"/>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880" w:firstLineChars="200"/>
        <w:jc w:val="left"/>
        <w:textAlignment w:val="auto"/>
        <w:rPr>
          <w:rFonts w:hint="eastAsia" w:ascii="仿宋_GB2312" w:hAnsi="仿宋_GB2312" w:eastAsia="仿宋_GB2312" w:cs="仿宋_GB2312"/>
          <w:sz w:val="44"/>
          <w:szCs w:val="44"/>
        </w:rPr>
      </w:pPr>
    </w:p>
    <w:p>
      <w:pPr>
        <w:keepNext w:val="0"/>
        <w:keepLines w:val="0"/>
        <w:pageBreakBefore w:val="0"/>
        <w:widowControl w:val="0"/>
        <w:kinsoku/>
        <w:wordWrap/>
        <w:overflowPunct/>
        <w:topLinePunct w:val="0"/>
        <w:autoSpaceDE/>
        <w:autoSpaceDN/>
        <w:bidi w:val="0"/>
        <w:adjustRightInd/>
        <w:snapToGrid/>
        <w:spacing w:line="560" w:lineRule="exact"/>
        <w:ind w:firstLine="880" w:firstLineChars="200"/>
        <w:jc w:val="center"/>
        <w:textAlignment w:val="auto"/>
        <w:rPr>
          <w:rFonts w:hint="eastAsia" w:ascii="方正小标宋_GBK" w:hAnsi="宋体" w:eastAsia="方正小标宋_GBK" w:cs="Times New Roman"/>
          <w:color w:val="auto"/>
          <w:kern w:val="2"/>
          <w:sz w:val="44"/>
          <w:szCs w:val="44"/>
          <w:highlight w:val="none"/>
          <w:lang w:val="en-US" w:eastAsia="zh-CN" w:bidi="ar-SA"/>
        </w:rPr>
      </w:pPr>
      <w:r>
        <w:rPr>
          <w:rFonts w:hint="eastAsia" w:ascii="方正小标宋_GBK" w:hAnsi="宋体" w:eastAsia="方正小标宋_GBK" w:cs="Times New Roman"/>
          <w:color w:val="auto"/>
          <w:kern w:val="2"/>
          <w:sz w:val="44"/>
          <w:szCs w:val="44"/>
          <w:highlight w:val="none"/>
          <w:lang w:val="en-US" w:eastAsia="zh-CN" w:bidi="ar-SA"/>
        </w:rPr>
        <w:t>库尔勒市文化体育广播电视和旅游局</w:t>
      </w:r>
    </w:p>
    <w:p>
      <w:pPr>
        <w:keepNext w:val="0"/>
        <w:keepLines w:val="0"/>
        <w:pageBreakBefore w:val="0"/>
        <w:widowControl w:val="0"/>
        <w:kinsoku/>
        <w:wordWrap/>
        <w:overflowPunct/>
        <w:topLinePunct w:val="0"/>
        <w:autoSpaceDE/>
        <w:autoSpaceDN/>
        <w:bidi w:val="0"/>
        <w:adjustRightInd/>
        <w:snapToGrid/>
        <w:spacing w:line="560" w:lineRule="exact"/>
        <w:ind w:firstLine="880" w:firstLineChars="200"/>
        <w:jc w:val="center"/>
        <w:textAlignment w:val="auto"/>
        <w:rPr>
          <w:rFonts w:hint="eastAsia" w:ascii="方正小标宋_GBK" w:hAnsi="宋体" w:eastAsia="方正小标宋_GBK" w:cs="Times New Roman"/>
          <w:color w:val="auto"/>
          <w:kern w:val="2"/>
          <w:sz w:val="44"/>
          <w:szCs w:val="44"/>
          <w:highlight w:val="none"/>
          <w:lang w:val="en-US" w:eastAsia="zh-CN" w:bidi="ar-SA"/>
        </w:rPr>
      </w:pPr>
      <w:r>
        <w:rPr>
          <w:rFonts w:hint="eastAsia" w:ascii="方正小标宋_GBK" w:hAnsi="宋体" w:eastAsia="方正小标宋_GBK" w:cs="Times New Roman"/>
          <w:color w:val="auto"/>
          <w:kern w:val="2"/>
          <w:sz w:val="44"/>
          <w:szCs w:val="44"/>
          <w:highlight w:val="none"/>
          <w:lang w:val="en-US" w:eastAsia="zh-CN" w:bidi="ar-SA"/>
        </w:rPr>
        <w:t>2024年度部门决算公开说明</w:t>
      </w:r>
    </w:p>
    <w:p>
      <w:pPr>
        <w:keepNext w:val="0"/>
        <w:keepLines w:val="0"/>
        <w:pageBreakBefore w:val="0"/>
        <w:widowControl/>
        <w:kinsoku/>
        <w:wordWrap/>
        <w:overflowPunct/>
        <w:topLinePunct w:val="0"/>
        <w:autoSpaceDE/>
        <w:autoSpaceDN/>
        <w:bidi w:val="0"/>
        <w:adjustRightInd/>
        <w:snapToGrid/>
        <w:spacing w:line="560" w:lineRule="exact"/>
        <w:ind w:firstLine="0" w:firstLineChars="200"/>
        <w:textAlignment w:val="auto"/>
        <w:rPr>
          <w:rFonts w:hint="eastAsia" w:ascii="仿宋_GB2312" w:hAnsi="仿宋_GB2312" w:eastAsia="仿宋_GB2312" w:cs="仿宋_GB2312"/>
        </w:rPr>
      </w:pPr>
      <w:r>
        <w:rPr>
          <w:rFonts w:hint="eastAsia" w:ascii="仿宋_GB2312" w:hAnsi="仿宋_GB2312" w:eastAsia="仿宋_GB2312" w:cs="仿宋_GB2312"/>
          <w:b w:val="0"/>
          <w:sz w:val="0"/>
          <w:szCs w:val="0"/>
        </w:rPr>
        <w:br w:type="page"/>
      </w:r>
    </w:p>
    <w:p>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仿宋_GB2312" w:hAnsi="仿宋_GB2312" w:eastAsia="仿宋_GB2312" w:cs="仿宋_GB2312"/>
          <w:b/>
          <w:bCs w:val="0"/>
          <w:kern w:val="0"/>
          <w:sz w:val="36"/>
          <w:szCs w:val="36"/>
          <w:highlight w:val="none"/>
          <w:lang w:val="en-US" w:eastAsia="zh-CN" w:bidi="ar-SA"/>
        </w:rPr>
      </w:pPr>
      <w:r>
        <w:rPr>
          <w:rFonts w:hint="eastAsia" w:ascii="仿宋_GB2312" w:hAnsi="仿宋_GB2312" w:eastAsia="仿宋_GB2312" w:cs="仿宋_GB2312"/>
          <w:b/>
          <w:bCs w:val="0"/>
          <w:kern w:val="0"/>
          <w:sz w:val="36"/>
          <w:szCs w:val="36"/>
          <w:highlight w:val="none"/>
          <w:lang w:val="en-US" w:eastAsia="zh-CN" w:bidi="ar-SA"/>
        </w:rPr>
        <w:t>目  录</w:t>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TOC \o "1-3" \n  \h \u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_Toc31918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kern w:val="2"/>
          <w:sz w:val="32"/>
          <w:szCs w:val="32"/>
          <w:highlight w:val="none"/>
          <w:lang w:val="en-US" w:eastAsia="zh-CN" w:bidi="ar-SA"/>
        </w:rPr>
        <w:t>第一部分 部门（单位）概况</w:t>
      </w:r>
      <w:r>
        <w:rPr>
          <w:rFonts w:hint="eastAsia" w:ascii="仿宋_GB2312" w:hAnsi="仿宋_GB2312" w:eastAsia="仿宋_GB2312" w:cs="仿宋_GB2312"/>
          <w:b/>
          <w:bCs/>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_Toc2898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一、主要职能</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_Toc1387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二、机构设置及人员情况</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_Toc7559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kern w:val="2"/>
          <w:sz w:val="32"/>
          <w:szCs w:val="32"/>
          <w:highlight w:val="none"/>
          <w:lang w:val="en-US" w:eastAsia="zh-CN" w:bidi="ar-SA"/>
        </w:rPr>
        <w:t>第二部分 部门决算情况说明</w:t>
      </w:r>
      <w:r>
        <w:rPr>
          <w:rFonts w:hint="eastAsia" w:ascii="仿宋_GB2312" w:hAnsi="仿宋_GB2312" w:eastAsia="仿宋_GB2312" w:cs="仿宋_GB2312"/>
          <w:b/>
          <w:bCs/>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_Toc6321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一、收入支出决算总体情况说明</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_Toc6311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二、收入决算情况说明</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_Toc20629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三、支出决算情况说明</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_Toc7371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四、财政拨款收入支出决算总体情况说明</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_Toc18905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五、一般公共预算财政拨款支出决算情况说明</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_Toc1165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kern w:val="2"/>
          <w:sz w:val="32"/>
          <w:szCs w:val="32"/>
          <w:highlight w:val="none"/>
          <w:lang w:val="en-US" w:eastAsia="zh-CN" w:bidi="ar-SA"/>
        </w:rPr>
        <w:t>（一）一般公共预算财政拨款支出决算总体情况</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_Toc27147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kern w:val="2"/>
          <w:sz w:val="32"/>
          <w:szCs w:val="32"/>
          <w:highlight w:val="none"/>
          <w:lang w:val="en-US" w:eastAsia="zh-CN" w:bidi="ar-SA"/>
        </w:rPr>
        <w:t>（二）一般公共预算财政拨款支出决算结构情况</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_Toc10037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kern w:val="2"/>
          <w:sz w:val="32"/>
          <w:szCs w:val="32"/>
          <w:highlight w:val="none"/>
          <w:lang w:val="en-US" w:eastAsia="zh-CN" w:bidi="ar-SA"/>
        </w:rPr>
        <w:t>（三）一般公共预算财政拨款支出决算具体情况</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_Toc23415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六、一般公共预算财政拨款基本支出决算情况说明</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_Toc7523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七、政府性基金预算财政拨款收入支出决算情况说明</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_Toc5563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八、国有资本经营预算财政拨款收入支出决算情况说明</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_Toc9161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九、财政拨款“三公”经费支出决算情况说明</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_Toc16395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十、其他重要事项的情况说明</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_Toc21748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kern w:val="2"/>
          <w:sz w:val="32"/>
          <w:szCs w:val="32"/>
          <w:highlight w:val="none"/>
          <w:lang w:val="en-US" w:eastAsia="zh-CN" w:bidi="ar-SA"/>
        </w:rPr>
        <w:t>（一）机关运行经费及公用经费支出情况</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_Toc25177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kern w:val="2"/>
          <w:sz w:val="32"/>
          <w:szCs w:val="32"/>
          <w:highlight w:val="none"/>
          <w:lang w:val="en-US" w:eastAsia="zh-CN" w:bidi="ar-SA"/>
        </w:rPr>
        <w:t>（二）政府采购情况</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_Toc31294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kern w:val="2"/>
          <w:sz w:val="32"/>
          <w:szCs w:val="32"/>
          <w:highlight w:val="none"/>
          <w:lang w:val="en-US" w:eastAsia="zh-CN" w:bidi="ar-SA"/>
        </w:rPr>
        <w:t>（三）国有资产占用情况说明</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_Toc17664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十一、预算绩效的情况说明</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_Toc30038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kern w:val="2"/>
          <w:sz w:val="32"/>
          <w:szCs w:val="32"/>
          <w:highlight w:val="none"/>
          <w:lang w:val="en-US" w:eastAsia="zh-CN" w:bidi="ar-SA"/>
        </w:rPr>
        <w:t>第三部分 专业名词解释</w:t>
      </w:r>
      <w:r>
        <w:rPr>
          <w:rFonts w:hint="eastAsia" w:ascii="仿宋_GB2312" w:hAnsi="仿宋_GB2312" w:eastAsia="仿宋_GB2312" w:cs="仿宋_GB2312"/>
          <w:b/>
          <w:bCs/>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_Toc6831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kern w:val="2"/>
          <w:sz w:val="32"/>
          <w:szCs w:val="32"/>
          <w:highlight w:val="none"/>
          <w:lang w:val="en-US" w:eastAsia="zh-CN" w:bidi="ar-SA"/>
        </w:rPr>
        <w:t>第四部分 部门决算报表（见附表）</w:t>
      </w:r>
      <w:r>
        <w:rPr>
          <w:rFonts w:hint="eastAsia" w:ascii="仿宋_GB2312" w:hAnsi="仿宋_GB2312" w:eastAsia="仿宋_GB2312" w:cs="仿宋_GB2312"/>
          <w:b/>
          <w:bCs/>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_Toc3845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一、《收入支出决算总表》</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_Toc11927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二、《收入决算表》</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_Toc7443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三、《支出决算表》</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_Toc24884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四、《财政拨款收入支出决算总表》</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_Toc16518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五、《一般公共预算财政拨款支出决算表》</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_Toc20514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六、《一般公共预算财政拨款基本支出决算表》</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_Toc18055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七、《政府性基金预算财政拨款收入支出决算表》</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_Toc10719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八、《国有资本经营预算财政拨款收入支出决算表》</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fldChar w:fldCharType="begin"/>
      </w:r>
      <w:r>
        <w:rPr>
          <w:rFonts w:hint="eastAsia" w:ascii="仿宋_GB2312" w:hAnsi="仿宋_GB2312" w:eastAsia="仿宋_GB2312" w:cs="仿宋_GB2312"/>
          <w:kern w:val="2"/>
          <w:sz w:val="32"/>
          <w:szCs w:val="32"/>
          <w:highlight w:val="none"/>
          <w:lang w:val="en-US" w:eastAsia="zh-CN" w:bidi="ar-SA"/>
        </w:rPr>
        <w:instrText xml:space="preserve"> HYPERLINK \l _Toc18861 </w:instrText>
      </w:r>
      <w:r>
        <w:rPr>
          <w:rFonts w:hint="eastAsia" w:ascii="仿宋_GB2312" w:hAnsi="仿宋_GB2312" w:eastAsia="仿宋_GB2312" w:cs="仿宋_GB2312"/>
          <w:kern w:val="2"/>
          <w:sz w:val="32"/>
          <w:szCs w:val="32"/>
          <w:highlight w:val="none"/>
          <w:lang w:val="en-US" w:eastAsia="zh-CN" w:bidi="ar-SA"/>
        </w:rPr>
        <w:fldChar w:fldCharType="separate"/>
      </w:r>
      <w:r>
        <w:rPr>
          <w:rFonts w:hint="eastAsia" w:ascii="仿宋_GB2312" w:hAnsi="仿宋_GB2312" w:eastAsia="仿宋_GB2312" w:cs="仿宋_GB2312"/>
          <w:bCs/>
          <w:kern w:val="0"/>
          <w:sz w:val="32"/>
          <w:szCs w:val="32"/>
          <w:highlight w:val="none"/>
          <w:lang w:val="en-US" w:eastAsia="zh-CN" w:bidi="ar-SA"/>
        </w:rPr>
        <w:t>九、《财政拨款“三公”经费支出决算表》</w:t>
      </w: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center"/>
        <w:textAlignment w:val="auto"/>
        <w:outlineLvl w:val="0"/>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highlight w:val="none"/>
          <w:lang w:val="en-US" w:eastAsia="zh-CN" w:bidi="ar-SA"/>
        </w:rPr>
        <w:fldChar w:fldCharType="end"/>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center"/>
        <w:textAlignment w:val="auto"/>
        <w:outlineLvl w:val="0"/>
        <w:rPr>
          <w:rFonts w:hint="eastAsia"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center"/>
        <w:textAlignment w:val="auto"/>
        <w:outlineLvl w:val="0"/>
        <w:rPr>
          <w:rFonts w:hint="eastAsia"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center"/>
        <w:textAlignment w:val="auto"/>
        <w:outlineLvl w:val="0"/>
        <w:rPr>
          <w:rFonts w:hint="eastAsia"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center"/>
        <w:textAlignment w:val="auto"/>
        <w:outlineLvl w:val="0"/>
        <w:rPr>
          <w:rFonts w:hint="eastAsia"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center"/>
        <w:textAlignment w:val="auto"/>
        <w:outlineLvl w:val="0"/>
        <w:rPr>
          <w:rFonts w:hint="eastAsia"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center"/>
        <w:textAlignment w:val="auto"/>
        <w:outlineLvl w:val="0"/>
        <w:rPr>
          <w:rFonts w:hint="eastAsia"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center"/>
        <w:textAlignment w:val="auto"/>
        <w:outlineLvl w:val="0"/>
        <w:rPr>
          <w:rFonts w:hint="eastAsia"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center"/>
        <w:textAlignment w:val="auto"/>
        <w:outlineLvl w:val="0"/>
        <w:rPr>
          <w:rFonts w:hint="eastAsia"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center"/>
        <w:textAlignment w:val="auto"/>
        <w:outlineLvl w:val="0"/>
        <w:rPr>
          <w:rFonts w:hint="eastAsia"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center"/>
        <w:textAlignment w:val="auto"/>
        <w:outlineLvl w:val="0"/>
        <w:rPr>
          <w:rFonts w:hint="eastAsia"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center"/>
        <w:textAlignment w:val="auto"/>
        <w:outlineLvl w:val="0"/>
        <w:rPr>
          <w:rFonts w:hint="eastAsia"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center"/>
        <w:textAlignment w:val="auto"/>
        <w:outlineLvl w:val="0"/>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center"/>
        <w:textAlignment w:val="auto"/>
        <w:rPr>
          <w:rFonts w:hint="eastAsia" w:ascii="黑体" w:hAnsi="黑体" w:eastAsia="黑体" w:cs="Times New Roman"/>
          <w:kern w:val="2"/>
          <w:sz w:val="32"/>
          <w:szCs w:val="32"/>
          <w:highlight w:val="none"/>
          <w:lang w:val="en-US" w:eastAsia="zh-CN" w:bidi="ar-SA"/>
        </w:rPr>
      </w:pPr>
      <w:r>
        <w:rPr>
          <w:rFonts w:hint="eastAsia" w:ascii="黑体" w:hAnsi="黑体" w:eastAsia="黑体" w:cs="Times New Roman"/>
          <w:kern w:val="2"/>
          <w:sz w:val="32"/>
          <w:szCs w:val="32"/>
          <w:highlight w:val="none"/>
          <w:lang w:val="en-US" w:eastAsia="zh-CN" w:bidi="ar-SA"/>
        </w:rPr>
        <w:t>第一部分部门概况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黑体" w:cs="宋体"/>
          <w:bCs/>
          <w:kern w:val="0"/>
          <w:sz w:val="32"/>
          <w:szCs w:val="32"/>
          <w:highlight w:val="none"/>
          <w:lang w:val="en-US" w:eastAsia="zh-CN" w:bidi="ar-SA"/>
        </w:rPr>
      </w:pPr>
      <w:r>
        <w:rPr>
          <w:rFonts w:hint="eastAsia" w:ascii="黑体" w:hAnsi="黑体" w:eastAsia="黑体" w:cs="宋体"/>
          <w:bCs/>
          <w:kern w:val="0"/>
          <w:sz w:val="32"/>
          <w:szCs w:val="32"/>
          <w:highlight w:val="none"/>
          <w:lang w:val="en-US" w:eastAsia="zh-CN" w:bidi="ar-SA"/>
        </w:rPr>
        <w:t>一、主要职能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Times New Roman" w:eastAsia="仿宋_GB2312" w:cs="Times New Roman"/>
          <w:kern w:val="2"/>
          <w:sz w:val="32"/>
          <w:szCs w:val="32"/>
          <w:highlight w:val="none"/>
          <w:lang w:val="en-US" w:eastAsia="zh-CN" w:bidi="ar-SA"/>
        </w:rPr>
      </w:pPr>
      <w:r>
        <w:rPr>
          <w:rFonts w:hint="default" w:ascii="仿宋_GB2312" w:hAnsi="Times New Roman" w:eastAsia="仿宋_GB2312" w:cs="Times New Roman"/>
          <w:kern w:val="2"/>
          <w:sz w:val="32"/>
          <w:szCs w:val="32"/>
          <w:highlight w:val="none"/>
          <w:lang w:val="en-US" w:eastAsia="zh-CN" w:bidi="ar-SA"/>
        </w:rPr>
        <w:t>（一）贯彻落实党和国家文化体育广播电视和旅游方针政策，发展中国特色社会主义文化，实施旅游兴市战略。牢牢掌握意识形态工作的领导权和主动权，指导文化体育广播电视和旅游人才队伍建设，拟订文化体育广播电视和旅游政策措施并组织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Times New Roman" w:eastAsia="仿宋_GB2312" w:cs="Times New Roman"/>
          <w:kern w:val="2"/>
          <w:sz w:val="32"/>
          <w:szCs w:val="32"/>
          <w:highlight w:val="none"/>
          <w:lang w:val="en-US" w:eastAsia="zh-CN" w:bidi="ar-SA"/>
        </w:rPr>
      </w:pPr>
      <w:r>
        <w:rPr>
          <w:rFonts w:hint="default" w:ascii="仿宋_GB2312" w:hAnsi="Times New Roman" w:eastAsia="仿宋_GB2312" w:cs="Times New Roman"/>
          <w:kern w:val="2"/>
          <w:sz w:val="32"/>
          <w:szCs w:val="32"/>
          <w:highlight w:val="none"/>
          <w:lang w:val="en-US" w:eastAsia="zh-CN" w:bidi="ar-SA"/>
        </w:rPr>
        <w:t>（二）统筹文化体育和旅游事业、产业振兴发展，拟订库尔勒市文化和旅游发展规划并组织实施，推进文化和旅游创新融合绿色发展，实施“文化体育和旅游+”。落实文化和旅游体制机制改革。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Times New Roman" w:eastAsia="仿宋_GB2312" w:cs="Times New Roman"/>
          <w:kern w:val="2"/>
          <w:sz w:val="32"/>
          <w:szCs w:val="32"/>
          <w:highlight w:val="none"/>
          <w:lang w:val="en-US" w:eastAsia="zh-CN" w:bidi="ar-SA"/>
        </w:rPr>
      </w:pPr>
      <w:r>
        <w:rPr>
          <w:rFonts w:hint="default" w:ascii="仿宋_GB2312" w:hAnsi="Times New Roman" w:eastAsia="仿宋_GB2312" w:cs="Times New Roman"/>
          <w:kern w:val="2"/>
          <w:sz w:val="32"/>
          <w:szCs w:val="32"/>
          <w:highlight w:val="none"/>
          <w:lang w:val="en-US" w:eastAsia="zh-CN" w:bidi="ar-SA"/>
        </w:rPr>
        <w:t>（三）管理全市重大文化体育和旅游活动，指导库尔勒市重点文化体育和旅游设施建设，组织文化体育和旅游整体形象推广，构建全媒体时代的宣传营销平台和机制。促进文化和旅游产业对外合作和市场推广，拟订旅游市场开发战略并组织实施。统筹文化和旅游景区管理、指导、推进全域旅游。</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Times New Roman" w:eastAsia="仿宋_GB2312" w:cs="Times New Roman"/>
          <w:kern w:val="2"/>
          <w:sz w:val="32"/>
          <w:szCs w:val="32"/>
          <w:highlight w:val="none"/>
          <w:lang w:val="en-US" w:eastAsia="zh-CN" w:bidi="ar-SA"/>
        </w:rPr>
      </w:pPr>
      <w:r>
        <w:rPr>
          <w:rFonts w:hint="default" w:ascii="仿宋_GB2312" w:hAnsi="Times New Roman" w:eastAsia="仿宋_GB2312" w:cs="Times New Roman"/>
          <w:kern w:val="2"/>
          <w:sz w:val="32"/>
          <w:szCs w:val="32"/>
          <w:highlight w:val="none"/>
          <w:lang w:val="en-US" w:eastAsia="zh-CN" w:bidi="ar-SA"/>
        </w:rPr>
        <w:t>（四）指导、管理文艺事业，指导艺术创作生产及艺术研究、评论，扶持坚守中华文化立场、体现社会主义核心价值观、具有导向性</w:t>
      </w:r>
      <w:r>
        <w:rPr>
          <w:rFonts w:hint="eastAsia" w:ascii="仿宋_GB2312" w:hAnsi="Times New Roman" w:eastAsia="仿宋_GB2312" w:cs="Times New Roman"/>
          <w:kern w:val="2"/>
          <w:sz w:val="32"/>
          <w:szCs w:val="32"/>
          <w:highlight w:val="none"/>
          <w:lang w:val="en-US" w:eastAsia="zh-CN" w:bidi="ar-SA"/>
        </w:rPr>
        <w:t>、</w:t>
      </w:r>
      <w:r>
        <w:rPr>
          <w:rFonts w:hint="default" w:ascii="仿宋_GB2312" w:hAnsi="Times New Roman" w:eastAsia="仿宋_GB2312" w:cs="Times New Roman"/>
          <w:kern w:val="2"/>
          <w:sz w:val="32"/>
          <w:szCs w:val="32"/>
          <w:highlight w:val="none"/>
          <w:lang w:val="en-US" w:eastAsia="zh-CN" w:bidi="ar-SA"/>
        </w:rPr>
        <w:t>代表性</w:t>
      </w:r>
      <w:r>
        <w:rPr>
          <w:rFonts w:hint="eastAsia" w:ascii="仿宋_GB2312" w:hAnsi="Times New Roman" w:eastAsia="仿宋_GB2312" w:cs="Times New Roman"/>
          <w:kern w:val="2"/>
          <w:sz w:val="32"/>
          <w:szCs w:val="32"/>
          <w:highlight w:val="none"/>
          <w:lang w:val="en-US" w:eastAsia="zh-CN" w:bidi="ar-SA"/>
        </w:rPr>
        <w:t>、</w:t>
      </w:r>
      <w:r>
        <w:rPr>
          <w:rFonts w:hint="default" w:ascii="仿宋_GB2312" w:hAnsi="Times New Roman" w:eastAsia="仿宋_GB2312" w:cs="Times New Roman"/>
          <w:kern w:val="2"/>
          <w:sz w:val="32"/>
          <w:szCs w:val="32"/>
          <w:highlight w:val="none"/>
          <w:lang w:val="en-US" w:eastAsia="zh-CN" w:bidi="ar-SA"/>
        </w:rPr>
        <w:t>示范性的文艺作品，推动各门类艺术、各艺术品种发展。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Times New Roman" w:eastAsia="仿宋_GB2312" w:cs="Times New Roman"/>
          <w:kern w:val="2"/>
          <w:sz w:val="32"/>
          <w:szCs w:val="32"/>
          <w:highlight w:val="none"/>
          <w:lang w:val="en-US" w:eastAsia="zh-CN" w:bidi="ar-SA"/>
        </w:rPr>
      </w:pPr>
      <w:r>
        <w:rPr>
          <w:rFonts w:hint="default" w:ascii="仿宋_GB2312" w:hAnsi="Times New Roman" w:eastAsia="仿宋_GB2312" w:cs="Times New Roman"/>
          <w:kern w:val="2"/>
          <w:sz w:val="32"/>
          <w:szCs w:val="32"/>
          <w:highlight w:val="none"/>
          <w:lang w:val="en-US" w:eastAsia="zh-CN" w:bidi="ar-SA"/>
        </w:rPr>
        <w:t>（五）负责公共文化事业发展，推进库尔勒市公共文化服务体系建设和旅游公共服务建设，深入实施文化惠民工程，统筹推进基本公共文化服务标准化、均等化。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Times New Roman" w:eastAsia="仿宋_GB2312" w:cs="Times New Roman"/>
          <w:kern w:val="2"/>
          <w:sz w:val="32"/>
          <w:szCs w:val="32"/>
          <w:highlight w:val="none"/>
          <w:lang w:val="en-US" w:eastAsia="zh-CN" w:bidi="ar-SA"/>
        </w:rPr>
      </w:pPr>
      <w:r>
        <w:rPr>
          <w:rFonts w:hint="default" w:ascii="仿宋_GB2312" w:hAnsi="Times New Roman" w:eastAsia="仿宋_GB2312" w:cs="Times New Roman"/>
          <w:kern w:val="2"/>
          <w:sz w:val="32"/>
          <w:szCs w:val="32"/>
          <w:highlight w:val="none"/>
          <w:lang w:val="en-US" w:eastAsia="zh-CN" w:bidi="ar-SA"/>
        </w:rPr>
        <w:t>（六）指导文化和旅游科技创新发展，推进文化和旅游行业信息化、标准化建设。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Times New Roman" w:eastAsia="仿宋_GB2312" w:cs="Times New Roman"/>
          <w:kern w:val="2"/>
          <w:sz w:val="32"/>
          <w:szCs w:val="32"/>
          <w:highlight w:val="none"/>
          <w:lang w:val="en-US" w:eastAsia="zh-CN" w:bidi="ar-SA"/>
        </w:rPr>
      </w:pPr>
      <w:r>
        <w:rPr>
          <w:rFonts w:hint="default" w:ascii="仿宋_GB2312" w:hAnsi="Times New Roman" w:eastAsia="仿宋_GB2312" w:cs="Times New Roman"/>
          <w:kern w:val="2"/>
          <w:sz w:val="32"/>
          <w:szCs w:val="32"/>
          <w:highlight w:val="none"/>
          <w:lang w:val="en-US" w:eastAsia="zh-CN" w:bidi="ar-SA"/>
        </w:rPr>
        <w:t>（七）负责非物质文化遗产事业发展，推动非物质文化遗产的保护、传承、普及、弘扬和振兴。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Times New Roman" w:eastAsia="仿宋_GB2312" w:cs="Times New Roman"/>
          <w:kern w:val="2"/>
          <w:sz w:val="32"/>
          <w:szCs w:val="32"/>
          <w:highlight w:val="none"/>
          <w:lang w:val="en-US" w:eastAsia="zh-CN" w:bidi="ar-SA"/>
        </w:rPr>
      </w:pPr>
      <w:r>
        <w:rPr>
          <w:rFonts w:hint="default" w:ascii="仿宋_GB2312" w:hAnsi="Times New Roman" w:eastAsia="仿宋_GB2312" w:cs="Times New Roman"/>
          <w:kern w:val="2"/>
          <w:sz w:val="32"/>
          <w:szCs w:val="32"/>
          <w:highlight w:val="none"/>
          <w:lang w:val="en-US" w:eastAsia="zh-CN" w:bidi="ar-SA"/>
        </w:rPr>
        <w:t>（八）统筹规划文化体育和旅游产业，组织实施文化和旅游资源的普查、挖掘、保护与利用工作，推动文化体育和旅游产业投融资体系建设，促进文化体育和旅游产业发展。结合乡村振兴战略，推进文化和旅游扶贫。指导全市打响文化旅游品牌，构建打造文化旅游强市和南疆丝绸之路旅游目的地和集散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Times New Roman" w:eastAsia="仿宋_GB2312" w:cs="Times New Roman"/>
          <w:kern w:val="2"/>
          <w:sz w:val="32"/>
          <w:szCs w:val="32"/>
          <w:highlight w:val="none"/>
          <w:lang w:val="en-US" w:eastAsia="zh-CN" w:bidi="ar-SA"/>
        </w:rPr>
      </w:pPr>
      <w:r>
        <w:rPr>
          <w:rFonts w:hint="default" w:ascii="仿宋_GB2312" w:hAnsi="Times New Roman" w:eastAsia="仿宋_GB2312" w:cs="Times New Roman"/>
          <w:kern w:val="2"/>
          <w:sz w:val="32"/>
          <w:szCs w:val="32"/>
          <w:highlight w:val="none"/>
          <w:lang w:val="en-US" w:eastAsia="zh-CN" w:bidi="ar-SA"/>
        </w:rPr>
        <w:t xml:space="preserve">（九）指导文化和旅游市场发展，推进文化和旅游行业信用体系建设。指导库尔勒市文化旅游市场综合执法，对文化、体育和旅游市场经营进行行业监管，依法规范文化、体育和旅游市场。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Times New Roman" w:eastAsia="仿宋_GB2312" w:cs="Times New Roman"/>
          <w:kern w:val="2"/>
          <w:sz w:val="32"/>
          <w:szCs w:val="32"/>
          <w:highlight w:val="none"/>
          <w:lang w:val="en-US" w:eastAsia="zh-CN" w:bidi="ar-SA"/>
        </w:rPr>
      </w:pPr>
      <w:r>
        <w:rPr>
          <w:rFonts w:hint="default" w:ascii="仿宋_GB2312" w:hAnsi="Times New Roman" w:eastAsia="仿宋_GB2312" w:cs="Times New Roman"/>
          <w:kern w:val="2"/>
          <w:sz w:val="32"/>
          <w:szCs w:val="32"/>
          <w:highlight w:val="none"/>
          <w:lang w:val="en-US" w:eastAsia="zh-CN" w:bidi="ar-SA"/>
        </w:rPr>
        <w:t>（十）负责文化和旅游安全的综合协调与监督管理，指导文化和旅游应急救援工作。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Times New Roman" w:eastAsia="仿宋_GB2312" w:cs="Times New Roman"/>
          <w:kern w:val="2"/>
          <w:sz w:val="32"/>
          <w:szCs w:val="32"/>
          <w:highlight w:val="none"/>
          <w:lang w:val="en-US" w:eastAsia="zh-CN" w:bidi="ar-SA"/>
        </w:rPr>
      </w:pPr>
      <w:r>
        <w:rPr>
          <w:rFonts w:hint="default" w:ascii="仿宋_GB2312" w:hAnsi="Times New Roman" w:eastAsia="仿宋_GB2312" w:cs="Times New Roman"/>
          <w:kern w:val="2"/>
          <w:sz w:val="32"/>
          <w:szCs w:val="32"/>
          <w:highlight w:val="none"/>
          <w:lang w:val="en-US" w:eastAsia="zh-CN" w:bidi="ar-SA"/>
        </w:rPr>
        <w:t>（十一）指导、管理文化和旅游对外交流、合作、宣传、推广，组织大型文化和旅游对外交流活动，推动中华文化走出去。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Times New Roman" w:eastAsia="仿宋_GB2312" w:cs="Times New Roman"/>
          <w:kern w:val="2"/>
          <w:sz w:val="32"/>
          <w:szCs w:val="32"/>
          <w:highlight w:val="none"/>
          <w:lang w:val="en-US" w:eastAsia="zh-CN" w:bidi="ar-SA"/>
        </w:rPr>
      </w:pPr>
      <w:r>
        <w:rPr>
          <w:rFonts w:hint="default" w:ascii="仿宋_GB2312" w:hAnsi="Times New Roman" w:eastAsia="仿宋_GB2312" w:cs="Times New Roman"/>
          <w:kern w:val="2"/>
          <w:sz w:val="32"/>
          <w:szCs w:val="32"/>
          <w:highlight w:val="none"/>
          <w:lang w:val="en-US" w:eastAsia="zh-CN" w:bidi="ar-SA"/>
        </w:rPr>
        <w:t>（十二）指导统筹文物工作。负责文物保护管理、抢救维修、考古发掘、科技研究、宣传教育等工作。指导博物馆和革命文物工作。依法规范社会文物流通、经销和拍卖活动等工作。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Times New Roman" w:eastAsia="仿宋_GB2312" w:cs="Times New Roman"/>
          <w:kern w:val="2"/>
          <w:sz w:val="32"/>
          <w:szCs w:val="32"/>
          <w:highlight w:val="none"/>
          <w:lang w:val="en-US" w:eastAsia="zh-CN" w:bidi="ar-SA"/>
        </w:rPr>
      </w:pPr>
      <w:r>
        <w:rPr>
          <w:rFonts w:hint="default" w:ascii="仿宋_GB2312" w:hAnsi="Times New Roman" w:eastAsia="仿宋_GB2312" w:cs="Times New Roman"/>
          <w:kern w:val="2"/>
          <w:sz w:val="32"/>
          <w:szCs w:val="32"/>
          <w:highlight w:val="none"/>
          <w:lang w:val="en-US" w:eastAsia="zh-CN" w:bidi="ar-SA"/>
        </w:rPr>
        <w:t>（十三）统筹规划库尔勒市竞技体育发展，设置体育运动项目，指导协调体育训练和体育竞赛，承办和参加自治区、自治州以及库尔勒市的运动竞赛，指导运动队伍建设，协调、监督体育运动中的反兴奋剂工作。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Times New Roman" w:eastAsia="仿宋_GB2312" w:cs="Times New Roman"/>
          <w:kern w:val="2"/>
          <w:sz w:val="32"/>
          <w:szCs w:val="32"/>
          <w:highlight w:val="none"/>
          <w:lang w:val="en-US" w:eastAsia="zh-CN" w:bidi="ar-SA"/>
        </w:rPr>
      </w:pPr>
      <w:r>
        <w:rPr>
          <w:rFonts w:hint="default" w:ascii="仿宋_GB2312" w:hAnsi="Times New Roman" w:eastAsia="仿宋_GB2312" w:cs="Times New Roman"/>
          <w:kern w:val="2"/>
          <w:sz w:val="32"/>
          <w:szCs w:val="32"/>
          <w:highlight w:val="none"/>
          <w:lang w:val="en-US" w:eastAsia="zh-CN" w:bidi="ar-SA"/>
        </w:rPr>
        <w:t>（十四）统筹规划库尔勒市青少年体育发展，指导和推进青少年体育工作；规范体育服务管理，推动体育标准化建设；负责体育彩票发行管理；组织实施全民健身计划，推动建立和完善全民健身服务体系，推行社会体育指导员和国民体质监测制度；负责公共体育设施项目的申报、监督和管理工作；指导群众性体育项目的训练竞赛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Times New Roman" w:eastAsia="仿宋_GB2312" w:cs="Times New Roman"/>
          <w:kern w:val="2"/>
          <w:sz w:val="32"/>
          <w:szCs w:val="32"/>
          <w:highlight w:val="none"/>
          <w:lang w:val="en-US" w:eastAsia="zh-CN" w:bidi="ar-SA"/>
        </w:rPr>
      </w:pPr>
      <w:r>
        <w:rPr>
          <w:rFonts w:hint="default" w:ascii="仿宋_GB2312" w:hAnsi="Times New Roman" w:eastAsia="仿宋_GB2312" w:cs="Times New Roman"/>
          <w:kern w:val="2"/>
          <w:sz w:val="32"/>
          <w:szCs w:val="32"/>
          <w:highlight w:val="none"/>
          <w:lang w:val="en-US" w:eastAsia="zh-CN" w:bidi="ar-SA"/>
        </w:rPr>
        <w:t>（十五）负责制定广播电视领域事业产业发展政策和规划，开展广播电视交流与合作。指导、监督广播电视重点基础设施建设。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Times New Roman" w:eastAsia="仿宋_GB2312" w:cs="Times New Roman"/>
          <w:kern w:val="2"/>
          <w:sz w:val="32"/>
          <w:szCs w:val="32"/>
          <w:highlight w:val="none"/>
          <w:lang w:val="en-US" w:eastAsia="zh-CN" w:bidi="ar-SA"/>
        </w:rPr>
      </w:pPr>
      <w:r>
        <w:rPr>
          <w:rFonts w:hint="default" w:ascii="仿宋_GB2312" w:hAnsi="Times New Roman" w:eastAsia="仿宋_GB2312" w:cs="Times New Roman"/>
          <w:kern w:val="2"/>
          <w:sz w:val="32"/>
          <w:szCs w:val="32"/>
          <w:highlight w:val="none"/>
          <w:lang w:val="en-US" w:eastAsia="zh-CN" w:bidi="ar-SA"/>
        </w:rPr>
        <w:t>（十六）组织实施广播电视、网络视听节目服务管理行业标准，对广播电视机构进行业务指导和行业监管，会同有关部门对网络视听节目服务机构进行管理。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default" w:ascii="仿宋_GB2312" w:hAnsi="Times New Roman" w:eastAsia="仿宋_GB2312" w:cs="Times New Roman"/>
          <w:kern w:val="2"/>
          <w:sz w:val="32"/>
          <w:szCs w:val="32"/>
          <w:highlight w:val="none"/>
          <w:lang w:val="en-US" w:eastAsia="zh-CN" w:bidi="ar-SA"/>
        </w:rPr>
        <w:t>（十七）</w:t>
      </w:r>
      <w:r>
        <w:rPr>
          <w:rFonts w:hint="eastAsia" w:ascii="仿宋_GB2312" w:hAnsi="Times New Roman" w:eastAsia="仿宋_GB2312" w:cs="Times New Roman"/>
          <w:kern w:val="2"/>
          <w:sz w:val="32"/>
          <w:szCs w:val="32"/>
          <w:highlight w:val="none"/>
          <w:lang w:val="en-US" w:eastAsia="zh-CN" w:bidi="ar-SA"/>
        </w:rPr>
        <w:t>完成</w:t>
      </w:r>
      <w:r>
        <w:rPr>
          <w:rFonts w:hint="default" w:ascii="仿宋_GB2312" w:hAnsi="Times New Roman" w:eastAsia="仿宋_GB2312" w:cs="Times New Roman"/>
          <w:kern w:val="2"/>
          <w:sz w:val="32"/>
          <w:szCs w:val="32"/>
          <w:highlight w:val="none"/>
          <w:lang w:val="en-US" w:eastAsia="zh-CN" w:bidi="ar-SA"/>
        </w:rPr>
        <w:t>市党委、市人民政府交办的其他事项。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黑体" w:cs="宋体"/>
          <w:bCs/>
          <w:kern w:val="0"/>
          <w:sz w:val="32"/>
          <w:szCs w:val="32"/>
          <w:highlight w:val="none"/>
          <w:lang w:val="en-US" w:eastAsia="zh-CN" w:bidi="ar-SA"/>
        </w:rPr>
      </w:pPr>
      <w:r>
        <w:rPr>
          <w:rFonts w:hint="eastAsia" w:ascii="黑体" w:hAnsi="黑体" w:eastAsia="黑体" w:cs="宋体"/>
          <w:bCs/>
          <w:kern w:val="0"/>
          <w:sz w:val="32"/>
          <w:szCs w:val="32"/>
          <w:highlight w:val="none"/>
          <w:lang w:val="en-US" w:eastAsia="zh-CN" w:bidi="ar-SA"/>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库尔勒市文化体育广播电视和旅游局2024年度，实有人数122人，其中：在职人员61人，减少4人；离休人员0人，较上年无变化；退休人员61人，增加4人。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从部门决算单位构成看，库尔勒市文化体育广播电视和旅游局部门决算包括：库尔勒市文化体育广播电视和旅游局本级决算及所属单位决算。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库尔勒市文化体育广播电视和旅游局本级下设下属单位3个，分别是：库尔勒市文化馆，库尔勒市图书馆，库尔勒民俗文化博物馆。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纳入库尔勒市文化体育广播电视和旅游局2024年度部门决算编制范围的下属预算单位包括：</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库尔勒市文化体育广播电视和旅游局(库尔勒市文物局)，库尔勒市文化馆，库尔勒市图书馆，库尔勒民俗文化博物馆。</w:t>
      </w:r>
    </w:p>
    <w:p>
      <w:pPr>
        <w:keepNext w:val="0"/>
        <w:keepLines w:val="0"/>
        <w:pageBreakBefore w:val="0"/>
        <w:widowControl/>
        <w:kinsoku/>
        <w:wordWrap/>
        <w:overflowPunct/>
        <w:topLinePunct w:val="0"/>
        <w:autoSpaceDE/>
        <w:autoSpaceDN/>
        <w:bidi w:val="0"/>
        <w:adjustRightInd/>
        <w:snapToGrid/>
        <w:spacing w:line="560" w:lineRule="exact"/>
        <w:ind w:firstLine="0" w:firstLineChars="200"/>
        <w:textAlignment w:val="auto"/>
        <w:rPr>
          <w:rFonts w:hint="eastAsia" w:ascii="仿宋_GB2312" w:hAnsi="仿宋_GB2312" w:eastAsia="仿宋_GB2312" w:cs="仿宋_GB2312"/>
        </w:rPr>
      </w:pPr>
      <w:r>
        <w:rPr>
          <w:rFonts w:hint="eastAsia" w:ascii="仿宋_GB2312" w:hAnsi="仿宋_GB2312" w:eastAsia="仿宋_GB2312" w:cs="仿宋_GB2312"/>
          <w:b w:val="0"/>
          <w:sz w:val="0"/>
          <w:szCs w:val="0"/>
        </w:rPr>
        <w:br w:type="page"/>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cs="Times New Roman"/>
          <w:kern w:val="2"/>
          <w:sz w:val="32"/>
          <w:szCs w:val="32"/>
          <w:highlight w:val="none"/>
          <w:lang w:val="en-US" w:eastAsia="zh-CN" w:bidi="ar-SA"/>
        </w:rPr>
      </w:pPr>
      <w:r>
        <w:rPr>
          <w:rFonts w:hint="eastAsia" w:ascii="黑体" w:hAnsi="黑体" w:eastAsia="黑体" w:cs="Times New Roman"/>
          <w:kern w:val="2"/>
          <w:sz w:val="32"/>
          <w:szCs w:val="32"/>
          <w:highlight w:val="none"/>
          <w:lang w:val="en-US" w:eastAsia="zh-CN" w:bidi="ar-SA"/>
        </w:rPr>
        <w:t>第二部分部门决算情况说明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黑体" w:cs="宋体"/>
          <w:bCs/>
          <w:kern w:val="0"/>
          <w:sz w:val="32"/>
          <w:szCs w:val="32"/>
          <w:highlight w:val="none"/>
          <w:lang w:val="en-US" w:eastAsia="zh-CN" w:bidi="ar-SA"/>
        </w:rPr>
      </w:pPr>
      <w:r>
        <w:rPr>
          <w:rFonts w:hint="eastAsia" w:ascii="黑体" w:hAnsi="黑体" w:eastAsia="黑体" w:cs="宋体"/>
          <w:bCs/>
          <w:kern w:val="0"/>
          <w:sz w:val="32"/>
          <w:szCs w:val="32"/>
          <w:highlight w:val="none"/>
          <w:lang w:val="en-US" w:eastAsia="zh-CN" w:bidi="ar-SA"/>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Times New Roman" w:eastAsia="仿宋_GB2312" w:cs="Times New Roman"/>
          <w:b/>
          <w:bCs/>
          <w:spacing w:val="0"/>
          <w:kern w:val="2"/>
          <w:sz w:val="32"/>
          <w:szCs w:val="32"/>
          <w:highlight w:val="none"/>
          <w:lang w:val="en-US" w:eastAsia="zh-CN" w:bidi="ar-SA"/>
        </w:rPr>
        <w:t>2024年度收入总计2,728.76万元，</w:t>
      </w:r>
      <w:r>
        <w:rPr>
          <w:rFonts w:hint="eastAsia" w:ascii="仿宋_GB2312" w:hAnsi="仿宋_GB2312" w:eastAsia="仿宋_GB2312" w:cs="仿宋_GB2312"/>
          <w:b w:val="0"/>
          <w:sz w:val="32"/>
          <w:szCs w:val="32"/>
        </w:rPr>
        <w:t>其中：本年收入合计2,728.76万元，使用非财政拨款结余（含专用结余）0.00万元，年初结转和结余0.00万元。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Times New Roman" w:eastAsia="仿宋_GB2312" w:cs="Times New Roman"/>
          <w:b/>
          <w:bCs/>
          <w:spacing w:val="0"/>
          <w:kern w:val="2"/>
          <w:sz w:val="32"/>
          <w:szCs w:val="32"/>
          <w:highlight w:val="none"/>
          <w:lang w:val="en-US" w:eastAsia="zh-CN" w:bidi="ar-SA"/>
        </w:rPr>
        <w:t>2024年度支出总计2,728.76万元，</w:t>
      </w:r>
      <w:r>
        <w:rPr>
          <w:rFonts w:hint="eastAsia" w:ascii="仿宋_GB2312" w:hAnsi="仿宋_GB2312" w:eastAsia="仿宋_GB2312" w:cs="仿宋_GB2312"/>
          <w:b w:val="0"/>
          <w:sz w:val="32"/>
          <w:szCs w:val="32"/>
        </w:rPr>
        <w:t>其中：本年支出合计2,728.76万元，结余分配0.00万元，年末结转和结余0.00万元。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Times New Roman" w:eastAsia="仿宋_GB2312" w:cs="Times New Roman"/>
          <w:b/>
          <w:bCs/>
          <w:spacing w:val="0"/>
          <w:kern w:val="2"/>
          <w:sz w:val="32"/>
          <w:szCs w:val="32"/>
          <w:highlight w:val="none"/>
          <w:lang w:val="en-US" w:eastAsia="zh-CN" w:bidi="ar-SA"/>
        </w:rPr>
        <w:t>收入支出总体与上年相比，</w:t>
      </w:r>
      <w:r>
        <w:rPr>
          <w:rFonts w:hint="eastAsia" w:ascii="仿宋_GB2312" w:hAnsi="仿宋_GB2312" w:eastAsia="仿宋_GB2312" w:cs="仿宋_GB2312"/>
          <w:b w:val="0"/>
          <w:sz w:val="32"/>
          <w:szCs w:val="32"/>
        </w:rPr>
        <w:t>增加384.42万元，增长16.40%，主要原因是：</w:t>
      </w:r>
      <w:r>
        <w:rPr>
          <w:rFonts w:hint="eastAsia" w:ascii="仿宋_GB2312" w:hAnsi="仿宋_GB2312" w:eastAsia="仿宋_GB2312" w:cs="仿宋_GB2312"/>
          <w:b w:val="0"/>
          <w:sz w:val="32"/>
          <w:szCs w:val="32"/>
          <w:lang w:val="en-US" w:eastAsia="zh-CN"/>
        </w:rPr>
        <w:t>增加了</w:t>
      </w:r>
      <w:r>
        <w:rPr>
          <w:rFonts w:hint="eastAsia" w:ascii="仿宋_GB2312" w:hAnsi="仿宋_GB2312" w:eastAsia="仿宋_GB2312" w:cs="仿宋_GB2312"/>
          <w:b w:val="0"/>
          <w:sz w:val="32"/>
          <w:szCs w:val="32"/>
        </w:rPr>
        <w:t>项目支出。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黑体" w:cs="宋体"/>
          <w:bCs/>
          <w:kern w:val="0"/>
          <w:sz w:val="32"/>
          <w:szCs w:val="32"/>
          <w:highlight w:val="none"/>
          <w:lang w:val="en-US" w:eastAsia="zh-CN" w:bidi="ar-SA"/>
        </w:rPr>
      </w:pPr>
      <w:r>
        <w:rPr>
          <w:rFonts w:hint="eastAsia" w:ascii="黑体" w:hAnsi="黑体" w:eastAsia="黑体" w:cs="宋体"/>
          <w:bCs/>
          <w:kern w:val="0"/>
          <w:sz w:val="32"/>
          <w:szCs w:val="32"/>
          <w:highlight w:val="none"/>
          <w:lang w:val="en-US" w:eastAsia="zh-CN" w:bidi="ar-SA"/>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Times New Roman" w:eastAsia="仿宋_GB2312" w:cs="Times New Roman"/>
          <w:b/>
          <w:bCs/>
          <w:kern w:val="2"/>
          <w:sz w:val="32"/>
          <w:szCs w:val="32"/>
          <w:highlight w:val="none"/>
          <w:lang w:val="en-US" w:eastAsia="zh-CN" w:bidi="ar-SA"/>
        </w:rPr>
        <w:t>本年收入2,728.76万元，</w:t>
      </w:r>
      <w:r>
        <w:rPr>
          <w:rFonts w:hint="eastAsia" w:ascii="仿宋_GB2312" w:hAnsi="仿宋_GB2312" w:eastAsia="仿宋_GB2312" w:cs="仿宋_GB2312"/>
          <w:b w:val="0"/>
          <w:sz w:val="32"/>
          <w:szCs w:val="32"/>
        </w:rPr>
        <w:t>其中：财政拨款收入2,698.44万元,占98.89%；上级补助收入0.00万元,占0.00%；事业收入0.00万元，占0.00%；经营收入0.00万元,占0.00%；附属单位上缴收入0.00万元，占0.00%；其他收入30.32万元，占1.11%。</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黑体" w:cs="宋体"/>
          <w:bCs/>
          <w:kern w:val="0"/>
          <w:sz w:val="32"/>
          <w:szCs w:val="32"/>
          <w:highlight w:val="none"/>
          <w:lang w:val="en-US" w:eastAsia="zh-CN" w:bidi="ar-SA"/>
        </w:rPr>
      </w:pPr>
      <w:r>
        <w:rPr>
          <w:rFonts w:hint="eastAsia" w:ascii="黑体" w:hAnsi="黑体" w:eastAsia="黑体" w:cs="宋体"/>
          <w:bCs/>
          <w:kern w:val="0"/>
          <w:sz w:val="32"/>
          <w:szCs w:val="32"/>
          <w:highlight w:val="none"/>
          <w:lang w:val="en-US" w:eastAsia="zh-CN" w:bidi="ar-SA"/>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Times New Roman" w:eastAsia="仿宋_GB2312" w:cs="Times New Roman"/>
          <w:b/>
          <w:bCs/>
          <w:kern w:val="2"/>
          <w:sz w:val="32"/>
          <w:szCs w:val="32"/>
          <w:highlight w:val="none"/>
          <w:lang w:val="en-US" w:eastAsia="zh-CN" w:bidi="ar-SA"/>
        </w:rPr>
        <w:t>本年支出2,728.76万元，</w:t>
      </w:r>
      <w:r>
        <w:rPr>
          <w:rFonts w:hint="eastAsia" w:ascii="仿宋_GB2312" w:hAnsi="仿宋_GB2312" w:eastAsia="仿宋_GB2312" w:cs="仿宋_GB2312"/>
          <w:b w:val="0"/>
          <w:sz w:val="32"/>
          <w:szCs w:val="32"/>
        </w:rPr>
        <w:t>其中：基本支出1,370.88万元，占50.24%；项目支出1,357.88万元，占49.76%；上缴上级支出0.00万元，占0.00%；经营支出0.00万元，占0.00%；对附属单位补助支出0.00万元，占0.00%。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黑体" w:cs="宋体"/>
          <w:bCs/>
          <w:kern w:val="0"/>
          <w:sz w:val="32"/>
          <w:szCs w:val="32"/>
          <w:highlight w:val="none"/>
          <w:lang w:val="en-US" w:eastAsia="zh-CN" w:bidi="ar-SA"/>
        </w:rPr>
      </w:pPr>
      <w:r>
        <w:rPr>
          <w:rFonts w:hint="eastAsia" w:ascii="黑体" w:hAnsi="黑体" w:eastAsia="黑体" w:cs="宋体"/>
          <w:bCs/>
          <w:kern w:val="0"/>
          <w:sz w:val="32"/>
          <w:szCs w:val="32"/>
          <w:highlight w:val="none"/>
          <w:lang w:val="en-US" w:eastAsia="zh-CN" w:bidi="ar-SA"/>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Times New Roman" w:eastAsia="仿宋_GB2312" w:cs="Times New Roman"/>
          <w:b/>
          <w:bCs/>
          <w:spacing w:val="0"/>
          <w:kern w:val="2"/>
          <w:sz w:val="32"/>
          <w:szCs w:val="32"/>
          <w:highlight w:val="none"/>
          <w:lang w:val="en-US" w:eastAsia="zh-CN" w:bidi="ar-SA"/>
        </w:rPr>
        <w:t>2024年度财政拨款收入总计2,698.44万元，</w:t>
      </w:r>
      <w:r>
        <w:rPr>
          <w:rFonts w:hint="eastAsia" w:ascii="仿宋_GB2312" w:hAnsi="仿宋_GB2312" w:eastAsia="仿宋_GB2312" w:cs="仿宋_GB2312"/>
          <w:b w:val="0"/>
          <w:sz w:val="32"/>
          <w:szCs w:val="32"/>
        </w:rPr>
        <w:t>其中：年初财政拨款结转和结余0.00万元，</w:t>
      </w:r>
      <w:r>
        <w:rPr>
          <w:rFonts w:hint="eastAsia" w:ascii="仿宋_GB2312" w:hAnsi="Times New Roman" w:eastAsia="仿宋_GB2312" w:cs="Times New Roman"/>
          <w:b/>
          <w:bCs/>
          <w:kern w:val="2"/>
          <w:sz w:val="32"/>
          <w:szCs w:val="32"/>
          <w:highlight w:val="none"/>
          <w:lang w:val="en-US" w:eastAsia="zh-CN" w:bidi="ar-SA"/>
        </w:rPr>
        <w:t>本年财政拨款收入2,698.44万元。</w:t>
      </w:r>
      <w:r>
        <w:rPr>
          <w:rFonts w:hint="eastAsia" w:ascii="仿宋_GB2312" w:hAnsi="仿宋_GB2312" w:eastAsia="仿宋_GB2312" w:cs="仿宋_GB2312"/>
          <w:b w:val="0"/>
          <w:sz w:val="32"/>
          <w:szCs w:val="32"/>
        </w:rPr>
        <w:t>财政拨款支出总计2,698.44万元，其中：年末财政拨款结转和结余0.00万元，本年财政拨款支出2,698.44万元。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Times New Roman" w:eastAsia="仿宋_GB2312" w:cs="Times New Roman"/>
          <w:b/>
          <w:bCs/>
          <w:kern w:val="2"/>
          <w:sz w:val="32"/>
          <w:szCs w:val="32"/>
          <w:highlight w:val="none"/>
          <w:lang w:val="en-US" w:eastAsia="zh-CN" w:bidi="ar-SA"/>
        </w:rPr>
        <w:t>财政拨款收入支出总体与上年相比，</w:t>
      </w:r>
      <w:r>
        <w:rPr>
          <w:rFonts w:hint="eastAsia" w:ascii="仿宋_GB2312" w:hAnsi="仿宋_GB2312" w:eastAsia="仿宋_GB2312" w:cs="仿宋_GB2312"/>
          <w:b w:val="0"/>
          <w:sz w:val="32"/>
          <w:szCs w:val="32"/>
        </w:rPr>
        <w:t>增加413.51万元，增长18.10%，主要原因是：</w:t>
      </w:r>
      <w:r>
        <w:rPr>
          <w:rFonts w:hint="eastAsia" w:ascii="仿宋_GB2312" w:eastAsia="仿宋_GB2312"/>
          <w:color w:val="auto"/>
          <w:spacing w:val="0"/>
          <w:sz w:val="32"/>
          <w:szCs w:val="32"/>
          <w:highlight w:val="none"/>
          <w:lang w:val="en-US" w:eastAsia="zh-CN"/>
        </w:rPr>
        <w:t>人员增加及调资，</w:t>
      </w:r>
      <w:r>
        <w:rPr>
          <w:rFonts w:hint="eastAsia" w:ascii="仿宋_GB2312" w:eastAsia="仿宋_GB2312"/>
          <w:color w:val="auto"/>
          <w:spacing w:val="0"/>
          <w:sz w:val="32"/>
          <w:szCs w:val="32"/>
          <w:highlight w:val="none"/>
          <w:lang w:eastAsia="zh-CN"/>
        </w:rPr>
        <w:t>202</w:t>
      </w:r>
      <w:r>
        <w:rPr>
          <w:rFonts w:hint="eastAsia" w:ascii="仿宋_GB2312" w:eastAsia="仿宋_GB2312"/>
          <w:color w:val="auto"/>
          <w:spacing w:val="0"/>
          <w:sz w:val="32"/>
          <w:szCs w:val="32"/>
          <w:highlight w:val="none"/>
          <w:lang w:val="en-US" w:eastAsia="zh-CN"/>
        </w:rPr>
        <w:t>4</w:t>
      </w:r>
      <w:r>
        <w:rPr>
          <w:rFonts w:hint="eastAsia" w:ascii="仿宋_GB2312" w:eastAsia="仿宋_GB2312"/>
          <w:color w:val="auto"/>
          <w:spacing w:val="0"/>
          <w:sz w:val="32"/>
          <w:szCs w:val="32"/>
          <w:highlight w:val="none"/>
          <w:lang w:eastAsia="zh-CN"/>
        </w:rPr>
        <w:t>年度</w:t>
      </w:r>
      <w:r>
        <w:rPr>
          <w:rFonts w:hint="eastAsia" w:ascii="仿宋_GB2312" w:eastAsia="仿宋_GB2312"/>
          <w:color w:val="auto"/>
          <w:spacing w:val="0"/>
          <w:sz w:val="32"/>
          <w:szCs w:val="32"/>
          <w:highlight w:val="none"/>
          <w:lang w:val="en-US" w:eastAsia="zh-CN"/>
        </w:rPr>
        <w:t>人员经费及公用经费有所</w:t>
      </w:r>
      <w:r>
        <w:rPr>
          <w:rFonts w:hint="eastAsia" w:ascii="仿宋_GB2312" w:eastAsia="仿宋_GB2312"/>
          <w:color w:val="auto"/>
          <w:spacing w:val="0"/>
          <w:sz w:val="32"/>
          <w:szCs w:val="32"/>
          <w:highlight w:val="none"/>
          <w:lang w:eastAsia="zh-CN"/>
        </w:rPr>
        <w:t>增加；一般公共预算财政拨款</w:t>
      </w:r>
      <w:r>
        <w:rPr>
          <w:rFonts w:hint="eastAsia" w:ascii="仿宋_GB2312" w:eastAsia="仿宋_GB2312"/>
          <w:color w:val="auto"/>
          <w:spacing w:val="0"/>
          <w:sz w:val="32"/>
          <w:szCs w:val="32"/>
          <w:highlight w:val="none"/>
          <w:lang w:val="en-US" w:eastAsia="zh-CN"/>
        </w:rPr>
        <w:t>和政府性基金预算财政拨款</w:t>
      </w:r>
      <w:r>
        <w:rPr>
          <w:rFonts w:hint="eastAsia" w:ascii="仿宋_GB2312" w:hAnsi="仿宋_GB2312" w:eastAsia="仿宋_GB2312" w:cs="仿宋_GB2312"/>
          <w:b w:val="0"/>
          <w:sz w:val="32"/>
          <w:szCs w:val="32"/>
          <w:lang w:val="en-US" w:eastAsia="zh-CN"/>
        </w:rPr>
        <w:t>增加</w:t>
      </w:r>
      <w:r>
        <w:rPr>
          <w:rFonts w:hint="eastAsia" w:ascii="仿宋_GB2312" w:hAnsi="仿宋_GB2312" w:eastAsia="仿宋_GB2312" w:cs="仿宋_GB2312"/>
          <w:b w:val="0"/>
          <w:sz w:val="32"/>
          <w:szCs w:val="32"/>
        </w:rPr>
        <w:t>。与年初预算相比，年初预算数2,082.30万元，决算数2,698.44万元，预决算差异率29.59%，主要原因是：</w:t>
      </w:r>
      <w:r>
        <w:rPr>
          <w:rFonts w:hint="eastAsia" w:ascii="仿宋_GB2312" w:hAnsi="仿宋_GB2312" w:eastAsia="仿宋_GB2312" w:cs="仿宋_GB2312"/>
          <w:b w:val="0"/>
          <w:sz w:val="32"/>
          <w:szCs w:val="32"/>
          <w:lang w:val="en-US" w:eastAsia="zh-CN"/>
        </w:rPr>
        <w:t>人员增加及调资，</w:t>
      </w:r>
      <w:r>
        <w:rPr>
          <w:rFonts w:hint="eastAsia" w:ascii="仿宋_GB2312" w:hAnsi="仿宋_GB2312" w:eastAsia="仿宋_GB2312" w:cs="仿宋_GB2312"/>
          <w:b w:val="0"/>
          <w:sz w:val="32"/>
          <w:szCs w:val="32"/>
          <w:lang w:eastAsia="zh-CN"/>
        </w:rPr>
        <w:t>202</w:t>
      </w:r>
      <w:r>
        <w:rPr>
          <w:rFonts w:hint="eastAsia" w:ascii="仿宋_GB2312" w:hAnsi="仿宋_GB2312" w:eastAsia="仿宋_GB2312" w:cs="仿宋_GB2312"/>
          <w:b w:val="0"/>
          <w:sz w:val="32"/>
          <w:szCs w:val="32"/>
          <w:lang w:val="en-US" w:eastAsia="zh-CN"/>
        </w:rPr>
        <w:t>4</w:t>
      </w:r>
      <w:r>
        <w:rPr>
          <w:rFonts w:hint="eastAsia" w:ascii="仿宋_GB2312" w:hAnsi="仿宋_GB2312" w:eastAsia="仿宋_GB2312" w:cs="仿宋_GB2312"/>
          <w:b w:val="0"/>
          <w:sz w:val="32"/>
          <w:szCs w:val="32"/>
          <w:lang w:eastAsia="zh-CN"/>
        </w:rPr>
        <w:t>年度</w:t>
      </w:r>
      <w:r>
        <w:rPr>
          <w:rFonts w:hint="eastAsia" w:ascii="仿宋_GB2312" w:hAnsi="仿宋_GB2312" w:eastAsia="仿宋_GB2312" w:cs="仿宋_GB2312"/>
          <w:b w:val="0"/>
          <w:sz w:val="32"/>
          <w:szCs w:val="32"/>
          <w:lang w:val="en-US" w:eastAsia="zh-CN"/>
        </w:rPr>
        <w:t>人员经费及公用经费有所</w:t>
      </w:r>
      <w:r>
        <w:rPr>
          <w:rFonts w:hint="eastAsia" w:ascii="仿宋_GB2312" w:hAnsi="仿宋_GB2312" w:eastAsia="仿宋_GB2312" w:cs="仿宋_GB2312"/>
          <w:b w:val="0"/>
          <w:sz w:val="32"/>
          <w:szCs w:val="32"/>
          <w:lang w:eastAsia="zh-CN"/>
        </w:rPr>
        <w:t>增加；一般公共预算财政拨款</w:t>
      </w:r>
      <w:r>
        <w:rPr>
          <w:rFonts w:hint="eastAsia" w:ascii="仿宋_GB2312" w:hAnsi="仿宋_GB2312" w:eastAsia="仿宋_GB2312" w:cs="仿宋_GB2312"/>
          <w:b w:val="0"/>
          <w:sz w:val="32"/>
          <w:szCs w:val="32"/>
          <w:lang w:val="en-US" w:eastAsia="zh-CN"/>
        </w:rPr>
        <w:t>和政府性基金预算财政拨款增加</w:t>
      </w:r>
      <w:r>
        <w:rPr>
          <w:rFonts w:hint="eastAsia" w:ascii="仿宋_GB2312" w:hAnsi="仿宋_GB2312" w:eastAsia="仿宋_GB2312" w:cs="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eastAsia" w:ascii="仿宋_GB2312" w:hAnsi="仿宋_GB2312" w:eastAsia="仿宋_GB2312" w:cs="仿宋_GB2312"/>
          <w:sz w:val="32"/>
          <w:szCs w:val="32"/>
        </w:rPr>
      </w:pPr>
      <w:r>
        <w:rPr>
          <w:rFonts w:hint="eastAsia" w:ascii="黑体" w:hAnsi="黑体" w:eastAsia="黑体" w:cs="宋体"/>
          <w:bCs/>
          <w:kern w:val="0"/>
          <w:sz w:val="32"/>
          <w:szCs w:val="32"/>
          <w:highlight w:val="none"/>
          <w:lang w:val="en-US" w:eastAsia="zh-CN" w:bidi="ar-SA"/>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eastAsia" w:ascii="黑体" w:hAnsi="黑体" w:eastAsia="黑体" w:cs="Times New Roman"/>
          <w:kern w:val="2"/>
          <w:sz w:val="32"/>
          <w:szCs w:val="32"/>
          <w:highlight w:val="none"/>
          <w:lang w:val="en-US" w:eastAsia="zh-CN" w:bidi="ar-SA"/>
        </w:rPr>
      </w:pPr>
      <w:r>
        <w:rPr>
          <w:rFonts w:hint="eastAsia" w:ascii="黑体" w:hAnsi="黑体" w:eastAsia="黑体" w:cs="Times New Roman"/>
          <w:kern w:val="2"/>
          <w:sz w:val="32"/>
          <w:szCs w:val="32"/>
          <w:highlight w:val="none"/>
          <w:lang w:val="en-US" w:eastAsia="zh-CN" w:bidi="ar-SA"/>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Times New Roman" w:eastAsia="仿宋_GB2312" w:cs="Times New Roman"/>
          <w:b/>
          <w:bCs/>
          <w:spacing w:val="0"/>
          <w:kern w:val="2"/>
          <w:sz w:val="32"/>
          <w:szCs w:val="32"/>
          <w:highlight w:val="none"/>
          <w:lang w:val="en-US" w:eastAsia="zh-CN" w:bidi="ar-SA"/>
        </w:rPr>
        <w:t>2024年度一般公共预算财政拨款支出2,440.06万元，</w:t>
      </w:r>
      <w:r>
        <w:rPr>
          <w:rFonts w:hint="eastAsia" w:ascii="仿宋_GB2312" w:hAnsi="仿宋_GB2312" w:eastAsia="仿宋_GB2312" w:cs="仿宋_GB2312"/>
          <w:b w:val="0"/>
          <w:sz w:val="32"/>
          <w:szCs w:val="32"/>
        </w:rPr>
        <w:t>占本年支出合计的89.42%。</w:t>
      </w:r>
      <w:r>
        <w:rPr>
          <w:rFonts w:hint="eastAsia" w:ascii="仿宋_GB2312" w:hAnsi="Times New Roman" w:eastAsia="仿宋_GB2312" w:cs="Times New Roman"/>
          <w:b/>
          <w:bCs/>
          <w:spacing w:val="0"/>
          <w:kern w:val="2"/>
          <w:sz w:val="32"/>
          <w:szCs w:val="32"/>
          <w:highlight w:val="none"/>
          <w:lang w:val="en-US" w:eastAsia="zh-CN" w:bidi="ar-SA"/>
        </w:rPr>
        <w:t>与上年相比，</w:t>
      </w:r>
      <w:r>
        <w:rPr>
          <w:rFonts w:hint="eastAsia" w:ascii="仿宋_GB2312" w:hAnsi="仿宋_GB2312" w:eastAsia="仿宋_GB2312" w:cs="仿宋_GB2312"/>
          <w:b w:val="0"/>
          <w:sz w:val="32"/>
          <w:szCs w:val="32"/>
        </w:rPr>
        <w:t>增加211.79万元，增长9.50%，主要原因是：</w:t>
      </w:r>
      <w:r>
        <w:rPr>
          <w:rFonts w:hint="eastAsia" w:ascii="仿宋_GB2312" w:hAnsi="仿宋_GB2312" w:eastAsia="仿宋_GB2312" w:cs="仿宋_GB2312"/>
          <w:b w:val="0"/>
          <w:sz w:val="32"/>
          <w:szCs w:val="32"/>
          <w:lang w:val="en-US" w:eastAsia="zh-CN"/>
        </w:rPr>
        <w:t>人员增加及调资，</w:t>
      </w:r>
      <w:r>
        <w:rPr>
          <w:rFonts w:hint="eastAsia" w:ascii="仿宋_GB2312" w:hAnsi="仿宋_GB2312" w:eastAsia="仿宋_GB2312" w:cs="仿宋_GB2312"/>
          <w:b w:val="0"/>
          <w:sz w:val="32"/>
          <w:szCs w:val="32"/>
          <w:lang w:eastAsia="zh-CN"/>
        </w:rPr>
        <w:t>202</w:t>
      </w:r>
      <w:r>
        <w:rPr>
          <w:rFonts w:hint="eastAsia" w:ascii="仿宋_GB2312" w:hAnsi="仿宋_GB2312" w:eastAsia="仿宋_GB2312" w:cs="仿宋_GB2312"/>
          <w:b w:val="0"/>
          <w:sz w:val="32"/>
          <w:szCs w:val="32"/>
          <w:lang w:val="en-US" w:eastAsia="zh-CN"/>
        </w:rPr>
        <w:t>4</w:t>
      </w:r>
      <w:r>
        <w:rPr>
          <w:rFonts w:hint="eastAsia" w:ascii="仿宋_GB2312" w:hAnsi="仿宋_GB2312" w:eastAsia="仿宋_GB2312" w:cs="仿宋_GB2312"/>
          <w:b w:val="0"/>
          <w:sz w:val="32"/>
          <w:szCs w:val="32"/>
          <w:lang w:eastAsia="zh-CN"/>
        </w:rPr>
        <w:t>年度</w:t>
      </w:r>
      <w:r>
        <w:rPr>
          <w:rFonts w:hint="eastAsia" w:ascii="仿宋_GB2312" w:hAnsi="仿宋_GB2312" w:eastAsia="仿宋_GB2312" w:cs="仿宋_GB2312"/>
          <w:b w:val="0"/>
          <w:sz w:val="32"/>
          <w:szCs w:val="32"/>
          <w:lang w:val="en-US" w:eastAsia="zh-CN"/>
        </w:rPr>
        <w:t>人员经费及公用经费有所</w:t>
      </w:r>
      <w:r>
        <w:rPr>
          <w:rFonts w:hint="eastAsia" w:ascii="仿宋_GB2312" w:hAnsi="仿宋_GB2312" w:eastAsia="仿宋_GB2312" w:cs="仿宋_GB2312"/>
          <w:b w:val="0"/>
          <w:sz w:val="32"/>
          <w:szCs w:val="32"/>
          <w:lang w:eastAsia="zh-CN"/>
        </w:rPr>
        <w:t>增加；一般公共预算财政拨款</w:t>
      </w:r>
      <w:r>
        <w:rPr>
          <w:rFonts w:hint="eastAsia" w:ascii="仿宋_GB2312" w:hAnsi="仿宋_GB2312" w:eastAsia="仿宋_GB2312" w:cs="仿宋_GB2312"/>
          <w:b w:val="0"/>
          <w:sz w:val="32"/>
          <w:szCs w:val="32"/>
          <w:lang w:val="en-US" w:eastAsia="zh-CN"/>
        </w:rPr>
        <w:t>和政府性基金预算财政拨款增加</w:t>
      </w:r>
      <w:r>
        <w:rPr>
          <w:rFonts w:hint="eastAsia" w:ascii="仿宋_GB2312" w:hAnsi="仿宋_GB2312" w:eastAsia="仿宋_GB2312" w:cs="仿宋_GB2312"/>
          <w:b w:val="0"/>
          <w:sz w:val="32"/>
          <w:szCs w:val="32"/>
        </w:rPr>
        <w:t>。</w:t>
      </w:r>
      <w:r>
        <w:rPr>
          <w:rFonts w:hint="eastAsia" w:ascii="仿宋_GB2312" w:hAnsi="Times New Roman" w:eastAsia="仿宋_GB2312" w:cs="Times New Roman"/>
          <w:b/>
          <w:bCs/>
          <w:kern w:val="2"/>
          <w:sz w:val="32"/>
          <w:szCs w:val="32"/>
          <w:highlight w:val="none"/>
          <w:lang w:val="en-US" w:eastAsia="zh-CN" w:bidi="ar-SA"/>
        </w:rPr>
        <w:t>与年初预算相比，</w:t>
      </w:r>
      <w:r>
        <w:rPr>
          <w:rFonts w:hint="eastAsia" w:ascii="仿宋_GB2312" w:hAnsi="仿宋_GB2312" w:eastAsia="仿宋_GB2312" w:cs="仿宋_GB2312"/>
          <w:b w:val="0"/>
          <w:sz w:val="32"/>
          <w:szCs w:val="32"/>
        </w:rPr>
        <w:t>年初预算数1,905.30万元，决算数2,440.06万元，预决算差异率28.07%，主要原因是：</w:t>
      </w:r>
      <w:r>
        <w:rPr>
          <w:rFonts w:hint="eastAsia" w:ascii="仿宋_GB2312" w:hAnsi="仿宋_GB2312" w:eastAsia="仿宋_GB2312" w:cs="仿宋_GB2312"/>
          <w:b w:val="0"/>
          <w:sz w:val="32"/>
          <w:szCs w:val="32"/>
          <w:lang w:val="en-US" w:eastAsia="zh-CN"/>
        </w:rPr>
        <w:t>人员增加及调资，</w:t>
      </w:r>
      <w:r>
        <w:rPr>
          <w:rFonts w:hint="eastAsia" w:ascii="仿宋_GB2312" w:hAnsi="仿宋_GB2312" w:eastAsia="仿宋_GB2312" w:cs="仿宋_GB2312"/>
          <w:b w:val="0"/>
          <w:sz w:val="32"/>
          <w:szCs w:val="32"/>
          <w:lang w:eastAsia="zh-CN"/>
        </w:rPr>
        <w:t>202</w:t>
      </w:r>
      <w:r>
        <w:rPr>
          <w:rFonts w:hint="eastAsia" w:ascii="仿宋_GB2312" w:hAnsi="仿宋_GB2312" w:eastAsia="仿宋_GB2312" w:cs="仿宋_GB2312"/>
          <w:b w:val="0"/>
          <w:sz w:val="32"/>
          <w:szCs w:val="32"/>
          <w:lang w:val="en-US" w:eastAsia="zh-CN"/>
        </w:rPr>
        <w:t>4</w:t>
      </w:r>
      <w:r>
        <w:rPr>
          <w:rFonts w:hint="eastAsia" w:ascii="仿宋_GB2312" w:hAnsi="仿宋_GB2312" w:eastAsia="仿宋_GB2312" w:cs="仿宋_GB2312"/>
          <w:b w:val="0"/>
          <w:sz w:val="32"/>
          <w:szCs w:val="32"/>
          <w:lang w:eastAsia="zh-CN"/>
        </w:rPr>
        <w:t>年度</w:t>
      </w:r>
      <w:r>
        <w:rPr>
          <w:rFonts w:hint="eastAsia" w:ascii="仿宋_GB2312" w:hAnsi="仿宋_GB2312" w:eastAsia="仿宋_GB2312" w:cs="仿宋_GB2312"/>
          <w:b w:val="0"/>
          <w:sz w:val="32"/>
          <w:szCs w:val="32"/>
          <w:lang w:val="en-US" w:eastAsia="zh-CN"/>
        </w:rPr>
        <w:t>人员经费及公用经费有所</w:t>
      </w:r>
      <w:r>
        <w:rPr>
          <w:rFonts w:hint="eastAsia" w:ascii="仿宋_GB2312" w:hAnsi="仿宋_GB2312" w:eastAsia="仿宋_GB2312" w:cs="仿宋_GB2312"/>
          <w:b w:val="0"/>
          <w:sz w:val="32"/>
          <w:szCs w:val="32"/>
          <w:lang w:eastAsia="zh-CN"/>
        </w:rPr>
        <w:t>增加；一般公共预算财政拨款</w:t>
      </w:r>
      <w:r>
        <w:rPr>
          <w:rFonts w:hint="eastAsia" w:ascii="仿宋_GB2312" w:hAnsi="仿宋_GB2312" w:eastAsia="仿宋_GB2312" w:cs="仿宋_GB2312"/>
          <w:b w:val="0"/>
          <w:sz w:val="32"/>
          <w:szCs w:val="32"/>
          <w:lang w:val="en-US" w:eastAsia="zh-CN"/>
        </w:rPr>
        <w:t>和政府性基金预算财政拨款增加</w:t>
      </w:r>
      <w:r>
        <w:rPr>
          <w:rFonts w:hint="eastAsia" w:ascii="仿宋_GB2312" w:hAnsi="仿宋_GB2312" w:eastAsia="仿宋_GB2312" w:cs="仿宋_GB2312"/>
          <w:b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eastAsia" w:ascii="黑体" w:hAnsi="黑体" w:eastAsia="黑体" w:cs="Times New Roman"/>
          <w:kern w:val="2"/>
          <w:sz w:val="32"/>
          <w:szCs w:val="32"/>
          <w:highlight w:val="none"/>
          <w:lang w:val="en-US" w:eastAsia="zh-CN" w:bidi="ar-SA"/>
        </w:rPr>
      </w:pPr>
      <w:r>
        <w:rPr>
          <w:rFonts w:hint="eastAsia" w:ascii="黑体" w:hAnsi="黑体" w:eastAsia="黑体" w:cs="Times New Roman"/>
          <w:kern w:val="2"/>
          <w:sz w:val="32"/>
          <w:szCs w:val="32"/>
          <w:highlight w:val="none"/>
          <w:lang w:val="en-US" w:eastAsia="zh-CN" w:bidi="ar-SA"/>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一般公共服务支出（类）3.00万元，占0.12%。</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文化旅游体育与传媒支出（类）2,234.32万元，占91.57%。</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其他支出（类）202.74万元，占8.31%。</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宋体" w:hAnsi="宋体" w:eastAsia="宋体" w:cs="宋体"/>
          <w:b/>
          <w:kern w:val="0"/>
          <w:sz w:val="32"/>
          <w:szCs w:val="32"/>
          <w:highlight w:val="none"/>
          <w:lang w:val="en-US" w:eastAsia="zh-CN" w:bidi="ar-SA"/>
        </w:rPr>
      </w:pPr>
      <w:r>
        <w:rPr>
          <w:rFonts w:hint="eastAsia" w:ascii="宋体" w:hAnsi="宋体" w:eastAsia="宋体" w:cs="宋体"/>
          <w:b/>
          <w:kern w:val="0"/>
          <w:sz w:val="32"/>
          <w:szCs w:val="32"/>
          <w:highlight w:val="none"/>
          <w:lang w:val="en-US" w:eastAsia="zh-CN" w:bidi="ar-SA"/>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sz w:val="32"/>
          <w:szCs w:val="32"/>
          <w:lang w:val="en-US" w:eastAsia="zh-CN"/>
        </w:rPr>
      </w:pPr>
      <w:r>
        <w:rPr>
          <w:rFonts w:hint="eastAsia" w:ascii="仿宋_GB2312" w:hAnsi="仿宋_GB2312" w:eastAsia="仿宋_GB2312" w:cs="仿宋_GB2312"/>
          <w:b w:val="0"/>
          <w:sz w:val="32"/>
          <w:szCs w:val="32"/>
        </w:rPr>
        <w:t>一般公共服务支出（类）组织事务（款）其他组织事务支出（项）：支出决算数为3.00万元，比上年决算增加3.00万元，增长100.00%，主要原因是：</w:t>
      </w:r>
      <w:r>
        <w:rPr>
          <w:rFonts w:hint="eastAsia" w:ascii="仿宋_GB2312" w:eastAsia="仿宋_GB2312"/>
          <w:b w:val="0"/>
          <w:sz w:val="32"/>
          <w:szCs w:val="32"/>
          <w:lang w:val="en-US" w:eastAsia="zh-CN"/>
        </w:rPr>
        <w:t>本年度访惠聚工作经费在</w:t>
      </w:r>
      <w:r>
        <w:rPr>
          <w:rFonts w:hint="eastAsia" w:ascii="仿宋_GB2312" w:hAnsi="仿宋_GB2312" w:eastAsia="仿宋_GB2312" w:cs="仿宋_GB2312"/>
          <w:b w:val="0"/>
          <w:sz w:val="32"/>
          <w:szCs w:val="32"/>
        </w:rPr>
        <w:t>办公费</w:t>
      </w:r>
      <w:r>
        <w:rPr>
          <w:rFonts w:hint="eastAsia" w:ascii="仿宋_GB2312" w:eastAsia="仿宋_GB2312"/>
          <w:b w:val="0"/>
          <w:sz w:val="32"/>
          <w:szCs w:val="32"/>
          <w:lang w:val="en-US" w:eastAsia="zh-CN"/>
        </w:rPr>
        <w:t>款项列支。</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教育支出（类）进修及培训（款）培训支出（项）：支出决算数为0.00万元，比上年决算减少3.16万元，下降100.00%，主要原因是：</w:t>
      </w:r>
      <w:r>
        <w:rPr>
          <w:rFonts w:hint="eastAsia" w:ascii="仿宋_GB2312" w:eastAsia="仿宋_GB2312"/>
          <w:b w:val="0"/>
          <w:sz w:val="32"/>
          <w:szCs w:val="32"/>
        </w:rPr>
        <w:t>本年减少了培训人数及次数</w:t>
      </w:r>
      <w:r>
        <w:rPr>
          <w:rFonts w:hint="eastAsia" w:ascii="仿宋_GB2312" w:eastAsia="仿宋_GB2312"/>
          <w:b w:val="0"/>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文化旅游体育与传媒支出（类）文化和旅游（款）行政运行（项）：支出决算数为781.38万元，比上年决算增加268.31万元，增长52.30%，主要原因是：</w:t>
      </w:r>
      <w:r>
        <w:rPr>
          <w:rFonts w:hint="eastAsia" w:ascii="仿宋_GB2312" w:eastAsia="仿宋_GB2312"/>
          <w:b w:val="0"/>
          <w:sz w:val="32"/>
          <w:szCs w:val="32"/>
          <w:lang w:val="en-US" w:eastAsia="zh-CN"/>
        </w:rPr>
        <w:t>年内退休人数较上年增长，退休人员绩效奖较上年有所增加。</w:t>
      </w:r>
      <w:r>
        <w:rPr>
          <w:rFonts w:hint="eastAsia" w:ascii="仿宋_GB2312" w:hAnsi="Times New Roman" w:eastAsia="仿宋_GB2312" w:cs="Times New Roman"/>
          <w:b w:val="0"/>
          <w:sz w:val="32"/>
          <w:szCs w:val="32"/>
          <w:lang w:val="en-US" w:eastAsia="zh-CN"/>
        </w:rPr>
        <w:t>本年新考录工作人员，部分人员调岗调资，社保医保公积金基数调整，人员经费增加</w:t>
      </w:r>
      <w:r>
        <w:rPr>
          <w:rFonts w:hint="eastAsia" w:ascii="仿宋_GB2312" w:eastAsia="仿宋_GB2312"/>
          <w:b w:val="0"/>
          <w:sz w:val="32"/>
          <w:szCs w:val="32"/>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hAnsi="仿宋_GB2312" w:eastAsia="仿宋_GB2312" w:cs="仿宋_GB2312"/>
          <w:b w:val="0"/>
          <w:sz w:val="32"/>
          <w:szCs w:val="32"/>
        </w:rPr>
      </w:pPr>
      <w:r>
        <w:rPr>
          <w:rFonts w:hint="eastAsia" w:ascii="仿宋_GB2312" w:hAnsi="仿宋_GB2312" w:eastAsia="仿宋_GB2312" w:cs="仿宋_GB2312"/>
          <w:b w:val="0"/>
          <w:sz w:val="32"/>
          <w:szCs w:val="32"/>
        </w:rPr>
        <w:t>文化旅游体育与传媒支出（类）文化和旅游（款）图书馆（项）：支出决算数为195.16万元，比上年决算减少119.14万元，下降37.91%，主要原因是：</w:t>
      </w:r>
      <w:r>
        <w:rPr>
          <w:rFonts w:hint="eastAsia" w:ascii="仿宋_GB2312" w:hAnsi="仿宋_GB2312" w:eastAsia="仿宋_GB2312" w:cs="仿宋_GB2312"/>
          <w:b w:val="0"/>
          <w:sz w:val="32"/>
          <w:szCs w:val="32"/>
          <w:lang w:val="en-US" w:eastAsia="zh-CN"/>
        </w:rPr>
        <w:t>图书馆本年度辞退编外人员，相应人员经费减少。</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文化旅游体育与传媒支出（类）文化和旅游（款）文化创作与保护（项）：支出决算数为17.00万元，比上年决算增加17.00万元，增长100.00%，主要原因是：</w:t>
      </w:r>
      <w:r>
        <w:rPr>
          <w:rFonts w:hint="eastAsia" w:ascii="仿宋_GB2312" w:hAnsi="仿宋_GB2312" w:eastAsia="仿宋_GB2312" w:cs="仿宋_GB2312"/>
          <w:b w:val="0"/>
          <w:sz w:val="32"/>
          <w:szCs w:val="32"/>
          <w:lang w:val="en-US" w:eastAsia="zh-CN"/>
        </w:rPr>
        <w:t>文化馆</w:t>
      </w:r>
      <w:r>
        <w:rPr>
          <w:rFonts w:hint="eastAsia" w:ascii="仿宋_GB2312" w:hAnsi="仿宋_GB2312" w:eastAsia="仿宋_GB2312" w:cs="仿宋_GB2312"/>
          <w:b w:val="0"/>
          <w:sz w:val="32"/>
          <w:szCs w:val="32"/>
          <w:lang w:eastAsia="zh-CN"/>
        </w:rPr>
        <w:t>上年此非遗项目未完成，未支出，结余本年非遗项目按照完成进度支付</w:t>
      </w:r>
      <w:r>
        <w:rPr>
          <w:rFonts w:hint="eastAsia" w:ascii="仿宋_GB2312" w:hAnsi="仿宋_GB2312" w:eastAsia="仿宋_GB2312" w:cs="仿宋_GB2312"/>
          <w:b w:val="0"/>
          <w:sz w:val="32"/>
          <w:szCs w:val="32"/>
          <w:lang w:val="en-US" w:eastAsia="zh-CN"/>
        </w:rPr>
        <w:t>，决算数增加17万元。</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文化旅游体育与传媒支出（类）文化和旅游（款）文化和旅游管理事务（项）：支出决算数为0.00万元，比上年决算减少37.62万元，下降100.00%，主要原因是：</w:t>
      </w:r>
      <w:r>
        <w:rPr>
          <w:rFonts w:hint="eastAsia" w:ascii="仿宋_GB2312" w:hAnsi="仿宋_GB2312" w:eastAsia="仿宋_GB2312" w:cs="仿宋_GB2312"/>
          <w:b w:val="0"/>
          <w:sz w:val="32"/>
          <w:szCs w:val="32"/>
          <w:lang w:val="en-US" w:eastAsia="zh-CN"/>
        </w:rPr>
        <w:t>文旅局2023年度支付2021年旅游厕所资金奖补资金20.00万元，支付铁门关景区林草地征占用补偿费17.62335万元。本年度无此预算。</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hAnsi="仿宋_GB2312" w:eastAsia="仿宋_GB2312" w:cs="仿宋_GB2312"/>
          <w:b w:val="0"/>
          <w:sz w:val="32"/>
          <w:szCs w:val="32"/>
          <w:lang w:val="en-US" w:eastAsia="zh-CN"/>
        </w:rPr>
      </w:pPr>
      <w:r>
        <w:rPr>
          <w:rFonts w:hint="eastAsia" w:ascii="仿宋_GB2312" w:hAnsi="仿宋_GB2312" w:eastAsia="仿宋_GB2312" w:cs="仿宋_GB2312"/>
          <w:b w:val="0"/>
          <w:sz w:val="32"/>
          <w:szCs w:val="32"/>
        </w:rPr>
        <w:t>文化旅游体育与传媒支出（类）文化和旅游（款）其他文化和旅游支出（项）：支出决算数为299.09万元，比上年决算减少68.24万元，下降18.58%，主要原因是：</w:t>
      </w:r>
      <w:r>
        <w:rPr>
          <w:rFonts w:hint="eastAsia" w:ascii="仿宋_GB2312" w:hAnsi="仿宋_GB2312" w:eastAsia="仿宋_GB2312" w:cs="仿宋_GB2312"/>
          <w:b w:val="0"/>
          <w:sz w:val="32"/>
          <w:szCs w:val="32"/>
          <w:lang w:val="en-US" w:eastAsia="zh-CN"/>
        </w:rPr>
        <w:t>本年度辞退编外人员，相应人员</w:t>
      </w:r>
      <w:r>
        <w:rPr>
          <w:rFonts w:hint="eastAsia" w:ascii="仿宋_GB2312" w:hAnsi="仿宋_GB2312" w:eastAsia="仿宋_GB2312" w:cs="仿宋_GB2312"/>
          <w:b w:val="0"/>
          <w:sz w:val="32"/>
          <w:szCs w:val="32"/>
        </w:rPr>
        <w:t>工资福利支出</w:t>
      </w:r>
      <w:r>
        <w:rPr>
          <w:rFonts w:hint="eastAsia" w:ascii="仿宋_GB2312" w:hAnsi="仿宋_GB2312" w:eastAsia="仿宋_GB2312" w:cs="仿宋_GB2312"/>
          <w:b w:val="0"/>
          <w:sz w:val="32"/>
          <w:szCs w:val="32"/>
          <w:lang w:val="en-US" w:eastAsia="zh-CN"/>
        </w:rPr>
        <w:t>减少；专用材料费、劳务费、委托业务费、咨询费等支出减少。本年图书馆减少中央支持公共文化服务体系建设补助（新时代文明实践中心建设项目）</w:t>
      </w:r>
      <w:r>
        <w:rPr>
          <w:rFonts w:ascii="仿宋_GB2312" w:eastAsia="仿宋_GB2312"/>
          <w:b w:val="0"/>
          <w:sz w:val="32"/>
          <w:szCs w:val="32"/>
        </w:rPr>
        <w:t>24.39万元</w:t>
      </w:r>
      <w:r>
        <w:rPr>
          <w:rFonts w:hint="eastAsia" w:ascii="仿宋_GB2312" w:hAnsi="仿宋_GB2312" w:eastAsia="仿宋_GB2312" w:cs="仿宋_GB2312"/>
          <w:b w:val="0"/>
          <w:sz w:val="32"/>
          <w:szCs w:val="32"/>
          <w:lang w:val="en-US" w:eastAsia="zh-CN"/>
        </w:rPr>
        <w:t>。文化馆上年公益性岗位人员辞职减少11人，在编人员1人调离，2人退休，人员工资、社保、公积金、办公经费减少，本年减少32.78万元。文旅局本年</w:t>
      </w:r>
      <w:r>
        <w:rPr>
          <w:rFonts w:hint="eastAsia" w:ascii="仿宋_GB2312" w:eastAsia="仿宋_GB2312"/>
          <w:b w:val="0"/>
          <w:sz w:val="32"/>
          <w:szCs w:val="32"/>
        </w:rPr>
        <w:t>河北援疆资金</w:t>
      </w:r>
      <w:r>
        <w:rPr>
          <w:rFonts w:hint="eastAsia" w:ascii="仿宋_GB2312" w:hAnsi="仿宋_GB2312" w:eastAsia="仿宋_GB2312" w:cs="仿宋_GB2312"/>
          <w:b w:val="0"/>
          <w:sz w:val="32"/>
          <w:szCs w:val="32"/>
          <w:lang w:val="en-US" w:eastAsia="zh-CN"/>
        </w:rPr>
        <w:t>减少</w:t>
      </w:r>
      <w:r>
        <w:rPr>
          <w:rFonts w:ascii="仿宋_GB2312" w:eastAsia="仿宋_GB2312"/>
          <w:b w:val="0"/>
          <w:sz w:val="32"/>
          <w:szCs w:val="32"/>
        </w:rPr>
        <w:t>11.07万元</w:t>
      </w:r>
      <w:r>
        <w:rPr>
          <w:rFonts w:hint="eastAsia" w:ascii="仿宋_GB2312" w:eastAsia="仿宋_GB2312"/>
          <w:b w:val="0"/>
          <w:sz w:val="32"/>
          <w:szCs w:val="32"/>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hAnsi="仿宋_GB2312" w:eastAsia="仿宋_GB2312" w:cs="仿宋_GB2312"/>
          <w:sz w:val="32"/>
          <w:szCs w:val="32"/>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文化旅游体育与传媒支出（类）文物（款）文物保护（项）：支出决算数为38.07万元，比上年决算减少97.97万元，下降72.02%，主要原因是：</w:t>
      </w:r>
      <w:r>
        <w:rPr>
          <w:rFonts w:hint="eastAsia" w:ascii="仿宋_GB2312" w:hAnsi="仿宋_GB2312" w:eastAsia="仿宋_GB2312" w:cs="仿宋_GB2312"/>
          <w:b w:val="0"/>
          <w:sz w:val="32"/>
          <w:szCs w:val="32"/>
          <w:lang w:val="en-US" w:eastAsia="zh-CN"/>
        </w:rPr>
        <w:t>本年度减少了文物保护项目的支出。</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文化旅游体育与传媒支出（类）文物（款）博物馆（项）：支出决算数为221.60万元，比上年决算减少209.62万元，下降48.61%，主要原因是：</w:t>
      </w:r>
      <w:r>
        <w:rPr>
          <w:rFonts w:hint="eastAsia" w:ascii="仿宋_GB2312" w:eastAsia="仿宋_GB2312"/>
          <w:b w:val="0"/>
          <w:sz w:val="32"/>
          <w:szCs w:val="32"/>
          <w:lang w:val="en-US" w:eastAsia="zh-CN"/>
        </w:rPr>
        <w:t>本年度辞退编外人员5名。</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文化旅游体育与传媒支出（类）体育（款）体育场馆（项）：支出决算数为220.14万元，比上年决算增加168.83万元，增长329.04%，主要原因是：</w:t>
      </w:r>
      <w:r>
        <w:rPr>
          <w:rFonts w:hint="eastAsia" w:ascii="仿宋_GB2312" w:hAnsi="仿宋_GB2312" w:eastAsia="仿宋_GB2312" w:cs="仿宋_GB2312"/>
          <w:b w:val="0"/>
          <w:sz w:val="32"/>
          <w:szCs w:val="32"/>
          <w:lang w:val="en-US" w:eastAsia="zh-CN"/>
        </w:rPr>
        <w:t>1、增加了库尔勒市全民健身中心项目工程款（长润）217.4428万元。2、增加了巴州建工旗下子公司项目前期费2.7万元。</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文化旅游体育与传媒支出（类）体育（款）群众体育（项）：支出决算数为163.45万元，比上年决算增加100.51万元，增长159.69%，主要原因是：本年支付巴音郭楞体育公园项目前期费及工程预付款153</w:t>
      </w:r>
      <w:r>
        <w:rPr>
          <w:rFonts w:hint="eastAsia" w:ascii="仿宋_GB2312" w:hAnsi="仿宋_GB2312" w:eastAsia="仿宋_GB2312" w:cs="仿宋_GB2312"/>
          <w:b w:val="0"/>
          <w:sz w:val="32"/>
          <w:szCs w:val="32"/>
          <w:lang w:val="en-US" w:eastAsia="zh-CN"/>
        </w:rPr>
        <w:t>.</w:t>
      </w:r>
      <w:r>
        <w:rPr>
          <w:rFonts w:hint="eastAsia" w:ascii="仿宋_GB2312" w:hAnsi="仿宋_GB2312" w:eastAsia="仿宋_GB2312" w:cs="仿宋_GB2312"/>
          <w:b w:val="0"/>
          <w:sz w:val="32"/>
          <w:szCs w:val="32"/>
        </w:rPr>
        <w:t>6</w:t>
      </w:r>
      <w:r>
        <w:rPr>
          <w:rFonts w:hint="eastAsia" w:ascii="仿宋_GB2312" w:hAnsi="仿宋_GB2312" w:eastAsia="仿宋_GB2312" w:cs="仿宋_GB2312"/>
          <w:b w:val="0"/>
          <w:sz w:val="32"/>
          <w:szCs w:val="32"/>
          <w:lang w:val="en-US" w:eastAsia="zh-CN"/>
        </w:rPr>
        <w:t>7万</w:t>
      </w:r>
      <w:r>
        <w:rPr>
          <w:rFonts w:hint="eastAsia" w:ascii="仿宋_GB2312" w:hAnsi="仿宋_GB2312" w:eastAsia="仿宋_GB2312" w:cs="仿宋_GB2312"/>
          <w:b w:val="0"/>
          <w:sz w:val="32"/>
          <w:szCs w:val="32"/>
        </w:rPr>
        <w:t>元</w:t>
      </w:r>
      <w:r>
        <w:rPr>
          <w:rFonts w:hint="eastAsia" w:ascii="仿宋_GB2312" w:hAnsi="仿宋_GB2312" w:eastAsia="仿宋_GB2312" w:cs="仿宋_GB2312"/>
          <w:b w:val="0"/>
          <w:sz w:val="32"/>
          <w:szCs w:val="32"/>
          <w:lang w:eastAsia="zh-CN"/>
        </w:rPr>
        <w:t>。支付巴州建工旗下子公司项目前期费9</w:t>
      </w:r>
      <w:r>
        <w:rPr>
          <w:rFonts w:hint="eastAsia" w:ascii="仿宋_GB2312" w:hAnsi="仿宋_GB2312" w:eastAsia="仿宋_GB2312" w:cs="仿宋_GB2312"/>
          <w:b w:val="0"/>
          <w:sz w:val="32"/>
          <w:szCs w:val="32"/>
          <w:lang w:val="en-US" w:eastAsia="zh-CN"/>
        </w:rPr>
        <w:t>.</w:t>
      </w:r>
      <w:r>
        <w:rPr>
          <w:rFonts w:hint="eastAsia" w:ascii="仿宋_GB2312" w:hAnsi="仿宋_GB2312" w:eastAsia="仿宋_GB2312" w:cs="仿宋_GB2312"/>
          <w:b w:val="0"/>
          <w:sz w:val="32"/>
          <w:szCs w:val="32"/>
          <w:lang w:eastAsia="zh-CN"/>
        </w:rPr>
        <w:t>78万元。</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eastAsia="仿宋_GB2312"/>
          <w:sz w:val="32"/>
          <w:szCs w:val="32"/>
          <w:lang w:eastAsia="zh-CN"/>
        </w:rPr>
      </w:pPr>
      <w:r>
        <w:rPr>
          <w:rFonts w:hint="eastAsia" w:ascii="仿宋_GB2312" w:hAnsi="仿宋_GB2312" w:eastAsia="仿宋_GB2312" w:cs="仿宋_GB2312"/>
          <w:b w:val="0"/>
          <w:sz w:val="32"/>
          <w:szCs w:val="32"/>
        </w:rPr>
        <w:t>文化旅游体育与传媒支出（类）体育（款）其他体育支出（项）：支出决算数为0.00万元，比上年决算减少3.65万元，下降100.00%，主要原因是：</w:t>
      </w:r>
      <w:r>
        <w:rPr>
          <w:rFonts w:hint="eastAsia" w:ascii="仿宋_GB2312" w:eastAsia="仿宋_GB2312"/>
          <w:b w:val="0"/>
          <w:sz w:val="32"/>
          <w:szCs w:val="32"/>
          <w:lang w:val="en-US" w:eastAsia="zh-CN"/>
        </w:rPr>
        <w:t>减少了</w:t>
      </w:r>
      <w:r>
        <w:rPr>
          <w:rFonts w:hint="eastAsia" w:ascii="仿宋_GB2312" w:eastAsia="仿宋_GB2312"/>
          <w:b w:val="0"/>
          <w:sz w:val="32"/>
          <w:szCs w:val="32"/>
        </w:rPr>
        <w:t>2023年河北沧州美术展活动人员车费</w:t>
      </w:r>
      <w:r>
        <w:rPr>
          <w:rFonts w:hint="eastAsia" w:ascii="仿宋_GB2312" w:eastAsia="仿宋_GB2312"/>
          <w:b w:val="0"/>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文化旅游体育与传媒支出（类）广播电视（款）广播电视事务（项）：支出决算数为0.00万元，比上年决算减少206.81万元，下降100.00%，主要原因是：</w:t>
      </w:r>
      <w:r>
        <w:rPr>
          <w:rFonts w:hint="eastAsia" w:ascii="仿宋_GB2312" w:hAnsi="仿宋_GB2312" w:eastAsia="仿宋_GB2312" w:cs="仿宋_GB2312"/>
          <w:b w:val="0"/>
          <w:sz w:val="32"/>
          <w:szCs w:val="32"/>
          <w:lang w:val="en-US" w:eastAsia="zh-CN"/>
        </w:rPr>
        <w:t>本年度将全部机关事业单位基本养老保险缴费、职业年金、职工基本医疗保险、公务员医疗补助、住房公积金、其他工资福利支出、医疗补助金列入其他支出。</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b w:val="0"/>
          <w:sz w:val="32"/>
          <w:szCs w:val="32"/>
          <w:lang w:val="en-US" w:eastAsia="zh-CN"/>
        </w:rPr>
      </w:pPr>
      <w:r>
        <w:rPr>
          <w:rFonts w:hint="eastAsia" w:ascii="仿宋_GB2312" w:hAnsi="仿宋_GB2312" w:eastAsia="仿宋_GB2312" w:cs="仿宋_GB2312"/>
          <w:b w:val="0"/>
          <w:sz w:val="32"/>
          <w:szCs w:val="32"/>
        </w:rPr>
        <w:t>文化旅游体育与传媒支出（类）广播电视（款）其他广播电视支出（项）：支出决算数为27.47万元，比上年决算增加19.57万元，增长247.72%，主要原因是：</w:t>
      </w:r>
      <w:r>
        <w:rPr>
          <w:rFonts w:hint="eastAsia" w:ascii="仿宋_GB2312" w:eastAsia="仿宋_GB2312"/>
          <w:b w:val="0"/>
          <w:sz w:val="32"/>
          <w:szCs w:val="32"/>
        </w:rPr>
        <w:t>其他工资福利支出</w:t>
      </w:r>
      <w:r>
        <w:rPr>
          <w:rFonts w:hint="eastAsia" w:ascii="仿宋_GB2312" w:eastAsia="仿宋_GB2312"/>
          <w:b w:val="0"/>
          <w:sz w:val="32"/>
          <w:szCs w:val="32"/>
          <w:lang w:val="en-US" w:eastAsia="zh-CN"/>
        </w:rPr>
        <w:t>增加</w:t>
      </w:r>
      <w:r>
        <w:rPr>
          <w:rFonts w:hint="eastAsia" w:ascii="仿宋_GB2312" w:eastAsia="仿宋_GB2312"/>
          <w:b w:val="0"/>
          <w:sz w:val="32"/>
          <w:szCs w:val="32"/>
        </w:rPr>
        <w:t>10</w:t>
      </w:r>
      <w:r>
        <w:rPr>
          <w:rFonts w:hint="eastAsia" w:ascii="仿宋_GB2312" w:eastAsia="仿宋_GB2312"/>
          <w:b w:val="0"/>
          <w:sz w:val="32"/>
          <w:szCs w:val="32"/>
          <w:lang w:val="en-US" w:eastAsia="zh-CN"/>
        </w:rPr>
        <w:t>.</w:t>
      </w:r>
      <w:r>
        <w:rPr>
          <w:rFonts w:hint="eastAsia" w:ascii="仿宋_GB2312" w:eastAsia="仿宋_GB2312"/>
          <w:b w:val="0"/>
          <w:sz w:val="32"/>
          <w:szCs w:val="32"/>
        </w:rPr>
        <w:t>7</w:t>
      </w:r>
      <w:r>
        <w:rPr>
          <w:rFonts w:hint="eastAsia" w:ascii="仿宋_GB2312" w:eastAsia="仿宋_GB2312"/>
          <w:b w:val="0"/>
          <w:sz w:val="32"/>
          <w:szCs w:val="32"/>
          <w:lang w:val="en-US" w:eastAsia="zh-CN"/>
        </w:rPr>
        <w:t>万元，劳务费16.7700万元。</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sz w:val="32"/>
          <w:szCs w:val="32"/>
        </w:rPr>
        <w:t>文化旅游体育与传媒支出（类）其他文化旅游体育与传媒支出（款）其他文化旅游体育与传媒支出（项）：支出决算数为270.95万元，比上年决算增加178.03万元，增长191.59%，主要原因是：人员经费</w:t>
      </w:r>
      <w:r>
        <w:rPr>
          <w:rFonts w:hint="eastAsia" w:ascii="仿宋_GB2312" w:hAnsi="仿宋_GB2312" w:eastAsia="仿宋_GB2312" w:cs="仿宋_GB2312"/>
          <w:b w:val="0"/>
          <w:sz w:val="32"/>
          <w:szCs w:val="32"/>
          <w:lang w:val="en-US" w:eastAsia="zh-CN"/>
        </w:rPr>
        <w:t>增加。</w:t>
      </w:r>
      <w:r>
        <w:rPr>
          <w:rFonts w:hint="eastAsia" w:ascii="仿宋_GB2312" w:eastAsia="仿宋_GB2312"/>
          <w:b/>
          <w:bCs/>
          <w:sz w:val="32"/>
          <w:szCs w:val="32"/>
        </w:rPr>
        <w:t>商品和服务支出</w:t>
      </w:r>
      <w:r>
        <w:rPr>
          <w:rFonts w:hint="eastAsia" w:ascii="仿宋_GB2312" w:eastAsia="仿宋_GB2312"/>
          <w:b w:val="0"/>
          <w:sz w:val="32"/>
          <w:szCs w:val="32"/>
          <w:lang w:val="en-US" w:eastAsia="zh-CN"/>
        </w:rPr>
        <w:t>增加157.75万元（其中：</w:t>
      </w:r>
      <w:r>
        <w:rPr>
          <w:rFonts w:hint="eastAsia" w:ascii="仿宋_GB2312" w:eastAsia="仿宋_GB2312"/>
          <w:b w:val="0"/>
          <w:bCs w:val="0"/>
          <w:sz w:val="32"/>
          <w:szCs w:val="32"/>
          <w:lang w:val="en-US" w:eastAsia="zh-CN"/>
        </w:rPr>
        <w:t>办公费增加建州70周年中央民族歌舞团慰问演出活动舞台搭建音响灯光等设备租赁等费用18.28万元。咨询费增加24.75万元。租赁费增加28.57万元。专用材料购置费34.55万元（2023年6月1日-2023年10月31日放映农村公益电影补助等）。委托业务费</w:t>
      </w:r>
      <w:r>
        <w:rPr>
          <w:rFonts w:hint="eastAsia" w:ascii="仿宋_GB2312" w:eastAsia="仿宋_GB2312"/>
          <w:b w:val="0"/>
          <w:sz w:val="32"/>
          <w:szCs w:val="32"/>
          <w:lang w:val="en-US" w:eastAsia="zh-CN"/>
        </w:rPr>
        <w:t>51.6万元（今冬明春文化活动组织实施服务费等）；</w:t>
      </w:r>
      <w:r>
        <w:rPr>
          <w:rFonts w:hint="eastAsia" w:ascii="仿宋_GB2312" w:eastAsia="仿宋_GB2312"/>
          <w:b/>
          <w:bCs/>
          <w:sz w:val="32"/>
          <w:szCs w:val="32"/>
          <w:lang w:val="en-US" w:eastAsia="zh-CN"/>
        </w:rPr>
        <w:t>抚恤金</w:t>
      </w:r>
      <w:r>
        <w:rPr>
          <w:rFonts w:hint="eastAsia" w:ascii="仿宋_GB2312" w:eastAsia="仿宋_GB2312"/>
          <w:b w:val="0"/>
          <w:sz w:val="32"/>
          <w:szCs w:val="32"/>
          <w:lang w:val="en-US" w:eastAsia="zh-CN"/>
        </w:rPr>
        <w:t>增加1.4万元；</w:t>
      </w:r>
      <w:r>
        <w:rPr>
          <w:rFonts w:hint="eastAsia" w:ascii="仿宋_GB2312" w:eastAsia="仿宋_GB2312"/>
          <w:b/>
          <w:bCs/>
          <w:sz w:val="32"/>
          <w:szCs w:val="32"/>
          <w:lang w:val="en-US" w:eastAsia="zh-CN"/>
        </w:rPr>
        <w:t>专用设备购置费</w:t>
      </w:r>
      <w:r>
        <w:rPr>
          <w:rFonts w:hint="eastAsia" w:ascii="仿宋_GB2312" w:eastAsia="仿宋_GB2312"/>
          <w:b w:val="0"/>
          <w:sz w:val="32"/>
          <w:szCs w:val="32"/>
          <w:lang w:val="en-US" w:eastAsia="zh-CN"/>
        </w:rPr>
        <w:t>增加安装旅游标识牌18.88万元。</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其他支出（类）其他支出（款）其他支出（项）：支出决算数为202.74万元，比上年决算增加202.74万元，增长100.00%，主要原因是：本年度增加了</w:t>
      </w:r>
      <w:r>
        <w:rPr>
          <w:rFonts w:hint="eastAsia" w:ascii="仿宋_GB2312" w:hAnsi="仿宋_GB2312" w:eastAsia="仿宋_GB2312" w:cs="仿宋_GB2312"/>
          <w:b w:val="0"/>
          <w:sz w:val="32"/>
          <w:szCs w:val="32"/>
          <w:lang w:val="en-US" w:eastAsia="zh-CN"/>
        </w:rPr>
        <w:t>自治区中秋晚会灯光音响</w:t>
      </w:r>
      <w:r>
        <w:rPr>
          <w:rFonts w:hint="eastAsia" w:ascii="仿宋_GB2312" w:hAnsi="仿宋_GB2312" w:eastAsia="仿宋_GB2312" w:cs="仿宋_GB2312"/>
          <w:b w:val="0"/>
          <w:sz w:val="32"/>
          <w:szCs w:val="32"/>
          <w:lang w:eastAsia="zh-CN"/>
        </w:rPr>
        <w:t>租赁费192</w:t>
      </w:r>
      <w:r>
        <w:rPr>
          <w:rFonts w:hint="eastAsia" w:ascii="仿宋_GB2312" w:hAnsi="仿宋_GB2312" w:eastAsia="仿宋_GB2312" w:cs="仿宋_GB2312"/>
          <w:b w:val="0"/>
          <w:sz w:val="32"/>
          <w:szCs w:val="32"/>
          <w:lang w:val="en-US" w:eastAsia="zh-CN"/>
        </w:rPr>
        <w:t>.</w:t>
      </w:r>
      <w:r>
        <w:rPr>
          <w:rFonts w:hint="eastAsia" w:ascii="仿宋_GB2312" w:hAnsi="仿宋_GB2312" w:eastAsia="仿宋_GB2312" w:cs="仿宋_GB2312"/>
          <w:b w:val="0"/>
          <w:sz w:val="32"/>
          <w:szCs w:val="32"/>
          <w:lang w:eastAsia="zh-CN"/>
        </w:rPr>
        <w:t>74</w:t>
      </w:r>
      <w:r>
        <w:rPr>
          <w:rFonts w:hint="eastAsia" w:ascii="仿宋_GB2312" w:hAnsi="仿宋_GB2312" w:eastAsia="仿宋_GB2312" w:cs="仿宋_GB2312"/>
          <w:b w:val="0"/>
          <w:sz w:val="32"/>
          <w:szCs w:val="32"/>
          <w:lang w:val="en-US" w:eastAsia="zh-CN"/>
        </w:rPr>
        <w:t>万元</w:t>
      </w:r>
      <w:r>
        <w:rPr>
          <w:rFonts w:hint="eastAsia" w:ascii="仿宋_GB2312" w:hAnsi="仿宋_GB2312" w:eastAsia="仿宋_GB2312" w:cs="仿宋_GB2312"/>
          <w:b w:val="0"/>
          <w:sz w:val="32"/>
          <w:szCs w:val="32"/>
          <w:lang w:eastAsia="zh-CN"/>
        </w:rPr>
        <w:t>，</w:t>
      </w:r>
      <w:r>
        <w:rPr>
          <w:rFonts w:hint="eastAsia" w:ascii="仿宋_GB2312" w:hAnsi="仿宋_GB2312" w:eastAsia="仿宋_GB2312" w:cs="仿宋_GB2312"/>
          <w:b w:val="0"/>
          <w:sz w:val="32"/>
          <w:szCs w:val="32"/>
        </w:rPr>
        <w:t>办公费</w:t>
      </w:r>
      <w:r>
        <w:rPr>
          <w:rFonts w:hint="eastAsia" w:ascii="仿宋_GB2312" w:hAnsi="仿宋_GB2312" w:eastAsia="仿宋_GB2312" w:cs="仿宋_GB2312"/>
          <w:b w:val="0"/>
          <w:sz w:val="32"/>
          <w:szCs w:val="32"/>
          <w:lang w:eastAsia="zh-CN"/>
        </w:rPr>
        <w:t>增加了</w:t>
      </w:r>
      <w:r>
        <w:rPr>
          <w:rFonts w:hint="eastAsia" w:ascii="仿宋_GB2312" w:hAnsi="仿宋_GB2312" w:eastAsia="仿宋_GB2312" w:cs="仿宋_GB2312"/>
          <w:b w:val="0"/>
          <w:sz w:val="32"/>
          <w:szCs w:val="32"/>
        </w:rPr>
        <w:t>2024年自治区驻村工作专项经费</w:t>
      </w:r>
      <w:r>
        <w:rPr>
          <w:rFonts w:hint="eastAsia" w:ascii="仿宋_GB2312" w:hAnsi="仿宋_GB2312" w:eastAsia="仿宋_GB2312" w:cs="仿宋_GB2312"/>
          <w:b w:val="0"/>
          <w:sz w:val="32"/>
          <w:szCs w:val="32"/>
          <w:lang w:val="en-US" w:eastAsia="zh-CN"/>
        </w:rPr>
        <w:t>10万</w:t>
      </w:r>
      <w:r>
        <w:rPr>
          <w:rFonts w:hint="eastAsia" w:ascii="仿宋_GB2312" w:hAnsi="仿宋_GB2312" w:eastAsia="仿宋_GB2312" w:cs="仿宋_GB2312"/>
          <w:b w:val="0"/>
          <w:sz w:val="32"/>
          <w:szCs w:val="32"/>
        </w:rPr>
        <w:t>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宋体" w:hAnsi="宋体" w:eastAsia="宋体" w:cs="宋体"/>
          <w:b/>
          <w:kern w:val="0"/>
          <w:sz w:val="32"/>
          <w:szCs w:val="32"/>
          <w:highlight w:val="none"/>
          <w:lang w:val="en-US" w:eastAsia="zh-CN" w:bidi="ar-SA"/>
        </w:rPr>
      </w:pPr>
      <w:r>
        <w:rPr>
          <w:rFonts w:hint="eastAsia" w:ascii="宋体" w:hAnsi="宋体" w:eastAsia="宋体" w:cs="宋体"/>
          <w:b/>
          <w:kern w:val="0"/>
          <w:sz w:val="32"/>
          <w:szCs w:val="32"/>
          <w:highlight w:val="none"/>
          <w:lang w:val="en-US" w:eastAsia="zh-CN" w:bidi="ar-SA"/>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2024年度一般公共预算财政拨款基本支出1,370.88万元，其中：人员经费1,229.33万元，包括：基本工资、津贴补贴、奖金、机关事业单位基本养老保险缴费、职业年金缴费、职工基本医疗保险缴费、公务员医疗补助缴费、其他社会保障缴费、住房公积金、其他工资福利支出、退休费、抚恤金和生活补助。</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公用经费141.55万元，包括：办公费、印刷费、电费、邮电费、差旅费、维修（护）费、培训费、委托业务费、工会经费、福利费和公务用车运行维护费。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宋体" w:hAnsi="宋体" w:eastAsia="宋体" w:cs="宋体"/>
          <w:b/>
          <w:kern w:val="0"/>
          <w:sz w:val="32"/>
          <w:szCs w:val="32"/>
          <w:highlight w:val="none"/>
          <w:lang w:val="en-US" w:eastAsia="zh-CN" w:bidi="ar-SA"/>
        </w:rPr>
      </w:pPr>
      <w:r>
        <w:rPr>
          <w:rFonts w:hint="eastAsia" w:ascii="宋体" w:hAnsi="宋体" w:eastAsia="宋体" w:cs="宋体"/>
          <w:b/>
          <w:kern w:val="0"/>
          <w:sz w:val="32"/>
          <w:szCs w:val="32"/>
          <w:highlight w:val="none"/>
          <w:lang w:val="en-US" w:eastAsia="zh-CN" w:bidi="ar-SA"/>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2024年度政府性基金预算财政拨款收入总计258.38万元，其中：年初结转和结余0.00万元，本年收入258.38万元。政府性基金预算财政拨款支出总计258.38万元，其中：年末结转和结余0.00万元，本年支出258.38万元。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val="0"/>
          <w:sz w:val="32"/>
          <w:szCs w:val="32"/>
        </w:rPr>
        <w:t>政府性基金预算财政拨款收入支出总体与上年相比，增加201.72万元，增长356.02%，主要原因是：本年度增加了2024年马拉松项目组织策划实施经费</w:t>
      </w:r>
      <w:r>
        <w:rPr>
          <w:rFonts w:hint="eastAsia" w:ascii="仿宋_GB2312" w:hAnsi="仿宋_GB2312" w:eastAsia="仿宋_GB2312" w:cs="仿宋_GB2312"/>
          <w:b w:val="0"/>
          <w:sz w:val="32"/>
          <w:szCs w:val="32"/>
          <w:lang w:val="en-US" w:eastAsia="zh-CN"/>
        </w:rPr>
        <w:t>183.3</w:t>
      </w:r>
      <w:r>
        <w:rPr>
          <w:rFonts w:hint="eastAsia" w:ascii="仿宋_GB2312" w:hAnsi="仿宋_GB2312" w:eastAsia="仿宋_GB2312" w:cs="仿宋_GB2312"/>
          <w:b w:val="0"/>
          <w:sz w:val="32"/>
          <w:szCs w:val="32"/>
        </w:rPr>
        <w:t>万元</w:t>
      </w:r>
      <w:r>
        <w:rPr>
          <w:rFonts w:hint="eastAsia" w:ascii="仿宋_GB2312" w:hAnsi="仿宋_GB2312" w:eastAsia="仿宋_GB2312" w:cs="仿宋_GB2312"/>
          <w:b w:val="0"/>
          <w:sz w:val="32"/>
          <w:szCs w:val="32"/>
          <w:lang w:val="en-US" w:eastAsia="zh-CN"/>
        </w:rPr>
        <w:t>，增加</w:t>
      </w:r>
      <w:r>
        <w:rPr>
          <w:rFonts w:hint="eastAsia" w:ascii="仿宋_GB2312" w:hAnsi="仿宋_GB2312" w:eastAsia="仿宋_GB2312" w:cs="仿宋_GB2312"/>
          <w:b w:val="0"/>
          <w:sz w:val="32"/>
          <w:szCs w:val="32"/>
        </w:rPr>
        <w:t>2024年乡村振兴和兴边富民建设项目</w:t>
      </w:r>
      <w:r>
        <w:rPr>
          <w:rFonts w:hint="eastAsia" w:ascii="仿宋_GB2312" w:hAnsi="仿宋_GB2312" w:eastAsia="仿宋_GB2312" w:cs="仿宋_GB2312"/>
          <w:b w:val="0"/>
          <w:sz w:val="32"/>
          <w:szCs w:val="32"/>
          <w:lang w:val="en-US" w:eastAsia="zh-CN"/>
        </w:rPr>
        <w:t>款31.65万元</w:t>
      </w:r>
      <w:r>
        <w:rPr>
          <w:rFonts w:hint="eastAsia" w:ascii="仿宋_GB2312" w:hAnsi="仿宋_GB2312" w:eastAsia="仿宋_GB2312" w:cs="仿宋_GB2312"/>
          <w:b w:val="0"/>
          <w:sz w:val="32"/>
          <w:szCs w:val="32"/>
        </w:rPr>
        <w:t>。与年初预算相比，年初预算数177.00万元，决算数258.38万元，预决算差异率45.98%，主要原因是：本年度增加了2024年马拉松项目组织策划实施经费183</w:t>
      </w:r>
      <w:r>
        <w:rPr>
          <w:rFonts w:hint="eastAsia" w:ascii="仿宋_GB2312" w:hAnsi="仿宋_GB2312" w:eastAsia="仿宋_GB2312" w:cs="仿宋_GB2312"/>
          <w:b w:val="0"/>
          <w:sz w:val="32"/>
          <w:szCs w:val="32"/>
          <w:lang w:val="en-US" w:eastAsia="zh-CN"/>
        </w:rPr>
        <w:t>.</w:t>
      </w:r>
      <w:r>
        <w:rPr>
          <w:rFonts w:hint="eastAsia" w:ascii="仿宋_GB2312" w:hAnsi="仿宋_GB2312" w:eastAsia="仿宋_GB2312" w:cs="仿宋_GB2312"/>
          <w:b w:val="0"/>
          <w:sz w:val="32"/>
          <w:szCs w:val="32"/>
        </w:rPr>
        <w:t>3</w:t>
      </w:r>
      <w:r>
        <w:rPr>
          <w:rFonts w:hint="eastAsia" w:ascii="仿宋_GB2312" w:hAnsi="仿宋_GB2312" w:eastAsia="仿宋_GB2312" w:cs="仿宋_GB2312"/>
          <w:b w:val="0"/>
          <w:sz w:val="32"/>
          <w:szCs w:val="32"/>
          <w:lang w:val="en-US" w:eastAsia="zh-CN"/>
        </w:rPr>
        <w:t>万</w:t>
      </w:r>
      <w:r>
        <w:rPr>
          <w:rFonts w:hint="eastAsia" w:ascii="仿宋_GB2312" w:hAnsi="仿宋_GB2312" w:eastAsia="仿宋_GB2312" w:cs="仿宋_GB2312"/>
          <w:b w:val="0"/>
          <w:sz w:val="32"/>
          <w:szCs w:val="32"/>
        </w:rPr>
        <w:t>元。</w:t>
      </w:r>
      <w:r>
        <w:rPr>
          <w:rFonts w:hint="eastAsia" w:ascii="仿宋_GB2312" w:hAnsi="仿宋_GB2312" w:eastAsia="仿宋_GB2312" w:cs="仿宋_GB2312"/>
          <w:b w:val="0"/>
          <w:sz w:val="32"/>
          <w:szCs w:val="32"/>
          <w:lang w:val="en-US" w:eastAsia="zh-CN"/>
        </w:rPr>
        <w:t>增加</w:t>
      </w:r>
      <w:r>
        <w:rPr>
          <w:rFonts w:hint="eastAsia" w:ascii="仿宋_GB2312" w:hAnsi="仿宋_GB2312" w:eastAsia="仿宋_GB2312" w:cs="仿宋_GB2312"/>
          <w:b w:val="0"/>
          <w:sz w:val="32"/>
          <w:szCs w:val="32"/>
        </w:rPr>
        <w:t>2024年青少年围棋、篮球、田径、足球、轮滑竞标赛等</w:t>
      </w:r>
      <w:r>
        <w:rPr>
          <w:rFonts w:hint="eastAsia" w:ascii="仿宋_GB2312" w:hAnsi="仿宋_GB2312" w:eastAsia="仿宋_GB2312" w:cs="仿宋_GB2312"/>
          <w:b w:val="0"/>
          <w:sz w:val="32"/>
          <w:szCs w:val="32"/>
          <w:lang w:val="en-US" w:eastAsia="zh-CN"/>
        </w:rPr>
        <w:t>费用43.43万</w:t>
      </w:r>
      <w:r>
        <w:rPr>
          <w:rFonts w:hint="eastAsia" w:ascii="仿宋_GB2312" w:hAnsi="仿宋_GB2312" w:eastAsia="仿宋_GB2312" w:cs="仿宋_GB2312"/>
          <w:b w:val="0"/>
          <w:sz w:val="32"/>
          <w:szCs w:val="32"/>
        </w:rPr>
        <w:t>元。</w:t>
      </w:r>
      <w:r>
        <w:rPr>
          <w:rFonts w:hint="eastAsia" w:ascii="仿宋_GB2312" w:hAnsi="仿宋_GB2312" w:eastAsia="仿宋_GB2312" w:cs="仿宋_GB2312"/>
          <w:b w:val="0"/>
          <w:sz w:val="32"/>
          <w:szCs w:val="32"/>
          <w:lang w:val="en-US" w:eastAsia="zh-CN"/>
        </w:rPr>
        <w:t>增加</w:t>
      </w:r>
      <w:r>
        <w:rPr>
          <w:rFonts w:hint="eastAsia" w:ascii="仿宋_GB2312" w:hAnsi="仿宋_GB2312" w:eastAsia="仿宋_GB2312" w:cs="仿宋_GB2312"/>
          <w:b w:val="0"/>
          <w:sz w:val="32"/>
          <w:szCs w:val="32"/>
        </w:rPr>
        <w:t>2024年乡村振兴和兴边富民建设项目</w:t>
      </w:r>
      <w:r>
        <w:rPr>
          <w:rFonts w:hint="eastAsia" w:ascii="仿宋_GB2312" w:hAnsi="仿宋_GB2312" w:eastAsia="仿宋_GB2312" w:cs="仿宋_GB2312"/>
          <w:b w:val="0"/>
          <w:sz w:val="32"/>
          <w:szCs w:val="32"/>
          <w:lang w:val="en-US" w:eastAsia="zh-CN"/>
        </w:rPr>
        <w:t>款31.65万元。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政府性基金预算财政拨款支出258.38万元。</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其他支出（类）彩票公益金安排的支出（款）用于体育事业的彩票公益金支出（项）：支出决算数为258.38万元，比上年决算增加201.72万元，增长356.02%，主要原因是：本年度增加了2024年马拉松项目组织策划实施经费</w:t>
      </w:r>
      <w:r>
        <w:rPr>
          <w:rFonts w:hint="eastAsia" w:ascii="仿宋_GB2312" w:hAnsi="仿宋_GB2312" w:eastAsia="仿宋_GB2312" w:cs="仿宋_GB2312"/>
          <w:b w:val="0"/>
          <w:sz w:val="32"/>
          <w:szCs w:val="32"/>
          <w:lang w:val="en-US" w:eastAsia="zh-CN"/>
        </w:rPr>
        <w:t>183.3</w:t>
      </w:r>
      <w:r>
        <w:rPr>
          <w:rFonts w:hint="eastAsia" w:ascii="仿宋_GB2312" w:hAnsi="仿宋_GB2312" w:eastAsia="仿宋_GB2312" w:cs="仿宋_GB2312"/>
          <w:b w:val="0"/>
          <w:sz w:val="32"/>
          <w:szCs w:val="32"/>
        </w:rPr>
        <w:t>万元</w:t>
      </w:r>
      <w:r>
        <w:rPr>
          <w:rFonts w:hint="eastAsia" w:ascii="仿宋_GB2312" w:hAnsi="仿宋_GB2312" w:eastAsia="仿宋_GB2312" w:cs="仿宋_GB2312"/>
          <w:b w:val="0"/>
          <w:sz w:val="32"/>
          <w:szCs w:val="32"/>
          <w:lang w:val="en-US" w:eastAsia="zh-CN"/>
        </w:rPr>
        <w:t>，增加</w:t>
      </w:r>
      <w:r>
        <w:rPr>
          <w:rFonts w:hint="eastAsia" w:ascii="仿宋_GB2312" w:hAnsi="仿宋_GB2312" w:eastAsia="仿宋_GB2312" w:cs="仿宋_GB2312"/>
          <w:b w:val="0"/>
          <w:sz w:val="32"/>
          <w:szCs w:val="32"/>
        </w:rPr>
        <w:t>2024年乡村振兴和兴边富民建设项目</w:t>
      </w:r>
      <w:r>
        <w:rPr>
          <w:rFonts w:hint="eastAsia" w:ascii="仿宋_GB2312" w:hAnsi="仿宋_GB2312" w:eastAsia="仿宋_GB2312" w:cs="仿宋_GB2312"/>
          <w:b w:val="0"/>
          <w:sz w:val="32"/>
          <w:szCs w:val="32"/>
          <w:lang w:val="en-US" w:eastAsia="zh-CN"/>
        </w:rPr>
        <w:t>款31.65万元</w:t>
      </w:r>
      <w:r>
        <w:rPr>
          <w:rFonts w:hint="eastAsia" w:ascii="仿宋_GB2312" w:hAnsi="仿宋_GB2312" w:eastAsia="仿宋_GB2312" w:cs="仿宋_GB2312"/>
          <w:b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宋体" w:hAnsi="宋体" w:eastAsia="宋体" w:cs="宋体"/>
          <w:b/>
          <w:kern w:val="0"/>
          <w:sz w:val="32"/>
          <w:szCs w:val="32"/>
          <w:highlight w:val="none"/>
          <w:lang w:val="en-US" w:eastAsia="zh-CN" w:bidi="ar-SA"/>
        </w:rPr>
      </w:pPr>
      <w:r>
        <w:rPr>
          <w:rFonts w:hint="eastAsia" w:ascii="宋体" w:hAnsi="宋体" w:eastAsia="宋体" w:cs="宋体"/>
          <w:b/>
          <w:kern w:val="0"/>
          <w:sz w:val="32"/>
          <w:szCs w:val="32"/>
          <w:highlight w:val="none"/>
          <w:lang w:val="en-US" w:eastAsia="zh-CN" w:bidi="ar-SA"/>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本部门本年度无国有资本经营预算财政拨款收入、支出及结转和结余，国有资本经营预算财政拨款收入支出决算表为空表。</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宋体" w:hAnsi="宋体" w:eastAsia="宋体" w:cs="宋体"/>
          <w:b/>
          <w:kern w:val="0"/>
          <w:sz w:val="32"/>
          <w:szCs w:val="32"/>
          <w:highlight w:val="none"/>
          <w:lang w:val="en-US" w:eastAsia="zh-CN" w:bidi="ar-SA"/>
        </w:rPr>
      </w:pPr>
      <w:r>
        <w:rPr>
          <w:rFonts w:hint="eastAsia" w:ascii="宋体" w:hAnsi="宋体" w:eastAsia="宋体" w:cs="宋体"/>
          <w:b/>
          <w:kern w:val="0"/>
          <w:sz w:val="32"/>
          <w:szCs w:val="32"/>
          <w:highlight w:val="none"/>
          <w:lang w:val="en-US" w:eastAsia="zh-CN" w:bidi="ar-SA"/>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2024年度财政拨款“三公”经费支出2.05万元，比上年减少7.47万元，下降78.47%，主要原因是：</w:t>
      </w:r>
      <w:r>
        <w:rPr>
          <w:rFonts w:hint="eastAsia" w:ascii="仿宋_GB2312" w:eastAsia="仿宋_GB2312"/>
          <w:b w:val="0"/>
          <w:sz w:val="32"/>
          <w:szCs w:val="32"/>
        </w:rPr>
        <w:t>因为车辆租赁费及维修维护费商家无法及时提供发票，导致经费无法支付</w:t>
      </w:r>
      <w:r>
        <w:rPr>
          <w:rFonts w:hint="eastAsia" w:ascii="仿宋_GB2312" w:hAnsi="仿宋_GB2312" w:eastAsia="仿宋_GB2312" w:cs="仿宋_GB2312"/>
          <w:b w:val="0"/>
          <w:sz w:val="32"/>
          <w:szCs w:val="32"/>
        </w:rPr>
        <w:t>。其中：因公出国（境）费支出0.00万元,占0.00%，与上年相比无变化，主要原因是：我单位未安排因公出国（境），无因公出国（境）费用；公务用车购置及运行维护费支出2.05万元，占100.00%，比上年减少7.47万元，下降78.47%，主要原因是：</w:t>
      </w:r>
      <w:r>
        <w:rPr>
          <w:rFonts w:hint="eastAsia" w:ascii="仿宋_GB2312" w:eastAsia="仿宋_GB2312"/>
          <w:b w:val="0"/>
          <w:sz w:val="32"/>
          <w:szCs w:val="32"/>
        </w:rPr>
        <w:t>因为车辆租赁费及维修维护费商家无法及时提供发票，导致经费无法支付</w:t>
      </w:r>
      <w:r>
        <w:rPr>
          <w:rFonts w:hint="eastAsia" w:ascii="仿宋_GB2312" w:hAnsi="仿宋_GB2312" w:eastAsia="仿宋_GB2312" w:cs="仿宋_GB2312"/>
          <w:b w:val="0"/>
          <w:sz w:val="32"/>
          <w:szCs w:val="32"/>
        </w:rPr>
        <w:t>；公务接待费支出0.00万元，占0.00%，与上年相比无变化，主要原因是：</w:t>
      </w:r>
      <w:r>
        <w:rPr>
          <w:rFonts w:hint="eastAsia" w:ascii="仿宋_GB2312" w:hAnsi="Times New Roman" w:eastAsia="仿宋_GB2312" w:cs="Times New Roman"/>
          <w:b w:val="0"/>
          <w:sz w:val="32"/>
          <w:szCs w:val="32"/>
        </w:rPr>
        <w:t>我单位未安排公务接待，无公务接待支出</w:t>
      </w:r>
      <w:r>
        <w:rPr>
          <w:rFonts w:hint="eastAsia" w:ascii="仿宋_GB2312" w:hAnsi="仿宋_GB2312" w:eastAsia="仿宋_GB2312" w:cs="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具体情况如下：</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因公出国（境）费支出0.00万元，开支内容包括。单位全年安排的因公出国（境）团组0个，因公出国（境）0人次。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公务用车购置及运行维护费2.05万元，其中：公务用车购置费0.00万元，公务用车运行维护费2.05万元。公务用车运行维护费开支内容包括。公务用车购置数0辆，公务用车保有量4辆。国有资产占用情况中固定资产车辆4辆，与公务用车保有量差异原因是：</w:t>
      </w:r>
      <w:r>
        <w:rPr>
          <w:rFonts w:hint="eastAsia" w:ascii="仿宋_GB2312" w:eastAsia="仿宋_GB2312"/>
          <w:b w:val="0"/>
          <w:sz w:val="32"/>
          <w:szCs w:val="32"/>
        </w:rPr>
        <w:t>根据库机管资字（2024）18号核减金杯车新M35426车辆1台</w:t>
      </w:r>
      <w:r>
        <w:rPr>
          <w:rFonts w:hint="eastAsia" w:ascii="仿宋_GB2312" w:hAnsi="仿宋_GB2312" w:eastAsia="仿宋_GB2312" w:cs="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公务接待费0.00万元，开支内容包括。单位全年安排的国内公务接待0批次，0人次。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与全年预算相比，财政拨款“三公”经费支出全年预算数2.05万元，决算数2.05万元，预决算差异率0.00%，主要原因是：</w:t>
      </w:r>
      <w:r>
        <w:rPr>
          <w:rFonts w:hint="eastAsia" w:ascii="仿宋_GB2312" w:hAnsi="仿宋_GB2312" w:eastAsia="仿宋_GB2312" w:cs="仿宋_GB2312"/>
          <w:b w:val="0"/>
          <w:sz w:val="32"/>
          <w:szCs w:val="32"/>
          <w:lang w:val="en-US" w:eastAsia="zh-CN"/>
        </w:rPr>
        <w:t>严格按“三公经费”年初预算执行，无超支</w:t>
      </w:r>
      <w:r>
        <w:rPr>
          <w:rFonts w:hint="eastAsia" w:ascii="仿宋_GB2312" w:hAnsi="仿宋_GB2312" w:eastAsia="仿宋_GB2312" w:cs="仿宋_GB2312"/>
          <w:b w:val="0"/>
          <w:sz w:val="32"/>
          <w:szCs w:val="32"/>
        </w:rPr>
        <w:t>。其中：因公出国（境）费全年预算数0.00万元，决算数0.00万元，预决算差异率0.00%，主要原因是：</w:t>
      </w:r>
      <w:r>
        <w:rPr>
          <w:rFonts w:hint="eastAsia" w:ascii="仿宋_GB2312" w:eastAsia="仿宋_GB2312"/>
          <w:b w:val="0"/>
          <w:sz w:val="32"/>
          <w:szCs w:val="32"/>
        </w:rPr>
        <w:t>我单位未安排因公出国（境）</w:t>
      </w:r>
      <w:r>
        <w:rPr>
          <w:rFonts w:hint="eastAsia" w:ascii="仿宋_GB2312" w:hAnsi="仿宋_GB2312" w:eastAsia="仿宋_GB2312" w:cs="仿宋_GB2312"/>
          <w:b w:val="0"/>
          <w:sz w:val="32"/>
          <w:szCs w:val="32"/>
        </w:rPr>
        <w:t>。公务用车购置费全年预算数0.00万元，决算数0.00万元，预决算差异率0.00%，主要原因是：</w:t>
      </w:r>
      <w:r>
        <w:rPr>
          <w:rFonts w:hint="eastAsia" w:ascii="仿宋_GB2312" w:eastAsia="仿宋_GB2312"/>
          <w:b w:val="0"/>
          <w:sz w:val="32"/>
          <w:szCs w:val="32"/>
        </w:rPr>
        <w:t>我单位未购置公务用车</w:t>
      </w:r>
      <w:r>
        <w:rPr>
          <w:rFonts w:hint="eastAsia" w:ascii="仿宋_GB2312" w:hAnsi="仿宋_GB2312" w:eastAsia="仿宋_GB2312" w:cs="仿宋_GB2312"/>
          <w:b w:val="0"/>
          <w:sz w:val="32"/>
          <w:szCs w:val="32"/>
        </w:rPr>
        <w:t>。公务用车运行维护费全年预算数2.05万元，决算数2.05万元，预决算差异率0.00%，主要原因是：</w:t>
      </w:r>
      <w:r>
        <w:rPr>
          <w:rFonts w:hint="eastAsia" w:ascii="仿宋_GB2312" w:eastAsia="仿宋_GB2312"/>
          <w:b w:val="0"/>
          <w:sz w:val="32"/>
          <w:szCs w:val="32"/>
        </w:rPr>
        <w:t>严格按年初预算执行，无超支</w:t>
      </w:r>
      <w:r>
        <w:rPr>
          <w:rFonts w:hint="eastAsia" w:ascii="仿宋_GB2312" w:hAnsi="仿宋_GB2312" w:eastAsia="仿宋_GB2312" w:cs="仿宋_GB2312"/>
          <w:b w:val="0"/>
          <w:sz w:val="32"/>
          <w:szCs w:val="32"/>
        </w:rPr>
        <w:t>。公务接待费全年预算数0.00万元，决算数0.00万元，预决算差异率0.00%，主要原因是：</w:t>
      </w:r>
      <w:r>
        <w:rPr>
          <w:rFonts w:hint="eastAsia" w:ascii="仿宋_GB2312" w:eastAsia="仿宋_GB2312"/>
          <w:b w:val="0"/>
          <w:sz w:val="32"/>
          <w:szCs w:val="32"/>
        </w:rPr>
        <w:t>我单位未安排公务接待</w:t>
      </w:r>
      <w:r>
        <w:rPr>
          <w:rFonts w:hint="eastAsia" w:ascii="仿宋_GB2312" w:hAnsi="仿宋_GB2312" w:eastAsia="仿宋_GB2312" w:cs="仿宋_GB2312"/>
          <w:b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宋体" w:hAnsi="宋体" w:eastAsia="宋体" w:cs="宋体"/>
          <w:b/>
          <w:kern w:val="0"/>
          <w:sz w:val="32"/>
          <w:szCs w:val="32"/>
          <w:highlight w:val="none"/>
          <w:lang w:val="en-US" w:eastAsia="zh-CN" w:bidi="ar-SA"/>
        </w:rPr>
      </w:pPr>
      <w:r>
        <w:rPr>
          <w:rFonts w:hint="eastAsia" w:ascii="宋体" w:hAnsi="宋体" w:eastAsia="宋体" w:cs="宋体"/>
          <w:b/>
          <w:kern w:val="0"/>
          <w:sz w:val="32"/>
          <w:szCs w:val="32"/>
          <w:highlight w:val="none"/>
          <w:lang w:val="en-US" w:eastAsia="zh-CN" w:bidi="ar-SA"/>
        </w:rPr>
        <w:t>十、其他重要事项的情况说明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eastAsia" w:ascii="黑体" w:hAnsi="黑体" w:eastAsia="黑体" w:cs="Times New Roman"/>
          <w:kern w:val="2"/>
          <w:sz w:val="32"/>
          <w:szCs w:val="32"/>
          <w:highlight w:val="none"/>
          <w:lang w:val="en-US" w:eastAsia="zh-CN" w:bidi="ar-SA"/>
        </w:rPr>
      </w:pPr>
      <w:r>
        <w:rPr>
          <w:rFonts w:hint="eastAsia" w:ascii="黑体" w:hAnsi="黑体" w:eastAsia="黑体" w:cs="Times New Roman"/>
          <w:kern w:val="2"/>
          <w:sz w:val="32"/>
          <w:szCs w:val="32"/>
          <w:highlight w:val="none"/>
          <w:lang w:val="en-US" w:eastAsia="zh-CN" w:bidi="ar-SA"/>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2024年度库尔勒市文化体育广播电视和旅游局部门机关运行经费支出129.78万元，比上年增加42.87万元，增长49.33%，主要原因是：</w:t>
      </w:r>
      <w:r>
        <w:rPr>
          <w:rFonts w:hint="eastAsia" w:ascii="仿宋_GB2312" w:eastAsia="仿宋_GB2312"/>
          <w:b w:val="0"/>
          <w:sz w:val="32"/>
          <w:szCs w:val="32"/>
        </w:rPr>
        <w:t>主要是支付了2023年农家书屋购买图书经费24</w:t>
      </w:r>
      <w:r>
        <w:rPr>
          <w:rFonts w:hint="eastAsia" w:ascii="仿宋_GB2312" w:eastAsia="仿宋_GB2312"/>
          <w:b w:val="0"/>
          <w:sz w:val="32"/>
          <w:szCs w:val="32"/>
          <w:lang w:val="en-US" w:eastAsia="zh-CN"/>
        </w:rPr>
        <w:t>.</w:t>
      </w:r>
      <w:r>
        <w:rPr>
          <w:rFonts w:hint="eastAsia" w:ascii="仿宋_GB2312" w:eastAsia="仿宋_GB2312"/>
          <w:b w:val="0"/>
          <w:sz w:val="32"/>
          <w:szCs w:val="32"/>
        </w:rPr>
        <w:t>23712</w:t>
      </w:r>
      <w:r>
        <w:rPr>
          <w:rFonts w:hint="eastAsia" w:ascii="仿宋_GB2312" w:eastAsia="仿宋_GB2312"/>
          <w:b w:val="0"/>
          <w:sz w:val="32"/>
          <w:szCs w:val="32"/>
          <w:lang w:val="en-US" w:eastAsia="zh-CN"/>
        </w:rPr>
        <w:t>万</w:t>
      </w:r>
      <w:r>
        <w:rPr>
          <w:rFonts w:hint="eastAsia" w:ascii="仿宋_GB2312" w:eastAsia="仿宋_GB2312"/>
          <w:b w:val="0"/>
          <w:sz w:val="32"/>
          <w:szCs w:val="32"/>
        </w:rPr>
        <w:t>元，以前年度文化活动经费欠款14</w:t>
      </w:r>
      <w:r>
        <w:rPr>
          <w:rFonts w:hint="eastAsia" w:ascii="仿宋_GB2312" w:eastAsia="仿宋_GB2312"/>
          <w:b w:val="0"/>
          <w:sz w:val="32"/>
          <w:szCs w:val="32"/>
          <w:lang w:val="en-US" w:eastAsia="zh-CN"/>
        </w:rPr>
        <w:t>.</w:t>
      </w:r>
      <w:r>
        <w:rPr>
          <w:rFonts w:hint="eastAsia" w:ascii="仿宋_GB2312" w:eastAsia="仿宋_GB2312"/>
          <w:b w:val="0"/>
          <w:sz w:val="32"/>
          <w:szCs w:val="32"/>
        </w:rPr>
        <w:t>4098</w:t>
      </w:r>
      <w:r>
        <w:rPr>
          <w:rFonts w:hint="eastAsia" w:ascii="仿宋_GB2312" w:eastAsia="仿宋_GB2312"/>
          <w:b w:val="0"/>
          <w:sz w:val="32"/>
          <w:szCs w:val="32"/>
          <w:lang w:val="en-US" w:eastAsia="zh-CN"/>
        </w:rPr>
        <w:t>万</w:t>
      </w:r>
      <w:r>
        <w:rPr>
          <w:rFonts w:hint="eastAsia" w:ascii="仿宋_GB2312" w:eastAsia="仿宋_GB2312"/>
          <w:b w:val="0"/>
          <w:sz w:val="32"/>
          <w:szCs w:val="32"/>
        </w:rPr>
        <w:t>元</w:t>
      </w:r>
      <w:r>
        <w:rPr>
          <w:rFonts w:hint="eastAsia" w:ascii="仿宋_GB2312" w:eastAsia="仿宋_GB2312"/>
          <w:b w:val="0"/>
          <w:sz w:val="32"/>
          <w:szCs w:val="32"/>
          <w:lang w:val="en-US" w:eastAsia="zh-CN"/>
        </w:rPr>
        <w:t>等</w:t>
      </w:r>
      <w:r>
        <w:rPr>
          <w:rFonts w:hint="eastAsia" w:ascii="仿宋_GB2312" w:hAnsi="仿宋_GB2312" w:eastAsia="仿宋_GB2312" w:cs="仿宋_GB2312"/>
          <w:b w:val="0"/>
          <w:sz w:val="32"/>
          <w:szCs w:val="32"/>
        </w:rPr>
        <w:t>。</w:t>
      </w:r>
    </w:p>
    <w:p>
      <w:pPr>
        <w:keepNext w:val="0"/>
        <w:keepLines w:val="0"/>
        <w:pageBreakBefore w:val="0"/>
        <w:widowControl/>
        <w:kinsoku/>
        <w:wordWrap/>
        <w:overflowPunct/>
        <w:topLinePunct w:val="0"/>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2024年度公用经费支出11.77万元，比上年减少112.53万元，下降90.53%，主要原因是：</w:t>
      </w:r>
      <w:r>
        <w:rPr>
          <w:rFonts w:hint="eastAsia" w:ascii="仿宋_GB2312" w:hAnsi="仿宋_GB2312" w:eastAsia="仿宋_GB2312" w:cs="仿宋_GB2312"/>
          <w:b w:val="0"/>
          <w:sz w:val="32"/>
          <w:szCs w:val="32"/>
          <w:lang w:val="en-US" w:eastAsia="zh-CN"/>
        </w:rPr>
        <w:t>文化馆减少</w:t>
      </w:r>
      <w:r>
        <w:rPr>
          <w:rFonts w:ascii="仿宋_GB2312" w:eastAsia="仿宋_GB2312"/>
          <w:b w:val="0"/>
          <w:sz w:val="32"/>
          <w:szCs w:val="32"/>
        </w:rPr>
        <w:t>2.69万元</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图书馆减少</w:t>
      </w:r>
      <w:r>
        <w:rPr>
          <w:rFonts w:ascii="仿宋_GB2312" w:eastAsia="仿宋_GB2312"/>
          <w:b w:val="0"/>
          <w:sz w:val="32"/>
          <w:szCs w:val="32"/>
        </w:rPr>
        <w:t>5.84万元</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民俗博物馆减少</w:t>
      </w:r>
      <w:r>
        <w:rPr>
          <w:rFonts w:ascii="仿宋_GB2312" w:eastAsia="仿宋_GB2312"/>
          <w:b w:val="0"/>
          <w:sz w:val="32"/>
          <w:szCs w:val="32"/>
        </w:rPr>
        <w:t>3.23万元</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本年度有在编人员调离，人员退休，辞退编外人员，相应经费减少</w:t>
      </w:r>
      <w:r>
        <w:rPr>
          <w:rFonts w:ascii="仿宋_GB2312" w:eastAsia="仿宋_GB2312"/>
          <w:b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eastAsia" w:ascii="黑体" w:hAnsi="黑体" w:eastAsia="黑体" w:cs="Times New Roman"/>
          <w:kern w:val="2"/>
          <w:sz w:val="32"/>
          <w:szCs w:val="32"/>
          <w:highlight w:val="none"/>
          <w:lang w:val="en-US" w:eastAsia="zh-CN" w:bidi="ar-SA"/>
        </w:rPr>
      </w:pPr>
      <w:r>
        <w:rPr>
          <w:rFonts w:hint="eastAsia" w:ascii="黑体" w:hAnsi="黑体" w:eastAsia="黑体" w:cs="Times New Roman"/>
          <w:kern w:val="2"/>
          <w:sz w:val="32"/>
          <w:szCs w:val="32"/>
          <w:highlight w:val="none"/>
          <w:lang w:val="en-US" w:eastAsia="zh-CN" w:bidi="ar-SA"/>
        </w:rPr>
        <w:t>（二）政府采购情况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pacing w:val="0"/>
          <w:kern w:val="2"/>
          <w:sz w:val="32"/>
          <w:szCs w:val="32"/>
          <w:highlight w:val="none"/>
          <w:lang w:val="en-US" w:eastAsia="zh-CN" w:bidi="ar-SA"/>
        </w:rPr>
      </w:pPr>
      <w:r>
        <w:rPr>
          <w:rFonts w:hint="eastAsia" w:ascii="仿宋_GB2312" w:hAnsi="Times New Roman" w:eastAsia="仿宋_GB2312" w:cs="Times New Roman"/>
          <w:spacing w:val="0"/>
          <w:kern w:val="2"/>
          <w:sz w:val="32"/>
          <w:szCs w:val="32"/>
          <w:highlight w:val="none"/>
          <w:lang w:val="en-US" w:eastAsia="zh-CN" w:bidi="ar-SA"/>
        </w:rPr>
        <w:t>2024年度政府采购支出总额493.49万元，其中：政府采购货物支出39.53万元、政府采购工程支出0.00万元、政府采购服务支出453.96万元。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pacing w:val="0"/>
          <w:kern w:val="2"/>
          <w:sz w:val="32"/>
          <w:szCs w:val="32"/>
          <w:highlight w:val="none"/>
          <w:lang w:val="en-US" w:eastAsia="zh-CN" w:bidi="ar-SA"/>
        </w:rPr>
      </w:pPr>
      <w:r>
        <w:rPr>
          <w:rFonts w:hint="eastAsia" w:ascii="仿宋_GB2312" w:hAnsi="Times New Roman" w:eastAsia="仿宋_GB2312" w:cs="Times New Roman"/>
          <w:spacing w:val="0"/>
          <w:kern w:val="2"/>
          <w:sz w:val="32"/>
          <w:szCs w:val="32"/>
          <w:highlight w:val="none"/>
          <w:lang w:val="en-US" w:eastAsia="zh-CN" w:bidi="ar-SA"/>
        </w:rPr>
        <w:t>授予中小企业合同金额487.77万元，占政府采购支出总额的98.84%，其中：授予小微企业合同金额466.84万元，占政府采购支出总额的94.60%。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eastAsia" w:ascii="黑体" w:hAnsi="黑体" w:eastAsia="黑体" w:cs="Times New Roman"/>
          <w:kern w:val="2"/>
          <w:sz w:val="32"/>
          <w:szCs w:val="32"/>
          <w:highlight w:val="none"/>
          <w:lang w:val="en-US" w:eastAsia="zh-CN" w:bidi="ar-SA"/>
        </w:rPr>
      </w:pPr>
      <w:r>
        <w:rPr>
          <w:rFonts w:hint="eastAsia" w:ascii="黑体" w:hAnsi="黑体" w:eastAsia="黑体" w:cs="Times New Roman"/>
          <w:kern w:val="2"/>
          <w:sz w:val="32"/>
          <w:szCs w:val="32"/>
          <w:highlight w:val="none"/>
          <w:lang w:val="en-US" w:eastAsia="zh-CN" w:bidi="ar-SA"/>
        </w:rPr>
        <w:t>（三）国有资产占用情况说明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pacing w:val="0"/>
          <w:kern w:val="2"/>
          <w:sz w:val="32"/>
          <w:szCs w:val="32"/>
          <w:highlight w:val="none"/>
          <w:lang w:val="en-US" w:eastAsia="zh-CN" w:bidi="ar-SA"/>
        </w:rPr>
      </w:pPr>
      <w:r>
        <w:rPr>
          <w:rFonts w:hint="eastAsia" w:ascii="仿宋_GB2312" w:hAnsi="Times New Roman" w:eastAsia="仿宋_GB2312" w:cs="Times New Roman"/>
          <w:spacing w:val="0"/>
          <w:kern w:val="2"/>
          <w:sz w:val="32"/>
          <w:szCs w:val="32"/>
          <w:highlight w:val="none"/>
          <w:lang w:val="en-US" w:eastAsia="zh-CN" w:bidi="ar-SA"/>
        </w:rPr>
        <w:t>截至2024年12月31日，房屋24,705.00平方米，价值1,255.42万元。车辆4辆，价值44.26万元，其中：副部（省）级及以上领导用车0辆、主要负责人用车0辆、机要通信用车0辆、应急保障用车0辆、执法执勤用车0辆、特种专业技术用车1辆、离退休干部服务用车0辆、其他用车3辆，其他用车主要是：</w:t>
      </w:r>
      <w:r>
        <w:rPr>
          <w:rFonts w:hint="eastAsia" w:ascii="仿宋_GB2312" w:eastAsia="仿宋_GB2312"/>
          <w:b w:val="0"/>
          <w:sz w:val="32"/>
          <w:szCs w:val="32"/>
          <w:lang w:val="en-US" w:eastAsia="zh-CN"/>
        </w:rPr>
        <w:t>一般公务用车</w:t>
      </w:r>
      <w:r>
        <w:rPr>
          <w:rFonts w:hint="eastAsia" w:ascii="仿宋_GB2312" w:hAnsi="Times New Roman" w:eastAsia="仿宋_GB2312" w:cs="Times New Roman"/>
          <w:spacing w:val="0"/>
          <w:kern w:val="2"/>
          <w:sz w:val="32"/>
          <w:szCs w:val="32"/>
          <w:highlight w:val="none"/>
          <w:lang w:val="en-US" w:eastAsia="zh-CN" w:bidi="ar-SA"/>
        </w:rPr>
        <w:t>;单价100万元（含）以上设备（不含车辆）0台（套）。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宋体" w:hAnsi="宋体" w:eastAsia="宋体" w:cs="宋体"/>
          <w:b/>
          <w:kern w:val="0"/>
          <w:sz w:val="32"/>
          <w:szCs w:val="32"/>
          <w:highlight w:val="none"/>
          <w:lang w:val="en-US" w:eastAsia="zh-CN" w:bidi="ar-SA"/>
        </w:rPr>
      </w:pPr>
      <w:r>
        <w:rPr>
          <w:rFonts w:hint="eastAsia" w:ascii="宋体" w:hAnsi="宋体" w:eastAsia="宋体" w:cs="宋体"/>
          <w:b/>
          <w:kern w:val="0"/>
          <w:sz w:val="32"/>
          <w:szCs w:val="32"/>
          <w:highlight w:val="none"/>
          <w:lang w:val="en-US" w:eastAsia="zh-CN" w:bidi="ar-SA"/>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hAnsi="Times New Roman" w:eastAsia="仿宋_GB2312" w:cs="Times New Roman"/>
          <w:spacing w:val="0"/>
          <w:kern w:val="2"/>
          <w:sz w:val="32"/>
          <w:szCs w:val="32"/>
          <w:highlight w:val="none"/>
          <w:lang w:val="en-US" w:eastAsia="zh-CN" w:bidi="ar-SA"/>
        </w:rPr>
      </w:pPr>
      <w:r>
        <w:rPr>
          <w:rFonts w:hint="eastAsia" w:ascii="仿宋_GB2312" w:hAnsi="Times New Roman" w:eastAsia="仿宋_GB2312" w:cs="Times New Roman"/>
          <w:spacing w:val="0"/>
          <w:kern w:val="2"/>
          <w:sz w:val="32"/>
          <w:szCs w:val="32"/>
          <w:highlight w:val="none"/>
          <w:lang w:val="en-US" w:eastAsia="zh-CN" w:bidi="ar-SA"/>
        </w:rPr>
        <w:t>根据预算绩效管理要求，本部门2024年度预算绩效管理形成整体支出绩效自评表0个，全年预算总额0 万元，实际执行总额0万元；预算绩效评价项目21个，全年预算数1917.22万元，全年执行数710.57 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sz w:val="32"/>
          <w:szCs w:val="32"/>
          <w:lang w:val="en-US" w:eastAsia="zh-CN"/>
        </w:rPr>
      </w:pPr>
      <w:r>
        <w:rPr>
          <w:rFonts w:hint="eastAsia" w:ascii="仿宋_GB2312" w:hAnsi="Times New Roman" w:eastAsia="仿宋_GB2312" w:cs="Times New Roman"/>
          <w:spacing w:val="0"/>
          <w:kern w:val="2"/>
          <w:sz w:val="32"/>
          <w:szCs w:val="32"/>
          <w:highlight w:val="none"/>
          <w:lang w:val="en-US" w:eastAsia="zh-CN" w:bidi="ar-SA"/>
        </w:rPr>
        <w:t>预算绩效管理取得的成效：</w:t>
      </w:r>
      <w:r>
        <w:rPr>
          <w:rFonts w:hint="eastAsia" w:ascii="仿宋_GB2312" w:eastAsia="仿宋_GB2312"/>
          <w:b w:val="0"/>
          <w:sz w:val="32"/>
          <w:szCs w:val="32"/>
        </w:rPr>
        <w:t>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对预算执行动态进行实时监控，发现问题及时纠偏，确保绩效目标落地落实。③扎实开展自评工作，扎实开展预算绩效目标完成情况部门审核和自评工作。</w:t>
      </w:r>
      <w:r>
        <w:rPr>
          <w:rFonts w:hint="eastAsia" w:ascii="仿宋_GB2312" w:hAnsi="Times New Roman" w:eastAsia="仿宋_GB2312" w:cs="Times New Roman"/>
          <w:spacing w:val="0"/>
          <w:kern w:val="2"/>
          <w:sz w:val="32"/>
          <w:szCs w:val="32"/>
          <w:highlight w:val="none"/>
          <w:lang w:val="en-US" w:eastAsia="zh-CN" w:bidi="ar-SA"/>
        </w:rPr>
        <w:t>发现的问题及原因：</w:t>
      </w:r>
      <w:r>
        <w:rPr>
          <w:rFonts w:ascii="仿宋_GB2312" w:hAnsi="Times New Roman" w:eastAsia="仿宋_GB2312" w:cs="Times New Roman"/>
          <w:sz w:val="32"/>
          <w:szCs w:val="32"/>
          <w:lang w:eastAsia="zh-CN"/>
        </w:rPr>
        <w:t>一是预算</w:t>
      </w:r>
      <w:r>
        <w:rPr>
          <w:rFonts w:hint="eastAsia" w:ascii="仿宋_GB2312" w:hAnsi="Times New Roman" w:eastAsia="仿宋_GB2312" w:cs="Times New Roman"/>
          <w:sz w:val="32"/>
          <w:szCs w:val="32"/>
          <w:lang w:val="en-US" w:eastAsia="zh-CN"/>
        </w:rPr>
        <w:t>有待细化</w:t>
      </w:r>
      <w:r>
        <w:rPr>
          <w:rFonts w:hint="eastAsia" w:ascii="仿宋_GB2312" w:hAnsi="Times New Roman" w:eastAsia="仿宋_GB2312" w:cs="Times New Roman"/>
          <w:spacing w:val="0"/>
          <w:kern w:val="2"/>
          <w:sz w:val="32"/>
          <w:szCs w:val="32"/>
          <w:highlight w:val="none"/>
          <w:lang w:val="en-US" w:eastAsia="zh-CN" w:bidi="ar-SA"/>
        </w:rPr>
        <w:t>。</w:t>
      </w:r>
      <w:r>
        <w:rPr>
          <w:rFonts w:hint="eastAsia" w:ascii="仿宋_GB2312" w:hAnsi="Times New Roman" w:eastAsia="仿宋_GB2312" w:cs="Times New Roman"/>
          <w:b w:val="0"/>
          <w:sz w:val="32"/>
          <w:szCs w:val="32"/>
        </w:rPr>
        <w:t>我单位文化活动项目存在绩效指标设置不合理问题，部分项目绩效指标值设定为定性的指标，指标设置的科学性、合理性有待进一步提高。</w:t>
      </w:r>
      <w:r>
        <w:rPr>
          <w:rFonts w:hint="eastAsia" w:ascii="仿宋_GB2312" w:hAnsi="Times New Roman" w:eastAsia="仿宋_GB2312" w:cs="Times New Roman"/>
          <w:b w:val="0"/>
          <w:sz w:val="32"/>
          <w:szCs w:val="32"/>
          <w:lang w:val="en-US" w:eastAsia="zh-CN"/>
        </w:rPr>
        <w:t>二是</w:t>
      </w:r>
      <w:r>
        <w:rPr>
          <w:rFonts w:ascii="仿宋_GB2312" w:hAnsi="Times New Roman" w:eastAsia="仿宋_GB2312" w:cs="Times New Roman"/>
          <w:sz w:val="32"/>
          <w:szCs w:val="32"/>
          <w:lang w:eastAsia="zh-CN"/>
        </w:rPr>
        <w:t>项目管理需要严格</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如</w:t>
      </w:r>
      <w:r>
        <w:rPr>
          <w:rFonts w:hint="eastAsia" w:ascii="仿宋_GB2312" w:hAnsi="宋体" w:eastAsia="仿宋_GB2312"/>
          <w:bCs/>
          <w:sz w:val="32"/>
          <w:szCs w:val="32"/>
        </w:rPr>
        <w:t>2024年巴音体育公园建设项目于正在实施，还未完成</w:t>
      </w:r>
      <w:r>
        <w:rPr>
          <w:rFonts w:hint="eastAsia" w:ascii="仿宋_GB2312" w:hAnsi="宋体" w:eastAsia="仿宋_GB2312"/>
          <w:bCs/>
          <w:sz w:val="32"/>
          <w:szCs w:val="32"/>
          <w:lang w:eastAsia="zh-CN"/>
        </w:rPr>
        <w:t>；</w:t>
      </w:r>
      <w:r>
        <w:rPr>
          <w:rFonts w:hint="eastAsia" w:ascii="仿宋_GB2312" w:hAnsi="宋体" w:eastAsia="仿宋_GB2312"/>
          <w:bCs/>
          <w:sz w:val="32"/>
          <w:szCs w:val="32"/>
          <w:lang w:val="en-US" w:eastAsia="zh-CN"/>
        </w:rPr>
        <w:t>民俗博物</w:t>
      </w:r>
      <w:r>
        <w:rPr>
          <w:rFonts w:hint="eastAsia" w:ascii="仿宋_GB2312" w:eastAsia="仿宋_GB2312"/>
          <w:sz w:val="32"/>
          <w:szCs w:val="32"/>
        </w:rPr>
        <w:t>馆展陈改造项目、可移动文物预防性保护项目项目已验收，但还未完成支付</w:t>
      </w:r>
      <w:r>
        <w:rPr>
          <w:rFonts w:hint="eastAsia" w:ascii="仿宋_GB2312" w:eastAsia="仿宋_GB2312"/>
          <w:sz w:val="32"/>
          <w:szCs w:val="32"/>
          <w:lang w:val="en-US" w:eastAsia="zh-CN"/>
        </w:rPr>
        <w:t>等。</w:t>
      </w:r>
      <w:r>
        <w:rPr>
          <w:rFonts w:hint="eastAsia" w:ascii="仿宋_GB2312" w:hAnsi="Times New Roman" w:eastAsia="仿宋_GB2312" w:cs="Times New Roman"/>
          <w:spacing w:val="0"/>
          <w:kern w:val="2"/>
          <w:sz w:val="32"/>
          <w:szCs w:val="32"/>
          <w:highlight w:val="none"/>
          <w:lang w:val="en-US" w:eastAsia="zh-CN" w:bidi="ar-SA"/>
        </w:rPr>
        <w:t>下一步改进措施：</w:t>
      </w:r>
      <w:r>
        <w:rPr>
          <w:rFonts w:hint="eastAsia" w:ascii="仿宋_GB2312" w:hAnsi="宋体" w:eastAsia="仿宋_GB2312" w:cs="Times New Roman"/>
          <w:bCs/>
          <w:sz w:val="32"/>
          <w:szCs w:val="32"/>
          <w:lang w:val="en-US" w:eastAsia="zh-CN"/>
        </w:rPr>
        <w:t>一是合理设置年度任务。提高文旅局、文化馆、图书馆、民俗博物馆对部门中长期规划的重视程度，加强相关规划的导向性、落地性。二是加强</w:t>
      </w:r>
      <w:r>
        <w:rPr>
          <w:rFonts w:ascii="仿宋_GB2312" w:hAnsi="Times New Roman" w:eastAsia="仿宋_GB2312" w:cs="Times New Roman"/>
          <w:sz w:val="32"/>
          <w:szCs w:val="32"/>
          <w:lang w:eastAsia="zh-CN"/>
        </w:rPr>
        <w:t>项目管理</w:t>
      </w:r>
      <w:r>
        <w:rPr>
          <w:rFonts w:hint="eastAsia" w:ascii="仿宋_GB2312" w:hAnsi="Times New Roman" w:eastAsia="仿宋_GB2312" w:cs="Times New Roman"/>
          <w:sz w:val="32"/>
          <w:szCs w:val="32"/>
          <w:lang w:eastAsia="zh-CN"/>
        </w:rPr>
        <w:t>，</w:t>
      </w:r>
      <w:r>
        <w:rPr>
          <w:rFonts w:ascii="仿宋_GB2312" w:hAnsi="Times New Roman" w:eastAsia="仿宋_GB2312" w:cs="Times New Roman"/>
          <w:sz w:val="32"/>
          <w:szCs w:val="32"/>
          <w:lang w:eastAsia="zh-CN"/>
        </w:rPr>
        <w:t>严格</w:t>
      </w:r>
      <w:r>
        <w:rPr>
          <w:rFonts w:hint="eastAsia" w:ascii="仿宋_GB2312" w:hAnsi="宋体" w:eastAsia="仿宋_GB2312"/>
          <w:bCs/>
          <w:sz w:val="32"/>
          <w:szCs w:val="32"/>
        </w:rPr>
        <w:t>督促2024年巴音体育公园建设项目尽快完成</w:t>
      </w:r>
      <w:r>
        <w:rPr>
          <w:rFonts w:hint="eastAsia" w:ascii="仿宋_GB2312" w:hAnsi="宋体" w:eastAsia="仿宋_GB2312"/>
          <w:bCs/>
          <w:sz w:val="32"/>
          <w:szCs w:val="32"/>
          <w:lang w:eastAsia="zh-CN"/>
        </w:rPr>
        <w:t>，</w:t>
      </w:r>
      <w:r>
        <w:rPr>
          <w:rFonts w:hint="eastAsia" w:ascii="仿宋_GB2312" w:hAnsi="宋体" w:eastAsia="仿宋_GB2312"/>
          <w:bCs/>
          <w:sz w:val="32"/>
          <w:szCs w:val="32"/>
          <w:lang w:val="en-US" w:eastAsia="zh-CN"/>
        </w:rPr>
        <w:t>民俗博物</w:t>
      </w:r>
      <w:r>
        <w:rPr>
          <w:rFonts w:hint="eastAsia" w:ascii="仿宋_GB2312" w:eastAsia="仿宋_GB2312"/>
          <w:sz w:val="32"/>
          <w:szCs w:val="32"/>
        </w:rPr>
        <w:t>馆</w:t>
      </w:r>
      <w:r>
        <w:rPr>
          <w:rFonts w:hint="eastAsia" w:ascii="仿宋_GB2312" w:eastAsia="仿宋_GB2312"/>
          <w:sz w:val="32"/>
          <w:szCs w:val="32"/>
          <w:lang w:val="en-US" w:eastAsia="zh-CN"/>
        </w:rPr>
        <w:t>的</w:t>
      </w:r>
      <w:r>
        <w:rPr>
          <w:rFonts w:hint="eastAsia" w:ascii="仿宋_GB2312" w:eastAsia="仿宋_GB2312"/>
          <w:sz w:val="32"/>
          <w:szCs w:val="32"/>
        </w:rPr>
        <w:t>展陈改造项目、可移动文物预防性保护项目项目</w:t>
      </w:r>
      <w:r>
        <w:rPr>
          <w:rFonts w:hint="eastAsia" w:ascii="仿宋_GB2312" w:eastAsia="仿宋_GB2312"/>
          <w:sz w:val="32"/>
          <w:szCs w:val="32"/>
          <w:lang w:val="en-US" w:eastAsia="zh-CN"/>
        </w:rPr>
        <w:t>抓紧办理支付等手续。</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hAnsi="Times New Roman" w:eastAsia="仿宋_GB2312" w:cs="Times New Roman"/>
          <w:spacing w:val="0"/>
          <w:kern w:val="2"/>
          <w:sz w:val="32"/>
          <w:szCs w:val="32"/>
          <w:highlight w:val="none"/>
          <w:lang w:val="en-US" w:eastAsia="zh-CN" w:bidi="ar-SA"/>
        </w:rPr>
      </w:pPr>
      <w:r>
        <w:rPr>
          <w:rFonts w:hint="eastAsia" w:ascii="仿宋_GB2312" w:hAnsi="Times New Roman" w:eastAsia="仿宋_GB2312" w:cs="Times New Roman"/>
          <w:spacing w:val="0"/>
          <w:kern w:val="2"/>
          <w:sz w:val="32"/>
          <w:szCs w:val="32"/>
          <w:highlight w:val="none"/>
          <w:lang w:val="en-US" w:eastAsia="zh-CN" w:bidi="ar-SA"/>
        </w:rPr>
        <w:t>具体附部门整体支出绩效自评表，项目支出绩效自评表和部门评价报告。</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宋体" w:hAnsi="宋体" w:eastAsia="宋体" w:cs="宋体"/>
          <w:b/>
          <w:kern w:val="0"/>
          <w:sz w:val="32"/>
          <w:szCs w:val="32"/>
          <w:highlight w:val="none"/>
          <w:lang w:val="en-US" w:eastAsia="zh-CN" w:bidi="ar-SA"/>
        </w:rPr>
      </w:pPr>
      <w:r>
        <w:rPr>
          <w:rFonts w:hint="eastAsia" w:ascii="宋体" w:hAnsi="宋体" w:eastAsia="宋体" w:cs="宋体"/>
          <w:b/>
          <w:kern w:val="0"/>
          <w:sz w:val="32"/>
          <w:szCs w:val="32"/>
          <w:highlight w:val="none"/>
          <w:lang w:val="en-US" w:eastAsia="zh-CN" w:bidi="ar-SA"/>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sz w:val="32"/>
          <w:szCs w:val="32"/>
        </w:rPr>
        <w:t>根据预算绩效管理要求，我部门2024年度预算绩效管理整体支出绩效自评表0个，全年预算总额0万元，实际执行总额0万元。我部门整体绩效自评表，由各单位自行编制并公开</w:t>
      </w:r>
      <w:r>
        <w:rPr>
          <w:rFonts w:hint="eastAsia" w:ascii="仿宋_GB2312" w:hAnsi="仿宋_GB2312" w:eastAsia="仿宋_GB2312" w:cs="仿宋_GB2312"/>
          <w:b w:val="0"/>
          <w:sz w:val="32"/>
          <w:szCs w:val="32"/>
          <w:lang w:eastAsia="zh-CN"/>
        </w:rPr>
        <w:t>。</w:t>
      </w:r>
      <w:bookmarkStart w:id="20" w:name="_GoBack"/>
      <w:bookmarkEnd w:id="20"/>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hint="eastAsia"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line="560" w:lineRule="exact"/>
        <w:ind w:firstLine="0" w:firstLineChars="200"/>
        <w:textAlignment w:val="auto"/>
        <w:rPr>
          <w:rFonts w:hint="eastAsia" w:ascii="仿宋_GB2312" w:hAnsi="仿宋_GB2312" w:eastAsia="仿宋_GB2312" w:cs="仿宋_GB2312"/>
        </w:rPr>
      </w:pPr>
      <w:r>
        <w:rPr>
          <w:rFonts w:hint="eastAsia" w:ascii="仿宋_GB2312" w:hAnsi="仿宋_GB2312" w:eastAsia="仿宋_GB2312" w:cs="仿宋_GB2312"/>
          <w:b w:val="0"/>
          <w:sz w:val="0"/>
          <w:szCs w:val="0"/>
        </w:rPr>
        <w:br w:type="page"/>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sz w:val="32"/>
          <w:szCs w:val="32"/>
          <w:highlight w:val="none"/>
        </w:rPr>
      </w:pPr>
      <w:bookmarkStart w:id="0" w:name="_Toc30038"/>
      <w:r>
        <w:rPr>
          <w:rFonts w:hint="eastAsia" w:ascii="黑体" w:hAnsi="黑体" w:eastAsia="黑体"/>
          <w:sz w:val="32"/>
          <w:szCs w:val="32"/>
          <w:highlight w:val="none"/>
        </w:rPr>
        <w:t>第</w:t>
      </w:r>
      <w:r>
        <w:rPr>
          <w:rFonts w:hint="eastAsia" w:ascii="黑体" w:hAnsi="黑体" w:eastAsia="黑体"/>
          <w:sz w:val="32"/>
          <w:szCs w:val="32"/>
          <w:highlight w:val="none"/>
          <w:lang w:val="en-US" w:eastAsia="zh-CN"/>
        </w:rPr>
        <w:t>三</w:t>
      </w:r>
      <w:r>
        <w:rPr>
          <w:rFonts w:hint="eastAsia" w:ascii="黑体" w:hAnsi="黑体" w:eastAsia="黑体"/>
          <w:sz w:val="32"/>
          <w:szCs w:val="32"/>
          <w:highlight w:val="none"/>
        </w:rPr>
        <w:t>部分 专业名词解释</w:t>
      </w:r>
      <w:bookmarkEnd w:id="0"/>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一、</w:t>
      </w:r>
      <w:r>
        <w:rPr>
          <w:rFonts w:hint="eastAsia" w:ascii="仿宋_GB2312" w:eastAsia="仿宋_GB2312"/>
          <w:b/>
          <w:bCs/>
          <w:sz w:val="32"/>
          <w:szCs w:val="32"/>
          <w:highlight w:val="none"/>
        </w:rPr>
        <w:t>财政拨款收入：</w:t>
      </w:r>
      <w:r>
        <w:rPr>
          <w:rFonts w:hint="eastAsia" w:ascii="仿宋_GB2312" w:eastAsia="仿宋_GB2312"/>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二、</w:t>
      </w:r>
      <w:r>
        <w:rPr>
          <w:rFonts w:hint="eastAsia" w:ascii="仿宋_GB2312" w:eastAsia="仿宋_GB2312"/>
          <w:b/>
          <w:bCs/>
          <w:sz w:val="32"/>
          <w:szCs w:val="32"/>
          <w:highlight w:val="none"/>
        </w:rPr>
        <w:t>上级补助收入：</w:t>
      </w:r>
      <w:r>
        <w:rPr>
          <w:rFonts w:hint="eastAsia" w:ascii="仿宋_GB2312" w:eastAsia="仿宋_GB2312"/>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三、</w:t>
      </w:r>
      <w:r>
        <w:rPr>
          <w:rFonts w:hint="eastAsia" w:ascii="仿宋_GB2312" w:eastAsia="仿宋_GB2312"/>
          <w:b/>
          <w:bCs/>
          <w:sz w:val="32"/>
          <w:szCs w:val="32"/>
          <w:highlight w:val="none"/>
        </w:rPr>
        <w:t>事业收入：</w:t>
      </w:r>
      <w:r>
        <w:rPr>
          <w:rFonts w:hint="eastAsia" w:ascii="仿宋_GB2312" w:eastAsia="仿宋_GB2312"/>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四、</w:t>
      </w:r>
      <w:r>
        <w:rPr>
          <w:rFonts w:hint="eastAsia" w:ascii="仿宋_GB2312" w:eastAsia="仿宋_GB2312"/>
          <w:b/>
          <w:bCs/>
          <w:sz w:val="32"/>
          <w:szCs w:val="32"/>
          <w:highlight w:val="none"/>
        </w:rPr>
        <w:t>经营收入：</w:t>
      </w:r>
      <w:r>
        <w:rPr>
          <w:rFonts w:hint="eastAsia" w:ascii="仿宋_GB2312" w:eastAsia="仿宋_GB2312"/>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五、</w:t>
      </w:r>
      <w:r>
        <w:rPr>
          <w:rFonts w:hint="eastAsia" w:ascii="仿宋_GB2312" w:eastAsia="仿宋_GB2312"/>
          <w:b/>
          <w:bCs/>
          <w:sz w:val="32"/>
          <w:szCs w:val="32"/>
          <w:highlight w:val="none"/>
        </w:rPr>
        <w:t>附属单位上缴收入：</w:t>
      </w:r>
      <w:r>
        <w:rPr>
          <w:rFonts w:hint="eastAsia" w:ascii="仿宋_GB2312" w:eastAsia="仿宋_GB2312"/>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六、</w:t>
      </w:r>
      <w:r>
        <w:rPr>
          <w:rFonts w:hint="eastAsia" w:ascii="仿宋_GB2312" w:eastAsia="仿宋_GB2312"/>
          <w:b/>
          <w:bCs/>
          <w:sz w:val="32"/>
          <w:szCs w:val="32"/>
          <w:highlight w:val="none"/>
        </w:rPr>
        <w:t>其他收入：</w:t>
      </w:r>
      <w:r>
        <w:rPr>
          <w:rFonts w:hint="eastAsia" w:ascii="仿宋_GB2312" w:eastAsia="仿宋_GB2312"/>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七、</w:t>
      </w:r>
      <w:r>
        <w:rPr>
          <w:rFonts w:hint="eastAsia" w:ascii="仿宋_GB2312" w:eastAsia="仿宋_GB2312"/>
          <w:b/>
          <w:bCs/>
          <w:sz w:val="32"/>
          <w:szCs w:val="32"/>
          <w:highlight w:val="none"/>
          <w:lang w:eastAsia="zh-CN"/>
        </w:rPr>
        <w:t>年初</w:t>
      </w:r>
      <w:r>
        <w:rPr>
          <w:rFonts w:hint="eastAsia" w:ascii="仿宋_GB2312" w:eastAsia="仿宋_GB2312"/>
          <w:b/>
          <w:bCs/>
          <w:sz w:val="32"/>
          <w:szCs w:val="32"/>
          <w:highlight w:val="none"/>
        </w:rPr>
        <w:t>结转和结余：</w:t>
      </w:r>
      <w:r>
        <w:rPr>
          <w:rFonts w:hint="eastAsia" w:ascii="仿宋_GB2312" w:eastAsia="仿宋_GB2312"/>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八、</w:t>
      </w:r>
      <w:r>
        <w:rPr>
          <w:rFonts w:hint="eastAsia" w:ascii="仿宋_GB2312" w:eastAsia="仿宋_GB2312"/>
          <w:b/>
          <w:bCs/>
          <w:sz w:val="32"/>
          <w:szCs w:val="32"/>
          <w:highlight w:val="none"/>
        </w:rPr>
        <w:t>年末结转和结余：</w:t>
      </w:r>
      <w:r>
        <w:rPr>
          <w:rFonts w:hint="eastAsia" w:ascii="仿宋_GB2312" w:eastAsia="仿宋_GB2312"/>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九、</w:t>
      </w:r>
      <w:r>
        <w:rPr>
          <w:rFonts w:hint="eastAsia" w:ascii="仿宋_GB2312" w:eastAsia="仿宋_GB2312"/>
          <w:b/>
          <w:bCs/>
          <w:sz w:val="32"/>
          <w:szCs w:val="32"/>
          <w:highlight w:val="none"/>
        </w:rPr>
        <w:t>基本支出：</w:t>
      </w:r>
      <w:r>
        <w:rPr>
          <w:rFonts w:hint="eastAsia" w:ascii="仿宋_GB2312" w:eastAsia="仿宋_GB2312"/>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w:t>
      </w:r>
      <w:r>
        <w:rPr>
          <w:rFonts w:hint="eastAsia" w:ascii="仿宋_GB2312" w:eastAsia="仿宋_GB2312"/>
          <w:b/>
          <w:bCs/>
          <w:sz w:val="32"/>
          <w:szCs w:val="32"/>
          <w:highlight w:val="none"/>
        </w:rPr>
        <w:t>项目支出：</w:t>
      </w:r>
      <w:r>
        <w:rPr>
          <w:rFonts w:hint="eastAsia" w:ascii="仿宋_GB2312" w:eastAsia="仿宋_GB2312"/>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十一、</w:t>
      </w:r>
      <w:r>
        <w:rPr>
          <w:rFonts w:hint="eastAsia" w:ascii="仿宋_GB2312" w:eastAsia="仿宋_GB2312"/>
          <w:b/>
          <w:bCs/>
          <w:sz w:val="32"/>
          <w:szCs w:val="32"/>
          <w:highlight w:val="none"/>
        </w:rPr>
        <w:t>经营支出：</w:t>
      </w:r>
      <w:r>
        <w:rPr>
          <w:rFonts w:hint="eastAsia" w:ascii="仿宋_GB2312" w:eastAsia="仿宋_GB2312"/>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十二、</w:t>
      </w:r>
      <w:r>
        <w:rPr>
          <w:rFonts w:hint="eastAsia" w:ascii="仿宋_GB2312" w:eastAsia="仿宋_GB2312"/>
          <w:b/>
          <w:bCs/>
          <w:sz w:val="32"/>
          <w:szCs w:val="32"/>
          <w:highlight w:val="none"/>
        </w:rPr>
        <w:t>对附属单位补助支出：</w:t>
      </w:r>
      <w:r>
        <w:rPr>
          <w:rFonts w:hint="eastAsia" w:ascii="仿宋_GB2312" w:eastAsia="仿宋_GB2312"/>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z w:val="32"/>
          <w:szCs w:val="32"/>
          <w:highlight w:val="none"/>
          <w:lang w:val="en-US" w:eastAsia="zh-CN"/>
        </w:rPr>
        <w:t>十三、</w:t>
      </w:r>
      <w:r>
        <w:rPr>
          <w:rFonts w:hint="eastAsia" w:ascii="仿宋_GB2312" w:eastAsia="仿宋_GB2312"/>
          <w:b/>
          <w:bCs/>
          <w:sz w:val="32"/>
          <w:szCs w:val="32"/>
          <w:highlight w:val="none"/>
        </w:rPr>
        <w:t>“三公”经费：</w:t>
      </w:r>
      <w:r>
        <w:rPr>
          <w:rFonts w:hint="eastAsia" w:ascii="仿宋_GB2312" w:eastAsia="仿宋_GB2312"/>
          <w:sz w:val="32"/>
          <w:szCs w:val="32"/>
          <w:highlight w:val="none"/>
        </w:rPr>
        <w:t>指用财政拨款安排的因公出国（境）费、公务用车购置及运行费和公务接待费。其中，因公出国（境）费反映单位公务出国（境）的</w:t>
      </w:r>
      <w:r>
        <w:rPr>
          <w:rFonts w:hint="eastAsia" w:ascii="仿宋_GB2312" w:eastAsia="仿宋_GB2312"/>
          <w:sz w:val="32"/>
          <w:szCs w:val="32"/>
          <w:highlight w:val="none"/>
          <w:lang w:eastAsia="zh-CN"/>
        </w:rPr>
        <w:t>国际旅费、国外城市间交通费、</w:t>
      </w:r>
      <w:r>
        <w:rPr>
          <w:rFonts w:hint="eastAsia" w:ascii="仿宋_GB2312" w:eastAsia="仿宋_GB2312"/>
          <w:sz w:val="32"/>
          <w:szCs w:val="32"/>
          <w:highlight w:val="none"/>
        </w:rPr>
        <w:t>住宿费、伙食费、培训费、</w:t>
      </w:r>
      <w:r>
        <w:rPr>
          <w:rFonts w:hint="eastAsia" w:ascii="仿宋_GB2312" w:eastAsia="仿宋_GB2312"/>
          <w:sz w:val="32"/>
          <w:szCs w:val="32"/>
          <w:highlight w:val="none"/>
          <w:lang w:eastAsia="zh-CN"/>
        </w:rPr>
        <w:t>公</w:t>
      </w:r>
      <w:r>
        <w:rPr>
          <w:rFonts w:hint="eastAsia" w:ascii="仿宋_GB2312" w:eastAsia="仿宋_GB2312"/>
          <w:sz w:val="32"/>
          <w:szCs w:val="32"/>
          <w:highlight w:val="none"/>
        </w:rPr>
        <w:t>杂费等支出；公务用车购置</w:t>
      </w:r>
      <w:r>
        <w:rPr>
          <w:rFonts w:hint="eastAsia" w:ascii="仿宋_GB2312" w:eastAsia="仿宋_GB2312"/>
          <w:sz w:val="32"/>
          <w:szCs w:val="32"/>
          <w:highlight w:val="none"/>
          <w:lang w:eastAsia="zh-CN"/>
        </w:rPr>
        <w:t>反映公务用车购置支出（含车辆购置税、牌照费）；</w:t>
      </w:r>
      <w:r>
        <w:rPr>
          <w:rFonts w:hint="eastAsia" w:ascii="仿宋_GB2312" w:eastAsia="仿宋_GB2312"/>
          <w:sz w:val="32"/>
          <w:szCs w:val="32"/>
          <w:highlight w:val="none"/>
        </w:rPr>
        <w:t>公务用车运行</w:t>
      </w:r>
      <w:r>
        <w:rPr>
          <w:rFonts w:hint="eastAsia" w:ascii="仿宋_GB2312" w:eastAsia="仿宋_GB2312"/>
          <w:sz w:val="32"/>
          <w:szCs w:val="32"/>
          <w:highlight w:val="none"/>
          <w:lang w:eastAsia="zh-CN"/>
        </w:rPr>
        <w:t>维护</w:t>
      </w:r>
      <w:r>
        <w:rPr>
          <w:rFonts w:hint="eastAsia" w:ascii="仿宋_GB2312" w:eastAsia="仿宋_GB2312"/>
          <w:sz w:val="32"/>
          <w:szCs w:val="32"/>
          <w:highlight w:val="none"/>
        </w:rPr>
        <w:t>费反映</w:t>
      </w:r>
      <w:r>
        <w:rPr>
          <w:rFonts w:hint="eastAsia" w:ascii="仿宋_GB2312" w:eastAsia="仿宋_GB2312"/>
          <w:sz w:val="32"/>
          <w:szCs w:val="32"/>
          <w:highlight w:val="none"/>
          <w:lang w:eastAsia="zh-CN"/>
        </w:rPr>
        <w:t>单位按规定保留的公务用车燃料费、维修费、</w:t>
      </w:r>
      <w:r>
        <w:rPr>
          <w:rFonts w:hint="eastAsia" w:ascii="仿宋_GB2312" w:eastAsia="仿宋_GB2312"/>
          <w:sz w:val="32"/>
          <w:szCs w:val="32"/>
          <w:highlight w:val="none"/>
        </w:rPr>
        <w:t>过路过桥费、保险费、安全奖励费用等支出</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公务接待费反映单位按规定开支的各类公务接待（含外宾接待）</w:t>
      </w:r>
      <w:r>
        <w:rPr>
          <w:rFonts w:hint="eastAsia" w:ascii="仿宋_GB2312" w:eastAsia="仿宋_GB2312"/>
          <w:sz w:val="32"/>
          <w:szCs w:val="32"/>
          <w:highlight w:val="none"/>
          <w:lang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bidi w:val="0"/>
        <w:adjustRightInd/>
        <w:snapToGrid/>
        <w:spacing w:line="56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十四、</w:t>
      </w:r>
      <w:r>
        <w:rPr>
          <w:rFonts w:hint="eastAsia" w:ascii="仿宋_GB2312" w:eastAsia="仿宋_GB2312"/>
          <w:b/>
          <w:bCs/>
          <w:sz w:val="32"/>
          <w:szCs w:val="32"/>
          <w:highlight w:val="none"/>
        </w:rPr>
        <w:t>机关运行经费：</w:t>
      </w:r>
      <w:r>
        <w:rPr>
          <w:rFonts w:hint="eastAsia" w:ascii="仿宋_GB2312" w:eastAsia="仿宋_GB2312"/>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0"/>
        <w:rPr>
          <w:rFonts w:hint="eastAsia" w:ascii="黑体" w:hAnsi="黑体" w:eastAsia="黑体"/>
          <w:sz w:val="32"/>
          <w:szCs w:val="32"/>
          <w:highlight w:val="none"/>
        </w:rPr>
      </w:pPr>
      <w:r>
        <w:rPr>
          <w:rFonts w:hint="eastAsia" w:ascii="仿宋_GB2312" w:eastAsia="仿宋_GB2312"/>
          <w:sz w:val="32"/>
          <w:szCs w:val="32"/>
          <w:highlight w:val="none"/>
        </w:rPr>
        <w:br w:type="page"/>
      </w:r>
      <w:bookmarkStart w:id="1" w:name="_Toc6831"/>
      <w:r>
        <w:rPr>
          <w:rFonts w:hint="eastAsia" w:ascii="黑体" w:hAnsi="黑体" w:eastAsia="黑体"/>
          <w:sz w:val="32"/>
          <w:szCs w:val="32"/>
          <w:highlight w:val="none"/>
        </w:rPr>
        <w:t>第四部分 部门决算报表（见附表）</w:t>
      </w:r>
      <w:bookmarkEnd w:id="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2" w:name="_Toc3845"/>
      <w:bookmarkStart w:id="3" w:name="_Toc6062"/>
      <w:r>
        <w:rPr>
          <w:rFonts w:hint="eastAsia" w:ascii="仿宋_GB2312" w:hAnsi="仿宋_GB2312" w:eastAsia="仿宋_GB2312" w:cs="仿宋_GB2312"/>
          <w:bCs/>
          <w:kern w:val="0"/>
          <w:sz w:val="32"/>
          <w:szCs w:val="32"/>
          <w:highlight w:val="none"/>
        </w:rPr>
        <w:t>一、《收入支出决算总表》</w:t>
      </w:r>
      <w:bookmarkEnd w:id="2"/>
      <w:bookmarkEnd w:id="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 w:name="_Toc11927"/>
      <w:bookmarkStart w:id="5" w:name="_Toc30364"/>
      <w:r>
        <w:rPr>
          <w:rFonts w:hint="eastAsia" w:ascii="仿宋_GB2312" w:hAnsi="仿宋_GB2312" w:eastAsia="仿宋_GB2312" w:cs="仿宋_GB2312"/>
          <w:bCs/>
          <w:kern w:val="0"/>
          <w:sz w:val="32"/>
          <w:szCs w:val="32"/>
          <w:highlight w:val="none"/>
        </w:rPr>
        <w:t>二、《收入决算表》</w:t>
      </w:r>
      <w:bookmarkEnd w:id="4"/>
      <w:bookmarkEnd w:id="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6" w:name="_Toc7443"/>
      <w:bookmarkStart w:id="7" w:name="_Toc21304"/>
      <w:r>
        <w:rPr>
          <w:rFonts w:hint="eastAsia" w:ascii="仿宋_GB2312" w:hAnsi="仿宋_GB2312" w:eastAsia="仿宋_GB2312" w:cs="仿宋_GB2312"/>
          <w:bCs/>
          <w:kern w:val="0"/>
          <w:sz w:val="32"/>
          <w:szCs w:val="32"/>
          <w:highlight w:val="none"/>
        </w:rPr>
        <w:t>三、《支出决算表》</w:t>
      </w:r>
      <w:bookmarkEnd w:id="6"/>
      <w:bookmarkEnd w:id="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8" w:name="_Toc14238"/>
      <w:bookmarkStart w:id="9" w:name="_Toc24884"/>
      <w:r>
        <w:rPr>
          <w:rFonts w:hint="eastAsia" w:ascii="仿宋_GB2312" w:hAnsi="仿宋_GB2312" w:eastAsia="仿宋_GB2312" w:cs="仿宋_GB2312"/>
          <w:bCs/>
          <w:kern w:val="0"/>
          <w:sz w:val="32"/>
          <w:szCs w:val="32"/>
          <w:highlight w:val="none"/>
        </w:rPr>
        <w:t>四、《财政拨款收入支出决算总表》</w:t>
      </w:r>
      <w:bookmarkEnd w:id="8"/>
      <w:bookmarkEnd w:id="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10" w:name="_Toc10347"/>
      <w:bookmarkStart w:id="11" w:name="_Toc16518"/>
      <w:r>
        <w:rPr>
          <w:rFonts w:hint="eastAsia" w:ascii="仿宋_GB2312" w:hAnsi="仿宋_GB2312" w:eastAsia="仿宋_GB2312" w:cs="仿宋_GB2312"/>
          <w:bCs/>
          <w:kern w:val="0"/>
          <w:sz w:val="32"/>
          <w:szCs w:val="32"/>
          <w:highlight w:val="none"/>
        </w:rPr>
        <w:t>五、《一般公共预算财政拨款支出决算表》</w:t>
      </w:r>
      <w:bookmarkEnd w:id="10"/>
      <w:bookmarkEnd w:id="1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12" w:name="_Toc5626"/>
      <w:bookmarkStart w:id="13" w:name="_Toc20514"/>
      <w:r>
        <w:rPr>
          <w:rFonts w:hint="eastAsia" w:ascii="仿宋_GB2312" w:hAnsi="仿宋_GB2312" w:eastAsia="仿宋_GB2312" w:cs="仿宋_GB2312"/>
          <w:bCs/>
          <w:kern w:val="0"/>
          <w:sz w:val="32"/>
          <w:szCs w:val="32"/>
          <w:highlight w:val="none"/>
        </w:rPr>
        <w:t>六、《一般公共预算财政拨款基本支出决算表》</w:t>
      </w:r>
      <w:bookmarkEnd w:id="12"/>
      <w:bookmarkEnd w:id="1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14" w:name="_Toc18055"/>
      <w:bookmarkStart w:id="15" w:name="_Toc5453"/>
      <w:r>
        <w:rPr>
          <w:rFonts w:hint="eastAsia" w:ascii="仿宋_GB2312" w:hAnsi="仿宋_GB2312" w:eastAsia="仿宋_GB2312" w:cs="仿宋_GB2312"/>
          <w:bCs/>
          <w:kern w:val="0"/>
          <w:sz w:val="32"/>
          <w:szCs w:val="32"/>
          <w:highlight w:val="none"/>
        </w:rPr>
        <w:t>七、《政府性基金预算财政拨款收入支出决算表》</w:t>
      </w:r>
      <w:bookmarkEnd w:id="14"/>
      <w:bookmarkEnd w:id="1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16" w:name="_Toc10719"/>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bookmarkEnd w:id="1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17" w:name="_Toc32663"/>
      <w:bookmarkStart w:id="18" w:name="_Toc18861"/>
      <w:bookmarkStart w:id="19" w:name="_Toc29106"/>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bookmarkEnd w:id="17"/>
      <w:bookmarkEnd w:id="18"/>
      <w:bookmarkEnd w:id="19"/>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r>
        <w:drawing>
          <wp:anchor distT="0" distB="0" distL="114300" distR="114300" simplePos="0" relativeHeight="251659264" behindDoc="0" locked="0" layoutInCell="1" allowOverlap="1">
            <wp:simplePos x="0" y="0"/>
            <wp:positionH relativeFrom="column">
              <wp:posOffset>285750</wp:posOffset>
            </wp:positionH>
            <wp:positionV relativeFrom="paragraph">
              <wp:posOffset>33655</wp:posOffset>
            </wp:positionV>
            <wp:extent cx="4989195" cy="6080125"/>
            <wp:effectExtent l="0" t="0" r="1905" b="15875"/>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4989195" cy="6080125"/>
                    </a:xfrm>
                    <a:prstGeom prst="rect">
                      <a:avLst/>
                    </a:prstGeom>
                    <a:noFill/>
                    <a:ln>
                      <a:noFill/>
                    </a:ln>
                  </pic:spPr>
                </pic:pic>
              </a:graphicData>
            </a:graphic>
          </wp:anchor>
        </w:drawing>
      </w: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r>
        <w:drawing>
          <wp:anchor distT="0" distB="0" distL="114300" distR="114300" simplePos="0" relativeHeight="251660288" behindDoc="0" locked="0" layoutInCell="1" allowOverlap="1">
            <wp:simplePos x="0" y="0"/>
            <wp:positionH relativeFrom="column">
              <wp:posOffset>209550</wp:posOffset>
            </wp:positionH>
            <wp:positionV relativeFrom="paragraph">
              <wp:posOffset>208280</wp:posOffset>
            </wp:positionV>
            <wp:extent cx="4953000" cy="6790055"/>
            <wp:effectExtent l="0" t="0" r="0" b="10795"/>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4953000" cy="6790055"/>
                    </a:xfrm>
                    <a:prstGeom prst="rect">
                      <a:avLst/>
                    </a:prstGeom>
                    <a:noFill/>
                    <a:ln>
                      <a:noFill/>
                    </a:ln>
                  </pic:spPr>
                </pic:pic>
              </a:graphicData>
            </a:graphic>
          </wp:anchor>
        </w:drawing>
      </w: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r>
        <w:drawing>
          <wp:anchor distT="0" distB="0" distL="114300" distR="114300" simplePos="0" relativeHeight="251661312" behindDoc="0" locked="0" layoutInCell="1" allowOverlap="1">
            <wp:simplePos x="0" y="0"/>
            <wp:positionH relativeFrom="column">
              <wp:posOffset>171450</wp:posOffset>
            </wp:positionH>
            <wp:positionV relativeFrom="paragraph">
              <wp:posOffset>46355</wp:posOffset>
            </wp:positionV>
            <wp:extent cx="5166360" cy="6894830"/>
            <wp:effectExtent l="0" t="0" r="15240" b="127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6"/>
                    <a:stretch>
                      <a:fillRect/>
                    </a:stretch>
                  </pic:blipFill>
                  <pic:spPr>
                    <a:xfrm>
                      <a:off x="0" y="0"/>
                      <a:ext cx="5166360" cy="6894830"/>
                    </a:xfrm>
                    <a:prstGeom prst="rect">
                      <a:avLst/>
                    </a:prstGeom>
                    <a:noFill/>
                    <a:ln>
                      <a:noFill/>
                    </a:ln>
                  </pic:spPr>
                </pic:pic>
              </a:graphicData>
            </a:graphic>
          </wp:anchor>
        </w:drawing>
      </w: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r>
        <w:drawing>
          <wp:anchor distT="0" distB="0" distL="114300" distR="114300" simplePos="0" relativeHeight="251662336" behindDoc="0" locked="0" layoutInCell="1" allowOverlap="1">
            <wp:simplePos x="0" y="0"/>
            <wp:positionH relativeFrom="column">
              <wp:posOffset>200025</wp:posOffset>
            </wp:positionH>
            <wp:positionV relativeFrom="paragraph">
              <wp:posOffset>255905</wp:posOffset>
            </wp:positionV>
            <wp:extent cx="4968875" cy="6544945"/>
            <wp:effectExtent l="0" t="0" r="3175" b="8255"/>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7"/>
                    <a:stretch>
                      <a:fillRect/>
                    </a:stretch>
                  </pic:blipFill>
                  <pic:spPr>
                    <a:xfrm>
                      <a:off x="0" y="0"/>
                      <a:ext cx="4968875" cy="6544945"/>
                    </a:xfrm>
                    <a:prstGeom prst="rect">
                      <a:avLst/>
                    </a:prstGeom>
                    <a:noFill/>
                    <a:ln>
                      <a:noFill/>
                    </a:ln>
                  </pic:spPr>
                </pic:pic>
              </a:graphicData>
            </a:graphic>
          </wp:anchor>
        </w:drawing>
      </w: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r>
        <w:drawing>
          <wp:anchor distT="0" distB="0" distL="114300" distR="114300" simplePos="0" relativeHeight="251663360" behindDoc="0" locked="0" layoutInCell="1" allowOverlap="1">
            <wp:simplePos x="0" y="0"/>
            <wp:positionH relativeFrom="column">
              <wp:posOffset>314325</wp:posOffset>
            </wp:positionH>
            <wp:positionV relativeFrom="paragraph">
              <wp:posOffset>141605</wp:posOffset>
            </wp:positionV>
            <wp:extent cx="5022215" cy="6512560"/>
            <wp:effectExtent l="0" t="0" r="6985" b="2540"/>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8"/>
                    <a:stretch>
                      <a:fillRect/>
                    </a:stretch>
                  </pic:blipFill>
                  <pic:spPr>
                    <a:xfrm>
                      <a:off x="0" y="0"/>
                      <a:ext cx="5022215" cy="6512560"/>
                    </a:xfrm>
                    <a:prstGeom prst="rect">
                      <a:avLst/>
                    </a:prstGeom>
                    <a:noFill/>
                    <a:ln>
                      <a:noFill/>
                    </a:ln>
                  </pic:spPr>
                </pic:pic>
              </a:graphicData>
            </a:graphic>
          </wp:anchor>
        </w:drawing>
      </w: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r>
        <w:drawing>
          <wp:anchor distT="0" distB="0" distL="114300" distR="114300" simplePos="0" relativeHeight="251664384" behindDoc="0" locked="0" layoutInCell="1" allowOverlap="1">
            <wp:simplePos x="0" y="0"/>
            <wp:positionH relativeFrom="column">
              <wp:posOffset>361950</wp:posOffset>
            </wp:positionH>
            <wp:positionV relativeFrom="paragraph">
              <wp:posOffset>144780</wp:posOffset>
            </wp:positionV>
            <wp:extent cx="4800600" cy="7506970"/>
            <wp:effectExtent l="0" t="0" r="0" b="1778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9"/>
                    <a:stretch>
                      <a:fillRect/>
                    </a:stretch>
                  </pic:blipFill>
                  <pic:spPr>
                    <a:xfrm>
                      <a:off x="0" y="0"/>
                      <a:ext cx="4800600" cy="7506970"/>
                    </a:xfrm>
                    <a:prstGeom prst="rect">
                      <a:avLst/>
                    </a:prstGeom>
                    <a:noFill/>
                    <a:ln>
                      <a:noFill/>
                    </a:ln>
                  </pic:spPr>
                </pic:pic>
              </a:graphicData>
            </a:graphic>
          </wp:anchor>
        </w:drawing>
      </w: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r>
        <w:drawing>
          <wp:anchor distT="0" distB="0" distL="114300" distR="114300" simplePos="0" relativeHeight="251665408" behindDoc="0" locked="0" layoutInCell="1" allowOverlap="1">
            <wp:simplePos x="0" y="0"/>
            <wp:positionH relativeFrom="column">
              <wp:posOffset>361950</wp:posOffset>
            </wp:positionH>
            <wp:positionV relativeFrom="paragraph">
              <wp:posOffset>341630</wp:posOffset>
            </wp:positionV>
            <wp:extent cx="4862830" cy="4014470"/>
            <wp:effectExtent l="0" t="0" r="13970" b="508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0"/>
                    <a:stretch>
                      <a:fillRect/>
                    </a:stretch>
                  </pic:blipFill>
                  <pic:spPr>
                    <a:xfrm>
                      <a:off x="0" y="0"/>
                      <a:ext cx="4862830" cy="4014470"/>
                    </a:xfrm>
                    <a:prstGeom prst="rect">
                      <a:avLst/>
                    </a:prstGeom>
                    <a:noFill/>
                    <a:ln>
                      <a:noFill/>
                    </a:ln>
                  </pic:spPr>
                </pic:pic>
              </a:graphicData>
            </a:graphic>
          </wp:anchor>
        </w:drawing>
      </w: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r>
        <w:drawing>
          <wp:anchor distT="0" distB="0" distL="114300" distR="114300" simplePos="0" relativeHeight="251666432" behindDoc="0" locked="0" layoutInCell="1" allowOverlap="1">
            <wp:simplePos x="0" y="0"/>
            <wp:positionH relativeFrom="column">
              <wp:posOffset>152400</wp:posOffset>
            </wp:positionH>
            <wp:positionV relativeFrom="paragraph">
              <wp:posOffset>231775</wp:posOffset>
            </wp:positionV>
            <wp:extent cx="5024755" cy="3791585"/>
            <wp:effectExtent l="0" t="0" r="4445" b="18415"/>
            <wp:wrapNone/>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1"/>
                    <a:stretch>
                      <a:fillRect/>
                    </a:stretch>
                  </pic:blipFill>
                  <pic:spPr>
                    <a:xfrm>
                      <a:off x="0" y="0"/>
                      <a:ext cx="5024755" cy="3791585"/>
                    </a:xfrm>
                    <a:prstGeom prst="rect">
                      <a:avLst/>
                    </a:prstGeom>
                    <a:noFill/>
                    <a:ln>
                      <a:noFill/>
                    </a:ln>
                  </pic:spPr>
                </pic:pic>
              </a:graphicData>
            </a:graphic>
          </wp:anchor>
        </w:drawing>
      </w: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r>
        <w:drawing>
          <wp:anchor distT="0" distB="0" distL="114300" distR="114300" simplePos="0" relativeHeight="251667456" behindDoc="0" locked="0" layoutInCell="1" allowOverlap="1">
            <wp:simplePos x="0" y="0"/>
            <wp:positionH relativeFrom="column">
              <wp:posOffset>38100</wp:posOffset>
            </wp:positionH>
            <wp:positionV relativeFrom="paragraph">
              <wp:posOffset>236855</wp:posOffset>
            </wp:positionV>
            <wp:extent cx="5144135" cy="2372360"/>
            <wp:effectExtent l="0" t="0" r="18415" b="8890"/>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2"/>
                    <a:stretch>
                      <a:fillRect/>
                    </a:stretch>
                  </pic:blipFill>
                  <pic:spPr>
                    <a:xfrm>
                      <a:off x="0" y="0"/>
                      <a:ext cx="5144135" cy="2372360"/>
                    </a:xfrm>
                    <a:prstGeom prst="rect">
                      <a:avLst/>
                    </a:prstGeom>
                    <a:noFill/>
                    <a:ln>
                      <a:noFill/>
                    </a:ln>
                  </pic:spPr>
                </pic:pic>
              </a:graphicData>
            </a:graphic>
          </wp:anchor>
        </w:drawing>
      </w: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bCs/>
          <w:kern w:val="0"/>
          <w:sz w:val="32"/>
          <w:szCs w:val="32"/>
          <w:highlight w:val="none"/>
        </w:rPr>
      </w:pPr>
    </w:p>
    <w:p>
      <w:pPr>
        <w:pStyle w:val="2"/>
        <w:pageBreakBefore w:val="0"/>
        <w:kinsoku/>
        <w:wordWrap/>
        <w:overflowPunct/>
        <w:topLinePunct w:val="0"/>
        <w:bidi w:val="0"/>
        <w:adjustRightInd/>
        <w:snapToGrid/>
        <w:spacing w:line="560" w:lineRule="exact"/>
        <w:textAlignment w:val="auto"/>
        <w:rPr>
          <w:rFonts w:hint="eastAsia"/>
          <w:lang w:eastAsia="zh-CN"/>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eastAsia" w:ascii="仿宋_GB2312" w:hAnsi="仿宋_GB2312" w:eastAsia="仿宋_GB2312" w:cs="仿宋_GB2312"/>
          <w:sz w:val="32"/>
          <w:szCs w:val="32"/>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isplayHorizontalDrawingGridEvery w:val="1"/>
  <w:displayVerticalDrawingGridEvery w:val="1"/>
  <w:noPunctuationKerning w:val="1"/>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4F064E"/>
    <w:rsid w:val="02E86176"/>
    <w:rsid w:val="05D858D0"/>
    <w:rsid w:val="077D7AC3"/>
    <w:rsid w:val="0812390B"/>
    <w:rsid w:val="08CA3E30"/>
    <w:rsid w:val="0AD73CEE"/>
    <w:rsid w:val="114522FD"/>
    <w:rsid w:val="123B0F38"/>
    <w:rsid w:val="127F36BB"/>
    <w:rsid w:val="146E064F"/>
    <w:rsid w:val="179415A1"/>
    <w:rsid w:val="18D14ABB"/>
    <w:rsid w:val="1B6C638C"/>
    <w:rsid w:val="1BBC0B9B"/>
    <w:rsid w:val="1E45700D"/>
    <w:rsid w:val="1F526A47"/>
    <w:rsid w:val="22CD600A"/>
    <w:rsid w:val="296E629C"/>
    <w:rsid w:val="29A569F4"/>
    <w:rsid w:val="29DF120C"/>
    <w:rsid w:val="2BBC5B76"/>
    <w:rsid w:val="2D09686D"/>
    <w:rsid w:val="2D785182"/>
    <w:rsid w:val="2EA87B9D"/>
    <w:rsid w:val="307C0E63"/>
    <w:rsid w:val="32645954"/>
    <w:rsid w:val="32904542"/>
    <w:rsid w:val="34E853E7"/>
    <w:rsid w:val="358E22B7"/>
    <w:rsid w:val="38DB4019"/>
    <w:rsid w:val="3AC6387A"/>
    <w:rsid w:val="3CF35218"/>
    <w:rsid w:val="3FE2041F"/>
    <w:rsid w:val="44766BC1"/>
    <w:rsid w:val="46AF1539"/>
    <w:rsid w:val="4B69375E"/>
    <w:rsid w:val="4BFD3EB1"/>
    <w:rsid w:val="4D010C32"/>
    <w:rsid w:val="51DD14FA"/>
    <w:rsid w:val="52896B80"/>
    <w:rsid w:val="54D5132C"/>
    <w:rsid w:val="56101331"/>
    <w:rsid w:val="59105B6E"/>
    <w:rsid w:val="59EB291D"/>
    <w:rsid w:val="5CA45513"/>
    <w:rsid w:val="5CCB0E03"/>
    <w:rsid w:val="5D1A79A5"/>
    <w:rsid w:val="5F815BFD"/>
    <w:rsid w:val="5FFA2EF4"/>
    <w:rsid w:val="606553E3"/>
    <w:rsid w:val="61AB6350"/>
    <w:rsid w:val="638A78A6"/>
    <w:rsid w:val="6A5552CC"/>
    <w:rsid w:val="6C140603"/>
    <w:rsid w:val="6D4237DA"/>
    <w:rsid w:val="6D8517D5"/>
    <w:rsid w:val="6DB61636"/>
    <w:rsid w:val="6EA7546E"/>
    <w:rsid w:val="75062D0E"/>
    <w:rsid w:val="75C76DAE"/>
    <w:rsid w:val="75DA3B2B"/>
    <w:rsid w:val="777628EA"/>
    <w:rsid w:val="7AA25493"/>
    <w:rsid w:val="7D6E59A7"/>
    <w:rsid w:val="7DA41ECB"/>
    <w:rsid w:val="7FAF3456"/>
    <w:rsid w:val="7FDD79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0" w:semiHidden="0" w:name="toc 1"/>
    <w:lsdException w:qFormat="1" w:uiPriority="0" w:semiHidden="0" w:name="toc 2"/>
    <w:lsdException w:qFormat="1"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3"/>
    <w:basedOn w:val="1"/>
    <w:next w:val="1"/>
    <w:qFormat/>
    <w:uiPriority w:val="0"/>
    <w:pPr>
      <w:keepNext/>
      <w:keepLines/>
      <w:spacing w:line="560" w:lineRule="exact"/>
      <w:outlineLvl w:val="2"/>
    </w:pPr>
    <w:rPr>
      <w:b/>
      <w:bCs/>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toc 3"/>
    <w:basedOn w:val="1"/>
    <w:next w:val="1"/>
    <w:unhideWhenUsed/>
    <w:qFormat/>
    <w:uiPriority w:val="0"/>
    <w:pPr>
      <w:spacing w:beforeLines="0" w:afterLines="0"/>
      <w:ind w:left="840" w:leftChars="400"/>
    </w:pPr>
    <w:rPr>
      <w:rFonts w:hint="eastAsia"/>
      <w:sz w:val="21"/>
      <w:szCs w:val="24"/>
    </w:rPr>
  </w:style>
  <w:style w:type="paragraph" w:styleId="4">
    <w:name w:val="footer"/>
    <w:basedOn w:val="1"/>
    <w:unhideWhenUsed/>
    <w:qFormat/>
    <w:uiPriority w:val="0"/>
    <w:pPr>
      <w:tabs>
        <w:tab w:val="center" w:pos="4153"/>
        <w:tab w:val="right" w:pos="8306"/>
      </w:tabs>
      <w:snapToGrid w:val="0"/>
      <w:spacing w:beforeLines="0" w:afterLines="0"/>
      <w:jc w:val="left"/>
    </w:pPr>
    <w:rPr>
      <w:rFonts w:hint="eastAsia"/>
      <w:sz w:val="18"/>
      <w:szCs w:val="24"/>
    </w:rPr>
  </w:style>
  <w:style w:type="paragraph" w:styleId="5">
    <w:name w:val="toc 1"/>
    <w:basedOn w:val="1"/>
    <w:next w:val="1"/>
    <w:unhideWhenUsed/>
    <w:qFormat/>
    <w:uiPriority w:val="0"/>
    <w:pPr>
      <w:spacing w:beforeLines="0" w:afterLines="0"/>
    </w:pPr>
    <w:rPr>
      <w:rFonts w:hint="eastAsia"/>
      <w:sz w:val="21"/>
      <w:szCs w:val="24"/>
    </w:rPr>
  </w:style>
  <w:style w:type="paragraph" w:styleId="6">
    <w:name w:val="toc 2"/>
    <w:basedOn w:val="1"/>
    <w:next w:val="1"/>
    <w:unhideWhenUsed/>
    <w:qFormat/>
    <w:uiPriority w:val="0"/>
    <w:pPr>
      <w:spacing w:beforeLines="0" w:afterLines="0"/>
      <w:ind w:left="420" w:leftChars="200"/>
    </w:pPr>
    <w:rPr>
      <w:rFonts w:hint="eastAsia"/>
      <w:sz w:val="21"/>
      <w:szCs w:val="24"/>
    </w:rPr>
  </w:style>
  <w:style w:type="paragraph" w:customStyle="1" w:styleId="9">
    <w:name w:val="无间隔1"/>
    <w:qFormat/>
    <w:uiPriority w:val="99"/>
    <w:pPr>
      <w:ind w:firstLine="200" w:firstLineChars="200"/>
    </w:pPr>
    <w:rPr>
      <w:rFonts w:ascii="Times New Roman" w:hAnsi="Times New Roman" w:eastAsia="仿宋_GB2312" w:cs="Times New Roman"/>
      <w:sz w:val="30"/>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16</Pages>
  <Words>5256</Words>
  <Characters>6107</Characters>
  <Lines>1</Lines>
  <Paragraphs>1</Paragraphs>
  <TotalTime>6</TotalTime>
  <ScaleCrop>false</ScaleCrop>
  <LinksUpToDate>false</LinksUpToDate>
  <CharactersWithSpaces>6113</CharactersWithSpaces>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2025-08-14T09:40:00Z</dcterms:created>
  <dc:creator>Administrator</dc:creator>
  <cp:lastModifiedBy>lenovo</cp:lastModifiedBy>
  <dcterms:modified xsi:type="dcterms:W3CDTF">2025-08-20T04:19:30Z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E625B74AA05C49D69C227428AEB6344B</vt:lpwstr>
  </property>
</Properties>
</file>