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库尔勒市托布力其乡人民政府</w:t>
      </w:r>
    </w:p>
    <w:p>
      <w:pPr>
        <w:widowControl/>
        <w:spacing w:before="0" w:beforeLines="0" w:beforeAutospacing="0" w:after="0" w:afterLines="0" w:afterAutospacing="0" w:line="240" w:lineRule="auto"/>
        <w:jc w:val="center"/>
        <w:outlineLvl w:val="0"/>
        <w:rPr>
          <w:rFonts w:ascii="黑体" w:eastAsia="黑体"/>
          <w:b w:val="0"/>
          <w:sz w:val="44"/>
          <w:szCs w:val="44"/>
        </w:rPr>
      </w:pPr>
      <w:r>
        <w:rPr>
          <w:rFonts w:ascii="黑体" w:eastAsia="黑体"/>
          <w:b w:val="0"/>
          <w:sz w:val="44"/>
          <w:szCs w:val="44"/>
        </w:rPr>
        <w:t>2024年度部门决算</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公开说明</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黑体" w:eastAsia="黑体"/>
          <w:sz w:val="32"/>
          <w:szCs w:val="32"/>
        </w:rPr>
      </w:pPr>
      <w:r>
        <w:rPr>
          <w:b w:val="0"/>
          <w:sz w:val="0"/>
          <w:szCs w:val="0"/>
        </w:rPr>
        <w:br w:type="page"/>
      </w: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pacing w:line="560" w:lineRule="exact"/>
        <w:textAlignment w:val="auto"/>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br w:type="page"/>
      </w: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0" w:firstLineChars="0"/>
        <w:textAlignment w:val="auto"/>
        <w:rPr>
          <w:rFonts w:ascii="黑体" w:eastAsia="黑体"/>
          <w:b w:val="0"/>
          <w:sz w:val="32"/>
          <w:szCs w:val="32"/>
        </w:rPr>
      </w:pPr>
      <w:r>
        <w:rPr>
          <w:rFonts w:ascii="黑体" w:eastAsia="黑体"/>
          <w:b w:val="0"/>
          <w:sz w:val="32"/>
          <w:szCs w:val="32"/>
        </w:rPr>
        <w:t>主要职能</w:t>
      </w:r>
    </w:p>
    <w:p>
      <w:pPr>
        <w:pStyle w:val="5"/>
        <w:keepNext w:val="0"/>
        <w:keepLines w:val="0"/>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加强党的建设。落实基层党建工作责任制，加强党员队伍的思想建设、组织建设、作风建设、制度建设和党风廉政建设；做好党员管理、发展工作，改善党员队伍结构。加强非公有制经济组织和社会组织党建工作，实现党的组织和工作全覆盖；宣传贯彻党的路线方针政策和法律法规，加强党对意识形态和统一战线工作的领导；指导工会、共青团、妇联等群团工作。</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统筹区域发展。制定地方经济社会发展规划和年度计划并组织实施；坚持依法行政，推进民主政治，加强基层政权建设；做好农业、农村、农民和村委会工作，推进乡村振兴；规范经济管理，组织指导经济发展和经济结构调整。</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组织公共服务。加强公共设施建设，开展就业和社会保障等服务，发展科教文卫事业，组织实施与村民生活密切相关的各项公共服务事项，着力解决群众生产生活中的问题；制订公共服务事项目录，加强公共服务体系建设。</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（四）实施公共管理。推进政务、村务公开，抓好卫生健康、人口计划生育工作，实施一票否决制，保障妇女儿童合法权益；加强自然资源管理、生态环境保护和修复工作；负责辖区内统计工作。</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维护公共安全。承担辖区内社会治安综合治理、信访、平安建设、应急管理、安全生产、脱贫攻坚等有关工作；组织抢救救灾，及时上报和处置重大社情等，保护人民群众的生命财产安全；承担民兵预备役、征兵、退役军人服务、拥军优属工作。</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（六）监督执法管理。对辖区内各类行政执法工作进行统筹协调，组织开展群众监督和社会监督。</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（七）动员社会参与。动员辖区内各类单位、社会组织、村民等社会力量参与社会治理，为乡镇发展服务。</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（八）保障村民自治。指导村民委员会建设，健全村民自治平台，组织驻乡单位和村民参与村建设、管理。</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（九）按照管理权限，负责机关和事业单位工作人员的教育、培养、选拔、考核和监督工作；协助管理好派驻单位工作人员。</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（十）依法依规承担下放的经济社会管理权限和行政执法事项。</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（十一）行使《中华人民共和国地方各级人民代表大会和地方各级人民政府组织法》等法律法规赋予的职权。</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（十二）完成市委、市人民政府交办的其他事项。</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十三</w:t>
      </w:r>
      <w:r>
        <w:rPr>
          <w:rFonts w:hint="eastAsia" w:ascii="仿宋_GB2312" w:hAnsi="仿宋_GB2312" w:eastAsia="仿宋_GB2312" w:cs="仿宋_GB2312"/>
          <w:color w:val="000000"/>
          <w:sz w:val="32"/>
          <w:szCs w:val="32"/>
        </w:rPr>
        <w:t>）维护公共安全。承担辖区内社会治安综合治理、信访、平安建设、应急管理、安全生产、脱贫攻坚等有关工作；组织抢救救灾，及时上报和处置重大社情等，保护人民群众的生命财产安全；承担民兵预备役、征兵、退役军人服务、拥军优属工作。</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十四</w:t>
      </w:r>
      <w:r>
        <w:rPr>
          <w:rFonts w:hint="eastAsia" w:ascii="仿宋_GB2312" w:hAnsi="仿宋_GB2312" w:eastAsia="仿宋_GB2312" w:cs="仿宋_GB2312"/>
          <w:color w:val="000000"/>
          <w:sz w:val="32"/>
          <w:szCs w:val="32"/>
        </w:rPr>
        <w:t>）监督执法管理。对辖区内各类行政执法工作进行统筹协调，组织开展群众监督和社会监督。</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十五</w:t>
      </w:r>
      <w:r>
        <w:rPr>
          <w:rFonts w:hint="eastAsia" w:ascii="仿宋_GB2312" w:hAnsi="仿宋_GB2312" w:eastAsia="仿宋_GB2312" w:cs="仿宋_GB2312"/>
          <w:color w:val="000000"/>
          <w:sz w:val="32"/>
          <w:szCs w:val="32"/>
        </w:rPr>
        <w:t>）动员社会参与。动员辖区内各类单位、社会组织、村民等社会力量参与社会治理，为乡镇发展服务。</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十六</w:t>
      </w:r>
      <w:r>
        <w:rPr>
          <w:rFonts w:hint="eastAsia" w:ascii="仿宋_GB2312" w:hAnsi="仿宋_GB2312" w:eastAsia="仿宋_GB2312" w:cs="仿宋_GB2312"/>
          <w:color w:val="000000"/>
          <w:sz w:val="32"/>
          <w:szCs w:val="32"/>
        </w:rPr>
        <w:t>）保障村民自治。指导村民委员会建设，健全村民自治平台，组织驻乡单位和村民参与村建设、管理。</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十七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w w:val="90"/>
          <w:sz w:val="32"/>
          <w:szCs w:val="32"/>
        </w:rPr>
        <w:t>按照管理权限，负责机关和事业单位工作人员的教育、培养、选拔、考核和监督工作；协助管理好派驻单位工作人员。</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w:t>
      </w:r>
      <w:r>
        <w:rPr>
          <w:rFonts w:hint="eastAsia" w:ascii="仿宋_GB2312" w:hAnsi="仿宋_GB2312" w:eastAsia="仿宋_GB2312" w:cs="仿宋_GB2312"/>
          <w:color w:val="000000"/>
          <w:sz w:val="32"/>
          <w:szCs w:val="32"/>
          <w:lang w:val="en-US" w:eastAsia="zh-CN"/>
        </w:rPr>
        <w:t>八</w:t>
      </w:r>
      <w:r>
        <w:rPr>
          <w:rFonts w:hint="eastAsia" w:ascii="仿宋_GB2312" w:hAnsi="仿宋_GB2312" w:eastAsia="仿宋_GB2312" w:cs="仿宋_GB2312"/>
          <w:color w:val="000000"/>
          <w:sz w:val="32"/>
          <w:szCs w:val="32"/>
        </w:rPr>
        <w:t>）依法依规承担下放的经济社会管理权限和行政执法事项。</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w:t>
      </w:r>
      <w:r>
        <w:rPr>
          <w:rFonts w:hint="eastAsia" w:ascii="仿宋_GB2312" w:hAnsi="仿宋_GB2312" w:eastAsia="仿宋_GB2312" w:cs="仿宋_GB2312"/>
          <w:color w:val="000000"/>
          <w:sz w:val="32"/>
          <w:szCs w:val="32"/>
          <w:lang w:val="en-US" w:eastAsia="zh-CN"/>
        </w:rPr>
        <w:t>九</w:t>
      </w:r>
      <w:r>
        <w:rPr>
          <w:rFonts w:hint="eastAsia" w:ascii="仿宋_GB2312" w:hAnsi="仿宋_GB2312" w:eastAsia="仿宋_GB2312" w:cs="仿宋_GB2312"/>
          <w:color w:val="000000"/>
          <w:sz w:val="32"/>
          <w:szCs w:val="32"/>
        </w:rPr>
        <w:t>）行使《中华人民共和国地方各级人民代表大会和地方各级人民政府组织法》等法律法规赋予的职权。</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二十</w:t>
      </w:r>
      <w:r>
        <w:rPr>
          <w:rFonts w:hint="eastAsia" w:ascii="仿宋_GB2312" w:hAnsi="仿宋_GB2312" w:eastAsia="仿宋_GB2312" w:cs="仿宋_GB2312"/>
          <w:color w:val="000000"/>
          <w:sz w:val="32"/>
          <w:szCs w:val="32"/>
        </w:rPr>
        <w:t>）完成市委、市人民政府交办的其他事项。</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库尔勒市托布力其乡人民政府2024年度，实有人数97人，其中：在职人员81人，减少4人；离休人员0人，较上年无变化；退休人员16人，较上年无变化</w:t>
      </w:r>
      <w:r>
        <w:rPr>
          <w:rFonts w:hint="eastAsia" w:ascii="仿宋_GB2312" w:eastAsia="仿宋_GB2312"/>
          <w:b w:val="0"/>
          <w:sz w:val="32"/>
          <w:szCs w:val="32"/>
          <w:lang w:eastAsia="zh-CN"/>
        </w:rPr>
        <w:t>。</w:t>
      </w:r>
    </w:p>
    <w:p>
      <w:pPr>
        <w:pStyle w:val="5"/>
        <w:keepNext w:val="0"/>
        <w:keepLines w:val="0"/>
        <w:pageBreakBefore w:val="0"/>
        <w:kinsoku/>
        <w:wordWrap/>
        <w:overflowPunct/>
        <w:topLinePunct w:val="0"/>
        <w:autoSpaceDE/>
        <w:autoSpaceDN/>
        <w:bidi w:val="0"/>
        <w:adjustRightInd/>
        <w:spacing w:line="560" w:lineRule="exact"/>
        <w:ind w:firstLine="560"/>
        <w:textAlignment w:val="auto"/>
        <w:rPr>
          <w:rFonts w:ascii="仿宋_GB2312" w:eastAsia="仿宋_GB2312"/>
          <w:sz w:val="32"/>
          <w:szCs w:val="32"/>
        </w:rPr>
      </w:pPr>
      <w:r>
        <w:rPr>
          <w:rFonts w:ascii="仿宋_GB2312" w:eastAsia="仿宋_GB2312"/>
          <w:b w:val="0"/>
          <w:sz w:val="32"/>
          <w:szCs w:val="32"/>
        </w:rPr>
        <w:t>库尔勒市托布力其乡人民政府无下属预算单位，库尔勒市托布力其乡人民政府无下属预算单位，下设</w:t>
      </w:r>
      <w:r>
        <w:rPr>
          <w:rFonts w:hint="eastAsia" w:ascii="仿宋_GB2312" w:eastAsia="仿宋_GB2312"/>
          <w:b w:val="0"/>
          <w:sz w:val="32"/>
          <w:szCs w:val="32"/>
          <w:lang w:val="en-US" w:eastAsia="zh-CN"/>
        </w:rPr>
        <w:t>10</w:t>
      </w:r>
      <w:r>
        <w:rPr>
          <w:rFonts w:ascii="仿宋_GB2312" w:eastAsia="仿宋_GB2312"/>
          <w:b w:val="0"/>
          <w:sz w:val="32"/>
          <w:szCs w:val="32"/>
        </w:rPr>
        <w:t>个</w:t>
      </w:r>
      <w:r>
        <w:rPr>
          <w:rFonts w:hint="eastAsia" w:ascii="仿宋_GB2312" w:eastAsia="仿宋_GB2312"/>
          <w:b w:val="0"/>
          <w:sz w:val="32"/>
          <w:szCs w:val="32"/>
          <w:lang w:val="en-US" w:eastAsia="zh-CN"/>
        </w:rPr>
        <w:t>科室</w:t>
      </w:r>
      <w:r>
        <w:rPr>
          <w:rFonts w:ascii="仿宋_GB2312" w:eastAsia="仿宋_GB2312"/>
          <w:b w:val="0"/>
          <w:sz w:val="32"/>
          <w:szCs w:val="32"/>
        </w:rPr>
        <w:t>，</w:t>
      </w:r>
      <w:r>
        <w:rPr>
          <w:rFonts w:hint="eastAsia" w:ascii="仿宋_GB2312" w:hAnsi="仿宋_GB2312" w:eastAsia="仿宋_GB2312" w:cs="仿宋_GB2312"/>
          <w:b w:val="0"/>
          <w:sz w:val="32"/>
          <w:szCs w:val="32"/>
        </w:rPr>
        <w:t>分别是</w:t>
      </w:r>
      <w:r>
        <w:rPr>
          <w:rFonts w:hint="eastAsia" w:ascii="仿宋_GB2312" w:hAnsi="仿宋_GB2312" w:eastAsia="仿宋_GB2312" w:cs="仿宋_GB2312"/>
          <w:color w:val="000000"/>
          <w:sz w:val="32"/>
          <w:szCs w:val="32"/>
        </w:rPr>
        <w:t>五办五中心：“五办”1.党政综合办公室</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2.党建工作办公室</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3.经济发展和财政办公室</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4.社会事务办公室（退役军人服务站）</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5.综合执法办公室</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“五中心”1.农业发展服务中心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2.公共文化服务中心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3.村镇建设发展中心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4.综合和网格化服务中心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5.便民服务中心。</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2024年度收入总计3,201.33万元，其中：本年收入合计3,201.33万元，使用非财政拨款结余（含专用结余）0.00万元，年初结转和结余0.00万元。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2024年度支出总计3,201.33万元，其中：本年支出合计3,201.33万元，结余分配0.00万元，年末结转和结余0.00万元。</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收入支出总体与上年相比，减少5,282.06万元，下降62.26%，主要原因是：</w:t>
      </w:r>
      <w:r>
        <w:rPr>
          <w:rFonts w:hint="eastAsia" w:ascii="仿宋_GB2312" w:eastAsia="仿宋_GB2312"/>
          <w:b w:val="0"/>
          <w:color w:val="auto"/>
          <w:sz w:val="32"/>
          <w:szCs w:val="32"/>
        </w:rPr>
        <w:t>项目资金减少，棉花价格改革补贴专项资金减少</w:t>
      </w:r>
      <w:r>
        <w:rPr>
          <w:rFonts w:ascii="仿宋_GB2312" w:eastAsia="仿宋_GB2312"/>
          <w:b w:val="0"/>
          <w:color w:val="auto"/>
          <w:sz w:val="32"/>
          <w:szCs w:val="32"/>
        </w:rPr>
        <w:t>。</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本年收入3,201.33万元，其中：财政拨款收入3,199.33万元,占99.94%；上级补助收入0.00万元,占0.00%；事业收入0.00万元，占0.00%；经营收入0.00万元,占0.00%；附属单位上缴收入0.00万元，占0.00%；其他收入2.00万元，占0.06%。</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本年支出3,201.33万元，其中：基本支出1,837.83万元，占57.41%；项目支出1,363.50万元，占42.59%；上缴上级支出0.00万元，占0.00%；经营支出0.00万元，占0.00%；对附属单位补助支出0.00万元，占0.00%。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2024年度财政拨款收入总计3,199.33万元，其中：年初财政拨款结转和结余0.00万元，本年财政拨款收入3,199.33万元。财政拨款支出总计3,199.33万元，其中：年末财政拨款结转和结余0.00万元，本年财政拨款支出3,199.33万元。</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财政拨款收入支出总体与上年相比，减少5,284.06万元，下降62.29%，主要原因是：</w:t>
      </w:r>
      <w:r>
        <w:rPr>
          <w:rFonts w:hint="eastAsia" w:ascii="仿宋_GB2312" w:eastAsia="仿宋_GB2312"/>
          <w:b w:val="0"/>
          <w:sz w:val="32"/>
          <w:szCs w:val="32"/>
        </w:rPr>
        <w:t>项目资金减少，棉花价格改革补贴专项资金减少</w:t>
      </w:r>
      <w:r>
        <w:rPr>
          <w:rFonts w:ascii="仿宋_GB2312" w:eastAsia="仿宋_GB2312"/>
          <w:b w:val="0"/>
          <w:sz w:val="32"/>
          <w:szCs w:val="32"/>
        </w:rPr>
        <w:t>。与年初预算相比，年初预算数2,446.60万元，决算数3,199.33万元，预决算差异率30.77%，主要原因是：</w:t>
      </w:r>
      <w:r>
        <w:rPr>
          <w:rFonts w:hint="eastAsia" w:ascii="仿宋_GB2312" w:eastAsia="仿宋_GB2312"/>
          <w:b w:val="0"/>
          <w:sz w:val="32"/>
          <w:szCs w:val="32"/>
          <w:lang w:val="en-US" w:eastAsia="zh-CN"/>
        </w:rPr>
        <w:t>2024年新增项目纳入追加预算、导致预决算差异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3,122.95万元，占本年支出合计的97.55%。与上年相比，减少5,342.44万元，下降63.11%，主要原因是：与年初预算相比，年初预算数2,444.60万元，决算数3,122.95万元，预决算差异率27.75%，主要原因是：</w:t>
      </w:r>
      <w:r>
        <w:rPr>
          <w:rFonts w:hint="eastAsia" w:ascii="仿宋_GB2312" w:eastAsia="仿宋_GB2312"/>
          <w:b w:val="0"/>
          <w:sz w:val="32"/>
          <w:szCs w:val="32"/>
          <w:lang w:val="en-US" w:eastAsia="zh-CN"/>
        </w:rPr>
        <w:t>2024年新增农村粪污一体化处理项目、农村集中供水工程项目、村集体壮大项目增加、导致预决算差异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一般公共服务支出（类）1,395.34万元，占44.68%。</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教育支出（类）3.29万元，占0.11%。</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科学技术支出（类）2.20万元，占0.07%。</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文化旅游体育与传媒支出（类）13.85万元，占0.44%。</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社会保障和就业支出（类）206.45万元，占6.61%。</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卫生健康支出（类）78.82万元，占2.52%。</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农林水支出（类）1,308.22万元，占41.89%。</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住房保障支出（类）107.10万元，占3.43%。</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其他支出（类）7.66万元，占0.25%。</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sz w:val="32"/>
          <w:szCs w:val="32"/>
          <w:lang w:val="en-US" w:eastAsia="zh-CN"/>
        </w:rPr>
        <w:t>1.</w:t>
      </w:r>
      <w:r>
        <w:rPr>
          <w:rFonts w:ascii="仿宋_GB2312" w:eastAsia="仿宋_GB2312"/>
          <w:b w:val="0"/>
          <w:sz w:val="32"/>
          <w:szCs w:val="32"/>
        </w:rPr>
        <w:t>一般公共服务支出（类）人大事务（款）代表工作（项）：支出决算数为0.35万元，比上年决算减少1.36万元，</w:t>
      </w:r>
      <w:r>
        <w:rPr>
          <w:rFonts w:ascii="仿宋_GB2312" w:eastAsia="仿宋_GB2312"/>
          <w:b w:val="0"/>
          <w:color w:val="auto"/>
          <w:sz w:val="32"/>
          <w:szCs w:val="32"/>
        </w:rPr>
        <w:t>下降79.53%，主要原因是：</w:t>
      </w:r>
      <w:r>
        <w:rPr>
          <w:rFonts w:hint="eastAsia" w:ascii="仿宋_GB2312" w:eastAsia="仿宋_GB2312"/>
          <w:b w:val="0"/>
          <w:color w:val="auto"/>
          <w:sz w:val="32"/>
          <w:szCs w:val="32"/>
          <w:lang w:val="en-US" w:eastAsia="zh-CN"/>
        </w:rPr>
        <w:t>人大代表活动次数减少、导致相关费用减少。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w:t>
      </w:r>
      <w:r>
        <w:rPr>
          <w:rFonts w:ascii="仿宋_GB2312" w:eastAsia="仿宋_GB2312"/>
          <w:b w:val="0"/>
          <w:color w:val="auto"/>
          <w:sz w:val="32"/>
          <w:szCs w:val="32"/>
        </w:rPr>
        <w:t>一般公共服务支出（类）人大事务（款）其他人大事务支出（项）：支出决算数为3.00万元，比上年决算增加3.00万元，增长100.00%，主要原因是：</w:t>
      </w:r>
      <w:r>
        <w:rPr>
          <w:rFonts w:hint="eastAsia" w:ascii="仿宋_GB2312" w:eastAsia="仿宋_GB2312"/>
          <w:b w:val="0"/>
          <w:color w:val="auto"/>
          <w:sz w:val="32"/>
          <w:szCs w:val="32"/>
          <w:lang w:val="en-US" w:eastAsia="zh-CN"/>
        </w:rPr>
        <w:t>人大代表活动经费项目。</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3.</w:t>
      </w:r>
      <w:r>
        <w:rPr>
          <w:rFonts w:ascii="仿宋_GB2312" w:eastAsia="仿宋_GB2312"/>
          <w:b w:val="0"/>
          <w:color w:val="auto"/>
          <w:sz w:val="32"/>
          <w:szCs w:val="32"/>
        </w:rPr>
        <w:t>一般公共服务支出（类）政府办公厅（室）及相关机构事务（款）行政运行（项）：支出决算数为1,290.35万元，比上年决算减少57.95万元，下降4.30%，主要原因是：</w:t>
      </w:r>
      <w:r>
        <w:rPr>
          <w:rFonts w:hint="eastAsia" w:ascii="仿宋_GB2312" w:eastAsia="仿宋_GB2312"/>
          <w:b w:val="0"/>
          <w:color w:val="auto"/>
          <w:sz w:val="32"/>
          <w:szCs w:val="32"/>
          <w:lang w:val="en-US" w:eastAsia="zh-CN"/>
        </w:rPr>
        <w:t>2024年4名干部减少、一名干部退休、公益性岗位人员减少。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highlight w:val="yellow"/>
          <w:lang w:val="en-US" w:eastAsia="zh-CN"/>
        </w:rPr>
      </w:pPr>
      <w:r>
        <w:rPr>
          <w:rFonts w:hint="eastAsia" w:ascii="仿宋_GB2312" w:eastAsia="仿宋_GB2312"/>
          <w:b w:val="0"/>
          <w:color w:val="auto"/>
          <w:sz w:val="32"/>
          <w:szCs w:val="32"/>
          <w:lang w:val="en-US" w:eastAsia="zh-CN"/>
        </w:rPr>
        <w:t>4.</w:t>
      </w:r>
      <w:r>
        <w:rPr>
          <w:rFonts w:ascii="仿宋_GB2312" w:eastAsia="仿宋_GB2312"/>
          <w:b w:val="0"/>
          <w:color w:val="auto"/>
          <w:sz w:val="32"/>
          <w:szCs w:val="32"/>
        </w:rPr>
        <w:t>一般公共服务支出（类）政府办公厅（室）及相关机构事务（款）其他政府办公厅（室）及相关机构事务支出（项）：支出决算数为12.73万元，比上年决算减少64.85万元，下降83.59%，主要原因是：</w:t>
      </w:r>
      <w:r>
        <w:rPr>
          <w:rFonts w:hint="eastAsia" w:ascii="仿宋_GB2312" w:eastAsia="仿宋_GB2312"/>
          <w:b w:val="0"/>
          <w:color w:val="auto"/>
          <w:sz w:val="32"/>
          <w:szCs w:val="32"/>
          <w:highlight w:val="none"/>
          <w:lang w:val="en-US" w:eastAsia="zh-CN"/>
        </w:rPr>
        <w:t>2024年预算安排征收经费（土地租赁金返还金）和隔离餐费支出减少。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5.</w:t>
      </w:r>
      <w:r>
        <w:rPr>
          <w:rFonts w:ascii="仿宋_GB2312" w:eastAsia="仿宋_GB2312"/>
          <w:b w:val="0"/>
          <w:color w:val="auto"/>
          <w:sz w:val="32"/>
          <w:szCs w:val="32"/>
        </w:rPr>
        <w:t>一般公共服务支出（类）纪检监察事务（款）其他纪检监察事务支出（项）：支出决算数为2.00万元，比上年决算增加0.50万元，增长33.33%，主要原因是：</w:t>
      </w:r>
      <w:r>
        <w:rPr>
          <w:rFonts w:hint="eastAsia" w:ascii="仿宋_GB2312" w:eastAsia="仿宋_GB2312"/>
          <w:b w:val="0"/>
          <w:color w:val="auto"/>
          <w:sz w:val="32"/>
          <w:szCs w:val="32"/>
          <w:lang w:val="en-US" w:eastAsia="zh-CN"/>
        </w:rPr>
        <w:t>乡纪检工作经费增加。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6.</w:t>
      </w:r>
      <w:r>
        <w:rPr>
          <w:rFonts w:ascii="仿宋_GB2312" w:eastAsia="仿宋_GB2312"/>
          <w:b w:val="0"/>
          <w:color w:val="auto"/>
          <w:sz w:val="32"/>
          <w:szCs w:val="32"/>
        </w:rPr>
        <w:t>一般公共服务支出（类）组织事务（款）其他组织事务支出（项）：支出决算数为85.91万元，比上年决算减少19.47万元，下降18.48%，主要原因是：</w:t>
      </w:r>
      <w:r>
        <w:rPr>
          <w:rFonts w:hint="eastAsia" w:ascii="仿宋_GB2312" w:eastAsia="仿宋_GB2312"/>
          <w:b w:val="0"/>
          <w:color w:val="auto"/>
          <w:sz w:val="32"/>
          <w:szCs w:val="32"/>
          <w:lang w:val="en-US" w:eastAsia="zh-CN"/>
        </w:rPr>
        <w:t>访惠聚工作队人员减少、生活补助相应减少。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7.</w:t>
      </w:r>
      <w:r>
        <w:rPr>
          <w:rFonts w:ascii="仿宋_GB2312" w:eastAsia="仿宋_GB2312"/>
          <w:b w:val="0"/>
          <w:color w:val="auto"/>
          <w:sz w:val="32"/>
          <w:szCs w:val="32"/>
        </w:rPr>
        <w:t>一般公共服务支出（类）宣传事务（款）其他宣传事务支出（项）：支出决算数为1.00万元，比上年决算增加0.56万元，增长127.27%，主要原因是：</w:t>
      </w:r>
      <w:r>
        <w:rPr>
          <w:rFonts w:hint="eastAsia" w:ascii="仿宋_GB2312" w:eastAsia="仿宋_GB2312"/>
          <w:b w:val="0"/>
          <w:color w:val="auto"/>
          <w:sz w:val="32"/>
          <w:szCs w:val="32"/>
          <w:lang w:val="en-US" w:eastAsia="zh-CN"/>
        </w:rPr>
        <w:t>2024年</w:t>
      </w:r>
      <w:r>
        <w:rPr>
          <w:rFonts w:hint="eastAsia" w:ascii="仿宋_GB2312" w:eastAsia="仿宋_GB2312"/>
          <w:b w:val="0"/>
          <w:color w:val="auto"/>
          <w:sz w:val="32"/>
          <w:szCs w:val="32"/>
        </w:rPr>
        <w:t>"扫黑打非"办公室工作经费</w:t>
      </w:r>
      <w:r>
        <w:rPr>
          <w:rFonts w:hint="eastAsia" w:ascii="仿宋_GB2312" w:eastAsia="仿宋_GB2312"/>
          <w:b w:val="0"/>
          <w:color w:val="auto"/>
          <w:sz w:val="32"/>
          <w:szCs w:val="32"/>
          <w:lang w:val="en-US" w:eastAsia="zh-CN"/>
        </w:rPr>
        <w:t>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ascii="仿宋_GB2312" w:eastAsia="仿宋_GB2312"/>
          <w:color w:val="auto"/>
          <w:sz w:val="32"/>
          <w:szCs w:val="32"/>
        </w:rPr>
      </w:pPr>
      <w:r>
        <w:rPr>
          <w:rFonts w:hint="eastAsia" w:ascii="仿宋_GB2312" w:eastAsia="仿宋_GB2312"/>
          <w:b w:val="0"/>
          <w:color w:val="auto"/>
          <w:sz w:val="32"/>
          <w:szCs w:val="32"/>
          <w:lang w:val="en-US" w:eastAsia="zh-CN"/>
        </w:rPr>
        <w:t>8.</w:t>
      </w:r>
      <w:r>
        <w:rPr>
          <w:rFonts w:ascii="仿宋_GB2312" w:eastAsia="仿宋_GB2312"/>
          <w:b w:val="0"/>
          <w:color w:val="auto"/>
          <w:sz w:val="32"/>
          <w:szCs w:val="32"/>
        </w:rPr>
        <w:t>一般公共服务支出（类）统战事务（款）宗教事务（项）：支出决算数为0.00万元，比上年决算减少2.21万元，下降100.00%，主要原因是：</w:t>
      </w:r>
      <w:r>
        <w:rPr>
          <w:rFonts w:hint="eastAsia" w:ascii="仿宋_GB2312" w:eastAsia="仿宋_GB2312"/>
          <w:b w:val="0"/>
          <w:color w:val="auto"/>
          <w:sz w:val="32"/>
          <w:szCs w:val="32"/>
          <w:lang w:val="en-US" w:eastAsia="zh-CN"/>
        </w:rPr>
        <w:t>驻村管寺管委会工作经费减少。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ascii="仿宋_GB2312" w:eastAsia="仿宋_GB2312"/>
          <w:color w:val="auto"/>
          <w:sz w:val="32"/>
          <w:szCs w:val="32"/>
        </w:rPr>
      </w:pPr>
      <w:r>
        <w:rPr>
          <w:rFonts w:hint="eastAsia" w:ascii="仿宋_GB2312" w:eastAsia="仿宋_GB2312"/>
          <w:b w:val="0"/>
          <w:color w:val="auto"/>
          <w:sz w:val="32"/>
          <w:szCs w:val="32"/>
          <w:lang w:val="en-US" w:eastAsia="zh-CN"/>
        </w:rPr>
        <w:t>9.</w:t>
      </w:r>
      <w:r>
        <w:rPr>
          <w:rFonts w:ascii="仿宋_GB2312" w:eastAsia="仿宋_GB2312"/>
          <w:b w:val="0"/>
          <w:color w:val="auto"/>
          <w:sz w:val="32"/>
          <w:szCs w:val="32"/>
        </w:rPr>
        <w:t>一般公共服务支出（类）统战事务（款）其他统战事务支出（项）：支出决算数为0.00万元，比上年决算减少6.43万元，下降100.00%，主要原因是：</w:t>
      </w:r>
      <w:r>
        <w:rPr>
          <w:rFonts w:hint="eastAsia" w:ascii="仿宋_GB2312" w:eastAsia="仿宋_GB2312"/>
          <w:b w:val="0"/>
          <w:color w:val="auto"/>
          <w:sz w:val="32"/>
          <w:szCs w:val="32"/>
          <w:lang w:val="en-US" w:eastAsia="zh-CN"/>
        </w:rPr>
        <w:t>驻村管寺管委会工作人员减少、生活补助相应减少。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10.</w:t>
      </w:r>
      <w:r>
        <w:rPr>
          <w:rFonts w:ascii="仿宋_GB2312" w:eastAsia="仿宋_GB2312"/>
          <w:b w:val="0"/>
          <w:color w:val="auto"/>
          <w:sz w:val="32"/>
          <w:szCs w:val="32"/>
        </w:rPr>
        <w:t>教育支出（类）进修及培训（款）培训支出（项）：支出决算数为3.29万元，比上年决算增加1.31万元，增长66.16%，主要原因是：</w:t>
      </w:r>
      <w:r>
        <w:rPr>
          <w:rFonts w:hint="eastAsia" w:ascii="仿宋_GB2312" w:eastAsia="仿宋_GB2312"/>
          <w:b w:val="0"/>
          <w:color w:val="auto"/>
          <w:sz w:val="32"/>
          <w:szCs w:val="32"/>
          <w:lang w:val="en-US" w:eastAsia="zh-CN"/>
        </w:rPr>
        <w:t>干部培训次数比去年增加。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11.</w:t>
      </w:r>
      <w:r>
        <w:rPr>
          <w:rFonts w:ascii="仿宋_GB2312" w:eastAsia="仿宋_GB2312"/>
          <w:b w:val="0"/>
          <w:color w:val="auto"/>
          <w:sz w:val="32"/>
          <w:szCs w:val="32"/>
        </w:rPr>
        <w:t>科学技术支出（类）科学技术普及（款）科普活动（项）：支出决算数为2.20万元，比上年决算增加2.20万元，增长100.00%，主要原因是：</w:t>
      </w:r>
      <w:r>
        <w:rPr>
          <w:rFonts w:hint="eastAsia" w:ascii="仿宋_GB2312" w:eastAsia="仿宋_GB2312"/>
          <w:b w:val="0"/>
          <w:color w:val="auto"/>
          <w:sz w:val="32"/>
          <w:szCs w:val="32"/>
        </w:rPr>
        <w:t>乡村科普馆运行管理资金</w:t>
      </w:r>
      <w:r>
        <w:rPr>
          <w:rFonts w:hint="eastAsia" w:ascii="仿宋_GB2312" w:eastAsia="仿宋_GB2312"/>
          <w:b w:val="0"/>
          <w:color w:val="auto"/>
          <w:sz w:val="32"/>
          <w:szCs w:val="32"/>
          <w:lang w:val="en-US" w:eastAsia="zh-CN"/>
        </w:rPr>
        <w:t>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12.</w:t>
      </w:r>
      <w:r>
        <w:rPr>
          <w:rFonts w:ascii="仿宋_GB2312" w:eastAsia="仿宋_GB2312"/>
          <w:b w:val="0"/>
          <w:color w:val="auto"/>
          <w:sz w:val="32"/>
          <w:szCs w:val="32"/>
        </w:rPr>
        <w:t>文化旅游体育与传媒支出（类）文化和旅游（款）其他文化和旅游支出（项）：支出决算数为5.89万元，比上年决算增加5.36万元，增长1,011.32%，主要原因是：</w:t>
      </w:r>
      <w:r>
        <w:rPr>
          <w:rFonts w:hint="eastAsia" w:ascii="仿宋_GB2312" w:eastAsia="仿宋_GB2312"/>
          <w:b w:val="0"/>
          <w:color w:val="auto"/>
          <w:sz w:val="32"/>
          <w:szCs w:val="32"/>
          <w:lang w:val="en-US" w:eastAsia="zh-CN"/>
        </w:rPr>
        <w:t>乡村文化活动增加、相关费用增加。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ascii="仿宋_GB2312" w:eastAsia="仿宋_GB2312"/>
          <w:color w:val="auto"/>
          <w:sz w:val="32"/>
          <w:szCs w:val="32"/>
        </w:rPr>
      </w:pPr>
      <w:r>
        <w:rPr>
          <w:rFonts w:hint="eastAsia" w:ascii="仿宋_GB2312" w:eastAsia="仿宋_GB2312"/>
          <w:b w:val="0"/>
          <w:color w:val="auto"/>
          <w:sz w:val="32"/>
          <w:szCs w:val="32"/>
          <w:lang w:val="en-US" w:eastAsia="zh-CN"/>
        </w:rPr>
        <w:t>13.</w:t>
      </w:r>
      <w:r>
        <w:rPr>
          <w:rFonts w:ascii="仿宋_GB2312" w:eastAsia="仿宋_GB2312"/>
          <w:b w:val="0"/>
          <w:color w:val="auto"/>
          <w:sz w:val="32"/>
          <w:szCs w:val="32"/>
        </w:rPr>
        <w:t>文化旅游体育与传媒支出（类）其他文化旅游体育与传媒支出（款）其他文化旅游体育与传媒支出（项）：支出决算数为7.97万元，比上年决算增加7.97万元，增长100.00%，主要原因是：</w:t>
      </w:r>
      <w:r>
        <w:rPr>
          <w:rFonts w:hint="eastAsia" w:ascii="仿宋_GB2312" w:eastAsia="仿宋_GB2312"/>
          <w:b w:val="0"/>
          <w:color w:val="auto"/>
          <w:sz w:val="32"/>
          <w:szCs w:val="32"/>
          <w:lang w:val="en-US" w:eastAsia="zh-CN"/>
        </w:rPr>
        <w:t>乡村文化活动增加、相关费用增加。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14.</w:t>
      </w:r>
      <w:r>
        <w:rPr>
          <w:rFonts w:ascii="仿宋_GB2312" w:eastAsia="仿宋_GB2312"/>
          <w:b w:val="0"/>
          <w:color w:val="auto"/>
          <w:sz w:val="32"/>
          <w:szCs w:val="32"/>
        </w:rPr>
        <w:t>社会保障和就业支出（类）行政事业单位养老支出（款）行政单位离退休（项）：支出决算数为41.62万元，比上年决算增加33.67万元，增长423.52%，主要原因是：</w:t>
      </w:r>
      <w:r>
        <w:rPr>
          <w:rFonts w:hint="eastAsia" w:ascii="仿宋_GB2312" w:eastAsia="仿宋_GB2312"/>
          <w:b w:val="0"/>
          <w:color w:val="auto"/>
          <w:sz w:val="32"/>
          <w:szCs w:val="32"/>
          <w:lang w:val="en-US" w:eastAsia="zh-CN"/>
        </w:rPr>
        <w:t>退休人员增加，绩效奖增加。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15.</w:t>
      </w:r>
      <w:r>
        <w:rPr>
          <w:rFonts w:ascii="仿宋_GB2312" w:eastAsia="仿宋_GB2312"/>
          <w:b w:val="0"/>
          <w:color w:val="auto"/>
          <w:sz w:val="32"/>
          <w:szCs w:val="32"/>
        </w:rPr>
        <w:t>社会保障和就业支出（类）行政事业单位养老支出（款）机关事业单位基本养老保险缴费支出（项）：支出决算数为139.29万元，比上年决算增加6.84万元，增长5.16%，主要原因是：</w:t>
      </w:r>
      <w:r>
        <w:rPr>
          <w:rFonts w:hint="eastAsia" w:ascii="仿宋_GB2312" w:eastAsia="仿宋_GB2312"/>
          <w:b w:val="0"/>
          <w:color w:val="auto"/>
          <w:sz w:val="32"/>
          <w:szCs w:val="32"/>
          <w:lang w:val="en-US" w:eastAsia="zh-CN"/>
        </w:rPr>
        <w:t>人员工资增加、职工养老保险相应增加。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ascii="仿宋_GB2312" w:eastAsia="仿宋_GB2312"/>
          <w:color w:val="auto"/>
          <w:sz w:val="32"/>
          <w:szCs w:val="32"/>
        </w:rPr>
      </w:pPr>
      <w:r>
        <w:rPr>
          <w:rFonts w:hint="eastAsia" w:ascii="仿宋_GB2312" w:eastAsia="仿宋_GB2312"/>
          <w:b w:val="0"/>
          <w:color w:val="auto"/>
          <w:sz w:val="32"/>
          <w:szCs w:val="32"/>
          <w:lang w:val="en-US" w:eastAsia="zh-CN"/>
        </w:rPr>
        <w:t>16.</w:t>
      </w:r>
      <w:r>
        <w:rPr>
          <w:rFonts w:ascii="仿宋_GB2312" w:eastAsia="仿宋_GB2312"/>
          <w:b w:val="0"/>
          <w:color w:val="auto"/>
          <w:sz w:val="32"/>
          <w:szCs w:val="32"/>
        </w:rPr>
        <w:t>社会保障和就业支出（类）行政事业单位养老支出（款）机关事业单位职业年金缴费支出（项）：支出决算数为7.39万元，比上年决算减少5.23万元，下降41.44%，主要原因是：</w:t>
      </w:r>
      <w:r>
        <w:rPr>
          <w:rFonts w:hint="eastAsia" w:ascii="仿宋_GB2312" w:eastAsia="仿宋_GB2312"/>
          <w:b w:val="0"/>
          <w:color w:val="auto"/>
          <w:sz w:val="32"/>
          <w:szCs w:val="32"/>
          <w:lang w:val="en-US" w:eastAsia="zh-CN"/>
        </w:rPr>
        <w:t>退休人员增加、职工职业年金相应增加。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17.</w:t>
      </w:r>
      <w:r>
        <w:rPr>
          <w:rFonts w:ascii="仿宋_GB2312" w:eastAsia="仿宋_GB2312"/>
          <w:b w:val="0"/>
          <w:color w:val="auto"/>
          <w:sz w:val="32"/>
          <w:szCs w:val="32"/>
        </w:rPr>
        <w:t>社会保障和就业支出（类）就业补助（款）公益性岗位补贴（项）：支出决算数为0.00万元，比上年决算减少44.22万元，下降100.00%，主要原因是：公益性岗位补贴（项）</w:t>
      </w:r>
      <w:r>
        <w:rPr>
          <w:rFonts w:hint="eastAsia" w:ascii="仿宋_GB2312" w:eastAsia="仿宋_GB2312"/>
          <w:b w:val="0"/>
          <w:color w:val="auto"/>
          <w:sz w:val="32"/>
          <w:szCs w:val="32"/>
          <w:lang w:val="en-US" w:eastAsia="zh-CN"/>
        </w:rPr>
        <w:t>进行调整科目。</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b w:val="0"/>
          <w:color w:val="auto"/>
          <w:sz w:val="32"/>
          <w:szCs w:val="32"/>
          <w:lang w:val="en-US" w:eastAsia="zh-CN"/>
        </w:rPr>
        <w:t>18.</w:t>
      </w:r>
      <w:r>
        <w:rPr>
          <w:rFonts w:ascii="仿宋_GB2312" w:eastAsia="仿宋_GB2312"/>
          <w:b w:val="0"/>
          <w:color w:val="auto"/>
          <w:sz w:val="32"/>
          <w:szCs w:val="32"/>
        </w:rPr>
        <w:t>社会保障和就业支出（类）其他生活救助（款）其他农村生活救助（项）：支出决算数为18.15万元，比上年决算增加18.15万元，增长100.00%，主要原因是：</w:t>
      </w:r>
      <w:r>
        <w:rPr>
          <w:rFonts w:hint="eastAsia" w:ascii="仿宋_GB2312" w:eastAsia="仿宋_GB2312"/>
          <w:b w:val="0"/>
          <w:color w:val="auto"/>
          <w:sz w:val="32"/>
          <w:szCs w:val="32"/>
        </w:rPr>
        <w:t>困难家庭冬季采暖救助</w:t>
      </w:r>
      <w:r>
        <w:rPr>
          <w:rFonts w:hint="eastAsia" w:ascii="仿宋_GB2312" w:eastAsia="仿宋_GB2312"/>
          <w:b w:val="0"/>
          <w:color w:val="auto"/>
          <w:sz w:val="32"/>
          <w:szCs w:val="32"/>
          <w:lang w:val="en-US" w:eastAsia="zh-CN"/>
        </w:rPr>
        <w:t>项目增加</w:t>
      </w:r>
      <w:r>
        <w:rPr>
          <w:rFonts w:hint="eastAsia" w:ascii="仿宋_GB2312" w:eastAsia="仿宋_GB2312"/>
          <w:b w:val="0"/>
          <w:color w:val="auto"/>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19.</w:t>
      </w:r>
      <w:r>
        <w:rPr>
          <w:rFonts w:ascii="仿宋_GB2312" w:eastAsia="仿宋_GB2312"/>
          <w:b w:val="0"/>
          <w:color w:val="auto"/>
          <w:sz w:val="32"/>
          <w:szCs w:val="32"/>
        </w:rPr>
        <w:t>卫生健康支出（类）公共卫生（款）突发公共卫生事件应急处置（项）：支出决算数为0.00万元，比上年决算减少32.51万元，下降100.00%，主要原因是：</w:t>
      </w:r>
      <w:r>
        <w:rPr>
          <w:rFonts w:hint="eastAsia" w:ascii="仿宋_GB2312" w:eastAsia="仿宋_GB2312"/>
          <w:b w:val="0"/>
          <w:color w:val="auto"/>
          <w:sz w:val="32"/>
          <w:szCs w:val="32"/>
        </w:rPr>
        <w:t>疫情防控补助资金</w:t>
      </w:r>
      <w:r>
        <w:rPr>
          <w:rFonts w:hint="eastAsia" w:ascii="仿宋_GB2312" w:eastAsia="仿宋_GB2312"/>
          <w:b w:val="0"/>
          <w:color w:val="auto"/>
          <w:sz w:val="32"/>
          <w:szCs w:val="32"/>
          <w:lang w:val="en-US" w:eastAsia="zh-CN"/>
        </w:rPr>
        <w:t>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20.</w:t>
      </w:r>
      <w:r>
        <w:rPr>
          <w:rFonts w:ascii="仿宋_GB2312" w:eastAsia="仿宋_GB2312"/>
          <w:b w:val="0"/>
          <w:color w:val="auto"/>
          <w:sz w:val="32"/>
          <w:szCs w:val="32"/>
        </w:rPr>
        <w:t>卫生健康支出（类）行政事业单位医疗（款）行政单位医疗（项）：支出决算数为69.96万元，比上年决算减少2.41万元，下降3.33%，主要原因是：</w:t>
      </w:r>
      <w:r>
        <w:rPr>
          <w:rFonts w:hint="eastAsia" w:ascii="仿宋_GB2312" w:eastAsia="仿宋_GB2312"/>
          <w:b w:val="0"/>
          <w:color w:val="auto"/>
          <w:sz w:val="32"/>
          <w:szCs w:val="32"/>
        </w:rPr>
        <w:t>2名</w:t>
      </w:r>
      <w:r>
        <w:rPr>
          <w:rFonts w:hint="eastAsia" w:ascii="仿宋_GB2312" w:eastAsia="仿宋_GB2312"/>
          <w:b w:val="0"/>
          <w:color w:val="auto"/>
          <w:sz w:val="32"/>
          <w:szCs w:val="32"/>
          <w:lang w:val="en-US" w:eastAsia="zh-CN"/>
        </w:rPr>
        <w:t>公务员</w:t>
      </w:r>
      <w:r>
        <w:rPr>
          <w:rFonts w:hint="eastAsia" w:ascii="仿宋_GB2312" w:eastAsia="仿宋_GB2312"/>
          <w:b w:val="0"/>
          <w:color w:val="auto"/>
          <w:sz w:val="32"/>
          <w:szCs w:val="32"/>
        </w:rPr>
        <w:t>调走</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一名干部退休，导致行政单位医疗减少。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ascii="仿宋_GB2312" w:eastAsia="仿宋_GB2312"/>
          <w:color w:val="auto"/>
          <w:sz w:val="32"/>
          <w:szCs w:val="32"/>
        </w:rPr>
      </w:pPr>
      <w:r>
        <w:rPr>
          <w:rFonts w:hint="eastAsia" w:ascii="仿宋_GB2312" w:eastAsia="仿宋_GB2312"/>
          <w:b w:val="0"/>
          <w:color w:val="auto"/>
          <w:sz w:val="32"/>
          <w:szCs w:val="32"/>
          <w:lang w:val="en-US" w:eastAsia="zh-CN"/>
        </w:rPr>
        <w:t>21.</w:t>
      </w:r>
      <w:r>
        <w:rPr>
          <w:rFonts w:ascii="仿宋_GB2312" w:eastAsia="仿宋_GB2312"/>
          <w:b w:val="0"/>
          <w:color w:val="auto"/>
          <w:sz w:val="32"/>
          <w:szCs w:val="32"/>
        </w:rPr>
        <w:t>卫生健康支出（类）行政事业单位医疗（款）公务员医疗补助（项）：支出决算数为8.87万元，比上年决算减少1.80万元，下降16.87%，主要原因是：</w:t>
      </w:r>
      <w:r>
        <w:rPr>
          <w:rFonts w:hint="eastAsia" w:ascii="仿宋_GB2312" w:eastAsia="仿宋_GB2312"/>
          <w:b w:val="0"/>
          <w:color w:val="auto"/>
          <w:sz w:val="32"/>
          <w:szCs w:val="32"/>
        </w:rPr>
        <w:t>2名</w:t>
      </w:r>
      <w:r>
        <w:rPr>
          <w:rFonts w:hint="eastAsia" w:ascii="仿宋_GB2312" w:eastAsia="仿宋_GB2312"/>
          <w:b w:val="0"/>
          <w:color w:val="auto"/>
          <w:sz w:val="32"/>
          <w:szCs w:val="32"/>
          <w:lang w:val="en-US" w:eastAsia="zh-CN"/>
        </w:rPr>
        <w:t>公务员</w:t>
      </w:r>
      <w:r>
        <w:rPr>
          <w:rFonts w:hint="eastAsia" w:ascii="仿宋_GB2312" w:eastAsia="仿宋_GB2312"/>
          <w:b w:val="0"/>
          <w:color w:val="auto"/>
          <w:sz w:val="32"/>
          <w:szCs w:val="32"/>
        </w:rPr>
        <w:t>调走</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一名干部退休、导致行政单位医疗减少。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22.</w:t>
      </w:r>
      <w:r>
        <w:rPr>
          <w:rFonts w:ascii="仿宋_GB2312" w:eastAsia="仿宋_GB2312"/>
          <w:b w:val="0"/>
          <w:color w:val="auto"/>
          <w:sz w:val="32"/>
          <w:szCs w:val="32"/>
        </w:rPr>
        <w:t>农林水支出（类）林业和草原（款）其他林业和草原支出（项）：支出决算数为47.10万元，比上年决算增加47.10万元，增长100.00%，主要原因是：</w:t>
      </w:r>
      <w:r>
        <w:rPr>
          <w:rFonts w:hint="eastAsia" w:ascii="仿宋_GB2312" w:eastAsia="仿宋_GB2312"/>
          <w:b w:val="0"/>
          <w:color w:val="auto"/>
          <w:sz w:val="32"/>
          <w:szCs w:val="32"/>
        </w:rPr>
        <w:t>林业发展补助资金-乡村绿化美化</w:t>
      </w:r>
      <w:r>
        <w:rPr>
          <w:rFonts w:hint="eastAsia" w:ascii="仿宋_GB2312" w:eastAsia="仿宋_GB2312"/>
          <w:b w:val="0"/>
          <w:color w:val="auto"/>
          <w:sz w:val="32"/>
          <w:szCs w:val="32"/>
          <w:lang w:val="en-US" w:eastAsia="zh-CN"/>
        </w:rPr>
        <w:t>专项资金增加。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b w:val="0"/>
          <w:color w:val="auto"/>
          <w:sz w:val="32"/>
          <w:szCs w:val="32"/>
          <w:lang w:val="en-US" w:eastAsia="zh-CN"/>
        </w:rPr>
      </w:pPr>
      <w:r>
        <w:rPr>
          <w:rFonts w:hint="eastAsia" w:ascii="仿宋_GB2312" w:eastAsia="仿宋_GB2312"/>
          <w:b w:val="0"/>
          <w:color w:val="auto"/>
          <w:sz w:val="32"/>
          <w:szCs w:val="32"/>
          <w:lang w:val="en-US" w:eastAsia="zh-CN"/>
        </w:rPr>
        <w:t>23.</w:t>
      </w:r>
      <w:r>
        <w:rPr>
          <w:rFonts w:ascii="仿宋_GB2312" w:eastAsia="仿宋_GB2312"/>
          <w:b w:val="0"/>
          <w:color w:val="auto"/>
          <w:sz w:val="32"/>
          <w:szCs w:val="32"/>
        </w:rPr>
        <w:t>农林水支出（类）巩固脱贫攻坚成果衔接乡村振兴（款）农村基础设施建设（项）：支出决算数为476.72万元，比上年决算减少523.28万元，下降52.33%，主要原因是：</w:t>
      </w:r>
      <w:r>
        <w:rPr>
          <w:rFonts w:hint="eastAsia" w:ascii="仿宋_GB2312" w:eastAsia="仿宋_GB2312"/>
          <w:b w:val="0"/>
          <w:color w:val="auto"/>
          <w:sz w:val="32"/>
          <w:szCs w:val="32"/>
          <w:lang w:val="en-US" w:eastAsia="zh-CN"/>
        </w:rPr>
        <w:t>2024年乡村振兴项目基础设施建设资金减少。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24.</w:t>
      </w:r>
      <w:r>
        <w:rPr>
          <w:rFonts w:ascii="仿宋_GB2312" w:eastAsia="仿宋_GB2312"/>
          <w:b w:val="0"/>
          <w:color w:val="auto"/>
          <w:sz w:val="32"/>
          <w:szCs w:val="32"/>
        </w:rPr>
        <w:t>农林水支出（类）巩固脱贫攻坚成果衔接乡村振兴（款）生产发展（项）：支出决算数为679.24万元，比上年决算增加29.24万元，增长4.50%，主要原因是：</w:t>
      </w:r>
      <w:r>
        <w:rPr>
          <w:rFonts w:hint="eastAsia" w:ascii="仿宋_GB2312" w:eastAsia="仿宋_GB2312"/>
          <w:b w:val="0"/>
          <w:color w:val="auto"/>
          <w:sz w:val="32"/>
          <w:szCs w:val="32"/>
          <w:lang w:eastAsia="zh-CN"/>
        </w:rPr>
        <w:t>壮大村集体经济项目</w:t>
      </w:r>
      <w:r>
        <w:rPr>
          <w:rFonts w:hint="eastAsia" w:ascii="仿宋_GB2312" w:eastAsia="仿宋_GB2312"/>
          <w:b w:val="0"/>
          <w:color w:val="auto"/>
          <w:sz w:val="32"/>
          <w:szCs w:val="32"/>
          <w:lang w:val="en-US" w:eastAsia="zh-CN"/>
        </w:rPr>
        <w:t>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25.</w:t>
      </w:r>
      <w:r>
        <w:rPr>
          <w:rFonts w:ascii="仿宋_GB2312" w:eastAsia="仿宋_GB2312"/>
          <w:b w:val="0"/>
          <w:color w:val="auto"/>
          <w:sz w:val="32"/>
          <w:szCs w:val="32"/>
        </w:rPr>
        <w:t>农林水支出（类）巩固脱贫攻坚成果衔接乡村振兴（款）其他巩固脱贫攻坚成果衔接乡村振兴支出（项）：支出决算数为25.53万元，比上年决算减少9.21万元，下降26.51%，主要原因是：</w:t>
      </w:r>
      <w:r>
        <w:rPr>
          <w:rFonts w:hint="eastAsia" w:ascii="仿宋_GB2312" w:eastAsia="仿宋_GB2312"/>
          <w:b w:val="0"/>
          <w:color w:val="auto"/>
          <w:sz w:val="32"/>
          <w:szCs w:val="32"/>
        </w:rPr>
        <w:t>乡村振兴专干</w:t>
      </w:r>
      <w:r>
        <w:rPr>
          <w:rFonts w:hint="eastAsia" w:ascii="仿宋_GB2312" w:eastAsia="仿宋_GB2312"/>
          <w:b w:val="0"/>
          <w:color w:val="auto"/>
          <w:sz w:val="32"/>
          <w:szCs w:val="32"/>
          <w:lang w:val="en-US" w:eastAsia="zh-CN"/>
        </w:rPr>
        <w:t>减少、</w:t>
      </w:r>
      <w:r>
        <w:rPr>
          <w:rFonts w:hint="eastAsia" w:ascii="仿宋_GB2312" w:eastAsia="仿宋_GB2312"/>
          <w:b w:val="0"/>
          <w:color w:val="auto"/>
          <w:sz w:val="32"/>
          <w:szCs w:val="32"/>
        </w:rPr>
        <w:t>补助工资</w:t>
      </w:r>
      <w:r>
        <w:rPr>
          <w:rFonts w:hint="eastAsia" w:ascii="仿宋_GB2312" w:eastAsia="仿宋_GB2312"/>
          <w:b w:val="0"/>
          <w:color w:val="auto"/>
          <w:sz w:val="32"/>
          <w:szCs w:val="32"/>
          <w:lang w:val="en-US" w:eastAsia="zh-CN"/>
        </w:rPr>
        <w:t>相应减少。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26.</w:t>
      </w:r>
      <w:r>
        <w:rPr>
          <w:rFonts w:ascii="仿宋_GB2312" w:eastAsia="仿宋_GB2312"/>
          <w:b w:val="0"/>
          <w:color w:val="auto"/>
          <w:sz w:val="32"/>
          <w:szCs w:val="32"/>
        </w:rPr>
        <w:t>农林水支出（类）农村综合改革（款）对村级公益事业建设的补助（项）：支出决算数为0.00万元，比上年决算减少1.92万元，下降100.00%，主要原因是：</w:t>
      </w:r>
      <w:r>
        <w:rPr>
          <w:rFonts w:hint="eastAsia" w:ascii="仿宋_GB2312" w:eastAsia="仿宋_GB2312"/>
          <w:b w:val="0"/>
          <w:color w:val="auto"/>
          <w:sz w:val="32"/>
          <w:szCs w:val="32"/>
          <w:lang w:val="en-US" w:eastAsia="zh-CN"/>
        </w:rPr>
        <w:t>人居环境整治项目资金减少。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27.</w:t>
      </w:r>
      <w:r>
        <w:rPr>
          <w:rFonts w:ascii="仿宋_GB2312" w:eastAsia="仿宋_GB2312"/>
          <w:b w:val="0"/>
          <w:color w:val="auto"/>
          <w:sz w:val="32"/>
          <w:szCs w:val="32"/>
        </w:rPr>
        <w:t>农林水支出（类）农村综合改革（款）对村民委员会和村党支部的补助（项）：支出决算数为67.22万元，比上年决算减少180.78万元，下降72.90%，主要原因是：</w:t>
      </w:r>
      <w:r>
        <w:rPr>
          <w:rFonts w:hint="eastAsia" w:ascii="仿宋_GB2312" w:eastAsia="仿宋_GB2312"/>
          <w:b w:val="0"/>
          <w:color w:val="auto"/>
          <w:sz w:val="32"/>
          <w:szCs w:val="32"/>
          <w:lang w:val="en-US" w:eastAsia="zh-CN"/>
        </w:rPr>
        <w:t>托布力其乡饲草料加工厂建设项目减少。</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ascii="仿宋_GB2312" w:eastAsia="仿宋_GB2312"/>
          <w:color w:val="auto"/>
          <w:sz w:val="32"/>
          <w:szCs w:val="32"/>
        </w:rPr>
      </w:pPr>
      <w:r>
        <w:rPr>
          <w:rFonts w:hint="eastAsia" w:ascii="仿宋_GB2312" w:eastAsia="仿宋_GB2312"/>
          <w:b w:val="0"/>
          <w:color w:val="auto"/>
          <w:sz w:val="32"/>
          <w:szCs w:val="32"/>
          <w:lang w:val="en-US" w:eastAsia="zh-CN"/>
        </w:rPr>
        <w:t>28.</w:t>
      </w:r>
      <w:r>
        <w:rPr>
          <w:rFonts w:ascii="仿宋_GB2312" w:eastAsia="仿宋_GB2312"/>
          <w:b w:val="0"/>
          <w:color w:val="auto"/>
          <w:sz w:val="32"/>
          <w:szCs w:val="32"/>
        </w:rPr>
        <w:t>农林水支出（类）农村综合改革（款）对村集体经济组织的补助（项）：支出决算数为12.41万元，比上年决算增加12.41万元，增长100.00%，主要原因是：</w:t>
      </w:r>
      <w:r>
        <w:rPr>
          <w:rFonts w:hint="eastAsia" w:ascii="仿宋_GB2312" w:eastAsia="仿宋_GB2312"/>
          <w:b w:val="0"/>
          <w:color w:val="auto"/>
          <w:sz w:val="32"/>
          <w:szCs w:val="32"/>
          <w:lang w:val="en-US" w:eastAsia="zh-CN"/>
        </w:rPr>
        <w:t>支付托布力其乡饲草料加工厂建设款。</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29.</w:t>
      </w:r>
      <w:r>
        <w:rPr>
          <w:rFonts w:ascii="仿宋_GB2312" w:eastAsia="仿宋_GB2312"/>
          <w:b w:val="0"/>
          <w:color w:val="auto"/>
          <w:sz w:val="32"/>
          <w:szCs w:val="32"/>
        </w:rPr>
        <w:t>农林水支出（类）目标价格补贴（款）棉花目标价格补贴（项）：支出决算数为0.00万元，比上年决算减少4,536.78万元，下降100.00%，主要原因是：</w:t>
      </w:r>
      <w:r>
        <w:rPr>
          <w:rFonts w:hint="eastAsia" w:ascii="仿宋_GB2312" w:eastAsia="仿宋_GB2312"/>
          <w:b w:val="0"/>
          <w:color w:val="auto"/>
          <w:sz w:val="32"/>
          <w:szCs w:val="32"/>
          <w:lang w:val="en-US" w:eastAsia="zh-CN"/>
        </w:rPr>
        <w:t>2024年</w:t>
      </w:r>
      <w:r>
        <w:rPr>
          <w:rFonts w:ascii="仿宋_GB2312" w:eastAsia="仿宋_GB2312"/>
          <w:b w:val="0"/>
          <w:color w:val="auto"/>
          <w:sz w:val="32"/>
          <w:szCs w:val="32"/>
        </w:rPr>
        <w:t>棉花目标价格补贴</w:t>
      </w:r>
      <w:r>
        <w:rPr>
          <w:rFonts w:hint="eastAsia" w:ascii="仿宋_GB2312" w:eastAsia="仿宋_GB2312"/>
          <w:b w:val="0"/>
          <w:color w:val="auto"/>
          <w:sz w:val="32"/>
          <w:szCs w:val="32"/>
          <w:lang w:val="en-US" w:eastAsia="zh-CN"/>
        </w:rPr>
        <w:t>未纳入预算，一卡通的方式发放农户。</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30.</w:t>
      </w:r>
      <w:r>
        <w:rPr>
          <w:rFonts w:ascii="仿宋_GB2312" w:eastAsia="仿宋_GB2312"/>
          <w:b w:val="0"/>
          <w:color w:val="auto"/>
          <w:sz w:val="32"/>
          <w:szCs w:val="32"/>
        </w:rPr>
        <w:t>住房保障支出（类）住房改革支出（款）住房公积金（项）：支出决算数为107.10万元，比上年决算增加4.00万元，增长3.88%，主要原因是：</w:t>
      </w:r>
      <w:r>
        <w:rPr>
          <w:rFonts w:hint="eastAsia" w:ascii="仿宋_GB2312" w:eastAsia="仿宋_GB2312"/>
          <w:b w:val="0"/>
          <w:color w:val="auto"/>
          <w:sz w:val="32"/>
          <w:szCs w:val="32"/>
          <w:lang w:val="en-US" w:eastAsia="zh-CN"/>
        </w:rPr>
        <w:t>人员工资增加、公积金相应增加。</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b w:val="0"/>
          <w:color w:val="auto"/>
          <w:sz w:val="32"/>
          <w:szCs w:val="32"/>
          <w:lang w:val="en-US" w:eastAsia="zh-CN"/>
        </w:rPr>
        <w:t>31.</w:t>
      </w:r>
      <w:r>
        <w:rPr>
          <w:rFonts w:ascii="仿宋_GB2312" w:eastAsia="仿宋_GB2312"/>
          <w:b w:val="0"/>
          <w:color w:val="auto"/>
          <w:sz w:val="32"/>
          <w:szCs w:val="32"/>
        </w:rPr>
        <w:t>其他支出（类）其他支出（款）其他支出（项）：支出决算数为7.66万元，比上年决算减少24.34万元，下降76.06%，主要原因是：</w:t>
      </w:r>
      <w:r>
        <w:rPr>
          <w:rFonts w:hint="eastAsia" w:ascii="仿宋_GB2312" w:eastAsia="仿宋_GB2312"/>
          <w:b w:val="0"/>
          <w:color w:val="auto"/>
          <w:sz w:val="32"/>
          <w:szCs w:val="32"/>
          <w:lang w:val="en-US" w:eastAsia="zh-CN"/>
        </w:rPr>
        <w:t>托布力其乡五小工程项目资金减少。</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2024年度一般公共预算财政拨款基本支出1,835.83万元，其中：人员经费1,653.27万元，包括：基本工资、津贴补贴、奖金、机关事业单位基本养老保险缴费、职业年金缴费、职工基本医疗保险缴费、公务员医疗补助缴费、其他社会保障缴费、住房公积金、医疗费、其他工资福利支出、退休费、抚恤金和生活补助。</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公用经费182.55万元，包括：办公费、印刷费、水费、电费、邮电费、取暖费、维修（护）费、培训费、劳务费、工会经费、福利费、公务用车运行维护费和其他商品和服务支出。</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color w:val="auto"/>
          <w:sz w:val="32"/>
          <w:szCs w:val="32"/>
        </w:rPr>
      </w:pPr>
      <w:r>
        <w:rPr>
          <w:rFonts w:ascii="黑体" w:eastAsia="黑体"/>
          <w:b w:val="0"/>
          <w:color w:val="auto"/>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2024年度政府性基金预算财政拨款收入总计76.38万元，其中：年初结转和结余0.00万元，本年收入76.38万元。政府性基金预算财政拨款支出总计76.38万元，其中：年末结转和结余0.00万元，本年支出76.38万元。</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政府性基金预算财政拨款收入支出总体与上年相比，增加58.38万元，增长324.33%，主要原因是：</w:t>
      </w:r>
      <w:r>
        <w:rPr>
          <w:rFonts w:hint="eastAsia" w:ascii="仿宋_GB2312" w:eastAsia="仿宋_GB2312"/>
          <w:b w:val="0"/>
          <w:color w:val="auto"/>
          <w:sz w:val="32"/>
          <w:szCs w:val="32"/>
          <w:lang w:val="en-US" w:eastAsia="zh-CN"/>
        </w:rPr>
        <w:t>2023年五小工程项目尾款和纾困救助资金纳入政府性基金预算</w:t>
      </w:r>
      <w:r>
        <w:rPr>
          <w:rFonts w:ascii="仿宋_GB2312" w:eastAsia="仿宋_GB2312"/>
          <w:b w:val="0"/>
          <w:color w:val="auto"/>
          <w:sz w:val="32"/>
          <w:szCs w:val="32"/>
        </w:rPr>
        <w:t>。与年初预算相比，年初预算数2.00万元，决算数76.38万元，预决算差异率3,719.00%，主要原因是：</w:t>
      </w:r>
      <w:r>
        <w:rPr>
          <w:rFonts w:hint="eastAsia" w:ascii="仿宋_GB2312" w:eastAsia="仿宋_GB2312"/>
          <w:b w:val="0"/>
          <w:color w:val="auto"/>
          <w:sz w:val="32"/>
          <w:szCs w:val="32"/>
          <w:lang w:val="en-US" w:eastAsia="zh-CN"/>
        </w:rPr>
        <w:t>2023年五小工程项目尾款和纾困救助资金纳入政府性基金预算</w:t>
      </w:r>
      <w:r>
        <w:rPr>
          <w:rFonts w:ascii="仿宋_GB2312" w:eastAsia="仿宋_GB2312"/>
          <w:b w:val="0"/>
          <w:color w:val="auto"/>
          <w:sz w:val="32"/>
          <w:szCs w:val="32"/>
        </w:rPr>
        <w:t>。</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政府性基金预算财政拨款支出76.38万元。</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ascii="仿宋_GB2312" w:eastAsia="仿宋_GB2312"/>
          <w:b w:val="0"/>
          <w:color w:val="auto"/>
          <w:sz w:val="32"/>
          <w:szCs w:val="32"/>
        </w:rPr>
        <w:t>节能环保支出（类）超长期特别国债安排的支出（款）“三北”工程建设（项）：支出决算数为4.38万元，比上年决算增加4.38万元，增长100.00%，主要原因是：</w:t>
      </w:r>
      <w:r>
        <w:rPr>
          <w:rFonts w:hint="eastAsia" w:ascii="仿宋_GB2312" w:eastAsia="仿宋_GB2312"/>
          <w:b w:val="0"/>
          <w:color w:val="auto"/>
          <w:sz w:val="32"/>
          <w:szCs w:val="32"/>
        </w:rPr>
        <w:t>2024年塔里木河干流生态综合治理项目</w:t>
      </w:r>
      <w:r>
        <w:rPr>
          <w:rFonts w:hint="eastAsia" w:ascii="仿宋_GB2312" w:eastAsia="仿宋_GB2312"/>
          <w:b w:val="0"/>
          <w:color w:val="auto"/>
          <w:sz w:val="32"/>
          <w:szCs w:val="32"/>
          <w:lang w:val="en-US" w:eastAsia="zh-CN"/>
        </w:rPr>
        <w:t>增加，采购树苗。</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rPr>
      </w:pPr>
      <w:r>
        <w:rPr>
          <w:rFonts w:ascii="仿宋_GB2312" w:eastAsia="仿宋_GB2312"/>
          <w:b w:val="0"/>
          <w:color w:val="auto"/>
          <w:sz w:val="32"/>
          <w:szCs w:val="32"/>
        </w:rPr>
        <w:t>城乡社区支出（类）国有土地使用权出让收入安排的支出（款）农村基础设施建设支出（项）：支出决算数为72.00万元，比上年决算增加72.00万元，增长100.00%，主要原因是：</w:t>
      </w:r>
      <w:r>
        <w:rPr>
          <w:rFonts w:hint="eastAsia" w:ascii="仿宋_GB2312" w:eastAsia="仿宋_GB2312"/>
          <w:b w:val="0"/>
          <w:color w:val="auto"/>
          <w:sz w:val="32"/>
          <w:szCs w:val="32"/>
          <w:lang w:val="en-US" w:eastAsia="zh-CN"/>
        </w:rPr>
        <w:t>2023年五小工程项目尾款纳入追加预算。</w:t>
      </w:r>
    </w:p>
    <w:p>
      <w:pPr>
        <w:keepNext w:val="0"/>
        <w:keepLines w:val="0"/>
        <w:pageBreakBefore w:val="0"/>
        <w:widowControl/>
        <w:numPr>
          <w:ilvl w:val="0"/>
          <w:numId w:val="0"/>
        </w:numPr>
        <w:kinsoku/>
        <w:wordWrap/>
        <w:overflowPunct/>
        <w:topLinePunct w:val="0"/>
        <w:autoSpaceDE/>
        <w:autoSpaceDN/>
        <w:bidi w:val="0"/>
        <w:adjustRightIn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lang w:val="en-US" w:eastAsia="zh-CN"/>
        </w:rPr>
      </w:pPr>
      <w:r>
        <w:rPr>
          <w:rFonts w:ascii="仿宋_GB2312" w:eastAsia="仿宋_GB2312"/>
          <w:b w:val="0"/>
          <w:color w:val="auto"/>
          <w:sz w:val="32"/>
          <w:szCs w:val="32"/>
        </w:rPr>
        <w:t>城乡社区支出（类）国有土地使用权出让收入安排的支出（款）其他国有土地使用权出让收入安排的支出（项）：支出决算数为0.00万元，比上年决算减少18.00万元，下降100.00%，主要原因是：</w:t>
      </w:r>
      <w:r>
        <w:rPr>
          <w:rFonts w:hint="eastAsia" w:ascii="仿宋_GB2312" w:eastAsia="仿宋_GB2312"/>
          <w:b w:val="0"/>
          <w:color w:val="auto"/>
          <w:sz w:val="32"/>
          <w:szCs w:val="32"/>
        </w:rPr>
        <w:t>征收经费</w:t>
      </w:r>
      <w:r>
        <w:rPr>
          <w:rFonts w:hint="eastAsia" w:ascii="仿宋_GB2312" w:eastAsia="仿宋_GB2312"/>
          <w:b w:val="0"/>
          <w:color w:val="auto"/>
          <w:sz w:val="32"/>
          <w:szCs w:val="32"/>
          <w:lang w:val="en-US" w:eastAsia="zh-CN"/>
        </w:rPr>
        <w:t>-2024年土地租赁金返还收入减少。</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color w:val="auto"/>
          <w:sz w:val="32"/>
          <w:szCs w:val="32"/>
        </w:rPr>
      </w:pPr>
      <w:r>
        <w:rPr>
          <w:rFonts w:ascii="黑体" w:eastAsia="黑体"/>
          <w:b w:val="0"/>
          <w:color w:val="auto"/>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color w:val="auto"/>
          <w:sz w:val="32"/>
          <w:szCs w:val="32"/>
        </w:rPr>
      </w:pPr>
      <w:r>
        <w:rPr>
          <w:rFonts w:ascii="黑体" w:eastAsia="黑体"/>
          <w:b w:val="0"/>
          <w:color w:val="auto"/>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2024年度财政拨款“三公”经费支出12.28万元，比上年增加1.42万元，增长13.08%，主要原因是：</w:t>
      </w:r>
      <w:r>
        <w:rPr>
          <w:rFonts w:hint="eastAsia" w:ascii="仿宋_GB2312" w:eastAsia="仿宋_GB2312"/>
          <w:b w:val="0"/>
          <w:color w:val="auto"/>
          <w:sz w:val="32"/>
          <w:szCs w:val="32"/>
          <w:lang w:val="en-US" w:eastAsia="zh-CN"/>
        </w:rPr>
        <w:t>支付2023年公务用车维修费欠款</w:t>
      </w:r>
      <w:r>
        <w:rPr>
          <w:rFonts w:ascii="仿宋_GB2312" w:eastAsia="仿宋_GB2312"/>
          <w:b w:val="0"/>
          <w:color w:val="auto"/>
          <w:sz w:val="32"/>
          <w:szCs w:val="32"/>
        </w:rPr>
        <w:t>。其中：因公出国（境）费支出0.00万元,占0.00%，与上年相比无变化，主要原因是：</w:t>
      </w:r>
      <w:r>
        <w:rPr>
          <w:rFonts w:hint="eastAsia" w:ascii="仿宋_GB2312" w:eastAsia="仿宋_GB2312"/>
          <w:b w:val="0"/>
          <w:color w:val="auto"/>
          <w:sz w:val="32"/>
          <w:szCs w:val="32"/>
          <w:lang w:val="en-US" w:eastAsia="zh-CN"/>
        </w:rPr>
        <w:t>无</w:t>
      </w:r>
      <w:r>
        <w:rPr>
          <w:rFonts w:ascii="仿宋_GB2312" w:eastAsia="仿宋_GB2312"/>
          <w:b w:val="0"/>
          <w:color w:val="auto"/>
          <w:sz w:val="32"/>
          <w:szCs w:val="32"/>
        </w:rPr>
        <w:t>；公务用车购置及运行维护费支出12.28万元，占100.00%，比上年增加1.42万元，增长13.08%，主要原因是：</w:t>
      </w:r>
      <w:r>
        <w:rPr>
          <w:rFonts w:hint="eastAsia" w:ascii="仿宋_GB2312" w:eastAsia="仿宋_GB2312"/>
          <w:b w:val="0"/>
          <w:color w:val="auto"/>
          <w:sz w:val="32"/>
          <w:szCs w:val="32"/>
          <w:lang w:val="en-US" w:eastAsia="zh-CN"/>
        </w:rPr>
        <w:t>支付2023年公务用车维修费欠款</w:t>
      </w:r>
      <w:r>
        <w:rPr>
          <w:rFonts w:ascii="仿宋_GB2312" w:eastAsia="仿宋_GB2312"/>
          <w:b w:val="0"/>
          <w:color w:val="auto"/>
          <w:sz w:val="32"/>
          <w:szCs w:val="32"/>
        </w:rPr>
        <w:t>；公务接待费支出0.00万元，占0.00%，与上年相比无变化，主要原因是：</w:t>
      </w:r>
      <w:r>
        <w:rPr>
          <w:rFonts w:hint="eastAsia" w:ascii="仿宋_GB2312" w:eastAsia="仿宋_GB2312"/>
          <w:b w:val="0"/>
          <w:color w:val="auto"/>
          <w:sz w:val="32"/>
          <w:szCs w:val="32"/>
          <w:lang w:val="en-US" w:eastAsia="zh-CN"/>
        </w:rPr>
        <w:t>无</w:t>
      </w:r>
      <w:r>
        <w:rPr>
          <w:rFonts w:ascii="仿宋_GB2312" w:eastAsia="仿宋_GB2312"/>
          <w:b w:val="0"/>
          <w:color w:val="auto"/>
          <w:sz w:val="32"/>
          <w:szCs w:val="32"/>
        </w:rPr>
        <w:t>。</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rPr>
          <w:rFonts w:ascii="仿宋_GB2312" w:eastAsia="仿宋_GB2312"/>
          <w:color w:val="auto"/>
          <w:sz w:val="32"/>
          <w:szCs w:val="32"/>
        </w:rPr>
      </w:pPr>
      <w:r>
        <w:rPr>
          <w:rFonts w:ascii="仿宋_GB2312" w:eastAsia="仿宋_GB2312"/>
          <w:b w:val="0"/>
          <w:color w:val="auto"/>
          <w:sz w:val="32"/>
          <w:szCs w:val="32"/>
        </w:rPr>
        <w:t>具体情况如下：</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公务用车购置及运行维护费12.28万元，其中：公务用车购置费0.00万元，公务用车运行维护费12.28万元。公务用车运行维护费开支内容包括。公务用车购置数0辆，公务用车保有量8辆。国有资产占用情况中固定资产车辆13辆，与公务用车保有量差异原因是：</w:t>
      </w:r>
      <w:r>
        <w:rPr>
          <w:rFonts w:hint="eastAsia" w:ascii="仿宋_GB2312" w:eastAsia="仿宋_GB2312"/>
          <w:b w:val="0"/>
          <w:color w:val="auto"/>
          <w:sz w:val="32"/>
          <w:szCs w:val="32"/>
          <w:lang w:val="en-US" w:eastAsia="zh-CN"/>
        </w:rPr>
        <w:t>5辆车主要是巡逻车，无编车</w:t>
      </w:r>
      <w:r>
        <w:rPr>
          <w:rFonts w:ascii="仿宋_GB2312" w:eastAsia="仿宋_GB2312"/>
          <w:b w:val="0"/>
          <w:color w:val="auto"/>
          <w:sz w:val="32"/>
          <w:szCs w:val="32"/>
        </w:rPr>
        <w:t>。</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与全年预算相比，财政拨款“三公”经费支出全年预算数12.28万元，决算数12.28万元，预决算差异率0.00%，主要原因是：</w:t>
      </w:r>
      <w:r>
        <w:rPr>
          <w:rFonts w:hint="eastAsia" w:ascii="仿宋_GB2312" w:eastAsia="仿宋_GB2312"/>
          <w:b w:val="0"/>
          <w:color w:val="auto"/>
          <w:sz w:val="32"/>
          <w:szCs w:val="32"/>
          <w:lang w:val="en-US" w:eastAsia="zh-CN"/>
        </w:rPr>
        <w:t>预算与决算平衡</w:t>
      </w:r>
      <w:r>
        <w:rPr>
          <w:rFonts w:ascii="仿宋_GB2312" w:eastAsia="仿宋_GB2312"/>
          <w:b w:val="0"/>
          <w:color w:val="auto"/>
          <w:sz w:val="32"/>
          <w:szCs w:val="32"/>
        </w:rPr>
        <w:t>。其中：因公出国（境）费全年预算数0.00万元，决算数0.00万元，预决算差异率0.00%，主要原因是：</w:t>
      </w:r>
      <w:r>
        <w:rPr>
          <w:rFonts w:hint="eastAsia" w:ascii="仿宋_GB2312" w:eastAsia="仿宋_GB2312"/>
          <w:b w:val="0"/>
          <w:color w:val="auto"/>
          <w:sz w:val="32"/>
          <w:szCs w:val="32"/>
          <w:lang w:val="en-US" w:eastAsia="zh-CN"/>
        </w:rPr>
        <w:t>无</w:t>
      </w:r>
      <w:r>
        <w:rPr>
          <w:rFonts w:ascii="仿宋_GB2312" w:eastAsia="仿宋_GB2312"/>
          <w:b w:val="0"/>
          <w:color w:val="auto"/>
          <w:sz w:val="32"/>
          <w:szCs w:val="32"/>
        </w:rPr>
        <w:t>差异。公务用车购置费全年预算数0.00万元，决算数0.00万元，预决算差异率0.00%，主要原因是：</w:t>
      </w:r>
      <w:r>
        <w:rPr>
          <w:rFonts w:hint="eastAsia" w:ascii="仿宋_GB2312" w:eastAsia="仿宋_GB2312"/>
          <w:b w:val="0"/>
          <w:color w:val="auto"/>
          <w:sz w:val="32"/>
          <w:szCs w:val="32"/>
          <w:lang w:val="en-US" w:eastAsia="zh-CN"/>
        </w:rPr>
        <w:t>无</w:t>
      </w:r>
      <w:r>
        <w:rPr>
          <w:rFonts w:ascii="仿宋_GB2312" w:eastAsia="仿宋_GB2312"/>
          <w:b w:val="0"/>
          <w:color w:val="auto"/>
          <w:sz w:val="32"/>
          <w:szCs w:val="32"/>
        </w:rPr>
        <w:t>差异。公务用车运行维护费全年预算数12.28万元，决算数12.28万元，预决算差异率0.00%，主要原因是：</w:t>
      </w:r>
      <w:r>
        <w:rPr>
          <w:rFonts w:hint="eastAsia" w:ascii="仿宋_GB2312" w:eastAsia="仿宋_GB2312"/>
          <w:b w:val="0"/>
          <w:color w:val="auto"/>
          <w:sz w:val="32"/>
          <w:szCs w:val="32"/>
          <w:lang w:val="en-US" w:eastAsia="zh-CN"/>
        </w:rPr>
        <w:t>预算与决算平衡</w:t>
      </w:r>
      <w:r>
        <w:rPr>
          <w:rFonts w:ascii="仿宋_GB2312" w:eastAsia="仿宋_GB2312"/>
          <w:b w:val="0"/>
          <w:color w:val="auto"/>
          <w:sz w:val="32"/>
          <w:szCs w:val="32"/>
        </w:rPr>
        <w:t>。公务接待费全年预算数0.00万元，决算数0.00万元，预决算差异率0.00%，主要原因是：</w:t>
      </w:r>
      <w:r>
        <w:rPr>
          <w:rFonts w:hint="eastAsia" w:ascii="仿宋_GB2312" w:eastAsia="仿宋_GB2312"/>
          <w:b w:val="0"/>
          <w:color w:val="auto"/>
          <w:sz w:val="32"/>
          <w:szCs w:val="32"/>
          <w:lang w:val="en-US" w:eastAsia="zh-CN"/>
        </w:rPr>
        <w:t>无</w:t>
      </w:r>
      <w:r>
        <w:rPr>
          <w:rFonts w:ascii="仿宋_GB2312" w:eastAsia="仿宋_GB2312"/>
          <w:b w:val="0"/>
          <w:color w:val="auto"/>
          <w:sz w:val="32"/>
          <w:szCs w:val="32"/>
        </w:rPr>
        <w:t>差异。</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color w:val="auto"/>
          <w:sz w:val="32"/>
          <w:szCs w:val="32"/>
        </w:rPr>
      </w:pPr>
      <w:r>
        <w:rPr>
          <w:rFonts w:ascii="黑体" w:eastAsia="黑体"/>
          <w:b w:val="0"/>
          <w:color w:val="auto"/>
          <w:sz w:val="32"/>
          <w:szCs w:val="32"/>
        </w:rPr>
        <w:t>十、其他重要事项的情况说明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2"/>
        <w:rPr>
          <w:rFonts w:ascii="仿宋_GB2312" w:eastAsia="仿宋_GB2312"/>
          <w:color w:val="auto"/>
          <w:sz w:val="32"/>
          <w:szCs w:val="32"/>
        </w:rPr>
      </w:pPr>
      <w:r>
        <w:rPr>
          <w:rFonts w:ascii="仿宋_GB2312" w:eastAsia="仿宋_GB2312"/>
          <w:b/>
          <w:color w:val="auto"/>
          <w:sz w:val="32"/>
          <w:szCs w:val="32"/>
        </w:rPr>
        <w:t>（一）机关运行经费及公用经费支出情况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2024年度库尔勒市托布力其乡人民政府单位机关运行经费支出182.55万元，比上年减少196.23万元，下降51.81%，主要原因是：</w:t>
      </w:r>
      <w:r>
        <w:rPr>
          <w:rFonts w:hint="eastAsia" w:ascii="仿宋_GB2312" w:eastAsia="仿宋_GB2312"/>
          <w:b w:val="0"/>
          <w:color w:val="auto"/>
          <w:sz w:val="32"/>
          <w:szCs w:val="32"/>
          <w:lang w:val="en-US" w:eastAsia="zh-CN"/>
        </w:rPr>
        <w:t>项目类费用减少，主要是</w:t>
      </w:r>
      <w:r>
        <w:rPr>
          <w:rFonts w:hint="eastAsia" w:ascii="仿宋_GB2312" w:eastAsia="仿宋_GB2312"/>
          <w:b w:val="0"/>
          <w:color w:val="auto"/>
          <w:sz w:val="32"/>
          <w:szCs w:val="32"/>
        </w:rPr>
        <w:t>疫情防控补助资金</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征收经费、驻村管寺管委会工作经费、文化活动经费、培训凌峰、纪检工作经费等</w:t>
      </w:r>
      <w:r>
        <w:rPr>
          <w:rFonts w:ascii="仿宋_GB2312" w:eastAsia="仿宋_GB2312"/>
          <w:b w:val="0"/>
          <w:color w:val="auto"/>
          <w:sz w:val="32"/>
          <w:szCs w:val="32"/>
        </w:rPr>
        <w:t>。</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2"/>
        <w:rPr>
          <w:rFonts w:ascii="仿宋_GB2312" w:eastAsia="仿宋_GB2312"/>
          <w:color w:val="auto"/>
          <w:sz w:val="32"/>
          <w:szCs w:val="32"/>
        </w:rPr>
      </w:pPr>
      <w:r>
        <w:rPr>
          <w:rFonts w:ascii="仿宋_GB2312" w:eastAsia="仿宋_GB2312"/>
          <w:b/>
          <w:color w:val="auto"/>
          <w:sz w:val="32"/>
          <w:szCs w:val="32"/>
        </w:rPr>
        <w:t>（二）政府采购情况</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2024年度政府采购支出总额237.10万元，其中：政府采购货物支出15.64万元、政府采购工程支出201.00万元、政府采购服务支出20.46万元。</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授予中小企业合同金额233.36万元，占政府采购支出总额的98.42%，其中：授予小微企业合同金额233.36万元，占政府采购支出总额的98.42%。</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2"/>
        <w:rPr>
          <w:rFonts w:ascii="仿宋_GB2312" w:eastAsia="仿宋_GB2312"/>
          <w:color w:val="auto"/>
          <w:sz w:val="32"/>
          <w:szCs w:val="32"/>
        </w:rPr>
      </w:pPr>
      <w:r>
        <w:rPr>
          <w:rFonts w:ascii="仿宋_GB2312" w:eastAsia="仿宋_GB2312"/>
          <w:b/>
          <w:color w:val="auto"/>
          <w:sz w:val="32"/>
          <w:szCs w:val="32"/>
        </w:rPr>
        <w:t>（三）国有资产占用情况说明</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截至2024年12月31日，房屋9,729.23平方米，价值1,152.18万元。车辆13辆，价值107.12万元，其中：副部（省）级及以上领导用车0辆、主要负责人用车0辆、机要通信用车0辆、应急保障用车0辆、执法执勤用车6辆、特种专业技术用车0辆、离退休干部服务用车0辆、其他用车7辆，其他用车主要是：</w:t>
      </w:r>
      <w:r>
        <w:rPr>
          <w:rFonts w:hint="eastAsia" w:ascii="仿宋_GB2312" w:eastAsia="仿宋_GB2312"/>
          <w:b w:val="0"/>
          <w:color w:val="auto"/>
          <w:sz w:val="32"/>
          <w:szCs w:val="32"/>
          <w:lang w:val="en-US" w:eastAsia="zh-CN"/>
        </w:rPr>
        <w:t>党政主要用于领导开展工作、农田水利工作、国有土地监察等、3辆车正在办理报废手续</w:t>
      </w:r>
      <w:r>
        <w:rPr>
          <w:rFonts w:ascii="仿宋_GB2312" w:eastAsia="仿宋_GB2312"/>
          <w:b w:val="0"/>
          <w:color w:val="auto"/>
          <w:sz w:val="32"/>
          <w:szCs w:val="32"/>
        </w:rPr>
        <w:t>;单价100万元（含）以上设备（不含车辆）0台（套）。</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color w:val="auto"/>
          <w:sz w:val="32"/>
          <w:szCs w:val="32"/>
        </w:rPr>
      </w:pPr>
      <w:r>
        <w:rPr>
          <w:rFonts w:ascii="黑体" w:eastAsia="黑体"/>
          <w:b w:val="0"/>
          <w:color w:val="auto"/>
          <w:sz w:val="32"/>
          <w:szCs w:val="32"/>
        </w:rPr>
        <w:t>十一、预算绩效的情况说明</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b w:val="0"/>
          <w:color w:val="auto"/>
          <w:sz w:val="32"/>
          <w:szCs w:val="32"/>
        </w:rPr>
      </w:pPr>
      <w:r>
        <w:rPr>
          <w:rFonts w:ascii="仿宋_GB2312" w:eastAsia="仿宋_GB2312"/>
          <w:b w:val="0"/>
          <w:color w:val="auto"/>
          <w:sz w:val="32"/>
          <w:szCs w:val="32"/>
        </w:rPr>
        <w:t>根据预算绩效管理要求，本单位2024年度预算绩效管理形成整体支出绩效自评表</w:t>
      </w:r>
      <w:r>
        <w:rPr>
          <w:rFonts w:hint="eastAsia" w:ascii="仿宋_GB2312" w:eastAsia="仿宋_GB2312"/>
          <w:b w:val="0"/>
          <w:color w:val="auto"/>
          <w:sz w:val="32"/>
          <w:szCs w:val="32"/>
          <w:lang w:val="en-US" w:eastAsia="zh-CN"/>
        </w:rPr>
        <w:t>1</w:t>
      </w:r>
      <w:r>
        <w:rPr>
          <w:rFonts w:ascii="仿宋_GB2312" w:eastAsia="仿宋_GB2312"/>
          <w:b w:val="0"/>
          <w:color w:val="auto"/>
          <w:sz w:val="32"/>
          <w:szCs w:val="32"/>
        </w:rPr>
        <w:t>个，全年预算总额</w:t>
      </w:r>
      <w:r>
        <w:rPr>
          <w:rFonts w:hint="eastAsia" w:ascii="仿宋_GB2312" w:eastAsia="仿宋_GB2312"/>
          <w:b w:val="0"/>
          <w:color w:val="auto"/>
          <w:sz w:val="32"/>
          <w:szCs w:val="32"/>
          <w:lang w:val="en-US" w:eastAsia="zh-CN"/>
        </w:rPr>
        <w:t>3201.33</w:t>
      </w:r>
      <w:r>
        <w:rPr>
          <w:rFonts w:ascii="仿宋_GB2312" w:eastAsia="仿宋_GB2312"/>
          <w:b w:val="0"/>
          <w:color w:val="auto"/>
          <w:sz w:val="32"/>
          <w:szCs w:val="32"/>
        </w:rPr>
        <w:t>万元，实际执行总额</w:t>
      </w:r>
      <w:r>
        <w:rPr>
          <w:rFonts w:hint="eastAsia" w:ascii="仿宋_GB2312" w:eastAsia="仿宋_GB2312"/>
          <w:b w:val="0"/>
          <w:color w:val="auto"/>
          <w:sz w:val="32"/>
          <w:szCs w:val="32"/>
          <w:lang w:val="en-US" w:eastAsia="zh-CN"/>
        </w:rPr>
        <w:t>3201.33</w:t>
      </w:r>
      <w:r>
        <w:rPr>
          <w:rFonts w:ascii="仿宋_GB2312" w:eastAsia="仿宋_GB2312"/>
          <w:b w:val="0"/>
          <w:color w:val="auto"/>
          <w:sz w:val="32"/>
          <w:szCs w:val="32"/>
        </w:rPr>
        <w:t>万元；预算绩效评价项目</w:t>
      </w:r>
      <w:r>
        <w:rPr>
          <w:rFonts w:hint="eastAsia" w:ascii="仿宋_GB2312" w:eastAsia="仿宋_GB2312"/>
          <w:b w:val="0"/>
          <w:color w:val="auto"/>
          <w:sz w:val="32"/>
          <w:szCs w:val="32"/>
          <w:lang w:val="en-US" w:eastAsia="zh-CN"/>
        </w:rPr>
        <w:t>15</w:t>
      </w:r>
      <w:r>
        <w:rPr>
          <w:rFonts w:ascii="仿宋_GB2312" w:eastAsia="仿宋_GB2312"/>
          <w:b w:val="0"/>
          <w:color w:val="auto"/>
          <w:sz w:val="32"/>
          <w:szCs w:val="32"/>
        </w:rPr>
        <w:t>个，全年预算数</w:t>
      </w:r>
      <w:r>
        <w:rPr>
          <w:rFonts w:hint="eastAsia" w:ascii="仿宋_GB2312" w:eastAsia="仿宋_GB2312"/>
          <w:b w:val="0"/>
          <w:color w:val="auto"/>
          <w:sz w:val="32"/>
          <w:szCs w:val="32"/>
          <w:lang w:val="en-US" w:eastAsia="zh-CN"/>
        </w:rPr>
        <w:t>115.3</w:t>
      </w:r>
      <w:r>
        <w:rPr>
          <w:rFonts w:ascii="仿宋_GB2312" w:eastAsia="仿宋_GB2312"/>
          <w:b w:val="0"/>
          <w:color w:val="auto"/>
          <w:sz w:val="32"/>
          <w:szCs w:val="32"/>
        </w:rPr>
        <w:t>万元，全年执行数</w:t>
      </w:r>
      <w:r>
        <w:rPr>
          <w:rFonts w:hint="eastAsia" w:ascii="仿宋_GB2312" w:eastAsia="仿宋_GB2312"/>
          <w:b w:val="0"/>
          <w:color w:val="auto"/>
          <w:sz w:val="32"/>
          <w:szCs w:val="32"/>
          <w:lang w:val="en-US" w:eastAsia="zh-CN"/>
        </w:rPr>
        <w:t>101.86</w:t>
      </w:r>
      <w:r>
        <w:rPr>
          <w:rFonts w:ascii="仿宋_GB2312" w:eastAsia="仿宋_GB2312"/>
          <w:b w:val="0"/>
          <w:color w:val="auto"/>
          <w:sz w:val="32"/>
          <w:szCs w:val="32"/>
        </w:rPr>
        <w:t>万元。</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b w:val="0"/>
          <w:color w:val="auto"/>
          <w:sz w:val="32"/>
          <w:szCs w:val="32"/>
        </w:rPr>
      </w:pPr>
      <w:r>
        <w:rPr>
          <w:rFonts w:ascii="仿宋_GB2312" w:eastAsia="仿宋_GB2312"/>
          <w:b w:val="0"/>
          <w:color w:val="auto"/>
          <w:sz w:val="32"/>
          <w:szCs w:val="32"/>
        </w:rPr>
        <w:t>预算绩效管理取得的成效：</w:t>
      </w:r>
      <w:r>
        <w:rPr>
          <w:rFonts w:hint="eastAsia" w:ascii="Times New Roman" w:hAnsi="Times New Roman" w:eastAsia="方正仿宋_GBK" w:cs="Times New Roman"/>
          <w:color w:val="auto"/>
          <w:kern w:val="0"/>
          <w:sz w:val="31"/>
          <w:szCs w:val="31"/>
          <w:lang w:val="en-US" w:eastAsia="zh-CN" w:bidi="ar"/>
        </w:rPr>
        <w:t>2024年度部门整体支出绩效自评综合得分100分，评价结果为“优”。</w:t>
      </w:r>
    </w:p>
    <w:p>
      <w:pPr>
        <w:keepNext w:val="0"/>
        <w:keepLines w:val="0"/>
        <w:pageBreakBefore w:val="0"/>
        <w:kinsoku/>
        <w:wordWrap/>
        <w:overflowPunct/>
        <w:topLinePunct w:val="0"/>
        <w:autoSpaceDE/>
        <w:autoSpaceDN/>
        <w:bidi w:val="0"/>
        <w:adjustRightInd/>
        <w:spacing w:line="560" w:lineRule="exact"/>
        <w:ind w:left="0" w:leftChars="0" w:firstLine="640" w:firstLineChars="200"/>
        <w:textAlignment w:val="auto"/>
        <w:rPr>
          <w:rFonts w:hint="eastAsia" w:ascii="Times New Roman" w:hAnsi="Times New Roman" w:eastAsia="方正仿宋_GBK" w:cs="Times New Roman"/>
          <w:color w:val="auto"/>
          <w:kern w:val="0"/>
          <w:sz w:val="31"/>
          <w:szCs w:val="31"/>
          <w:lang w:val="en-US" w:eastAsia="zh-CN" w:bidi="ar"/>
        </w:rPr>
      </w:pPr>
      <w:r>
        <w:rPr>
          <w:rFonts w:ascii="仿宋_GB2312" w:eastAsia="仿宋_GB2312"/>
          <w:b w:val="0"/>
          <w:color w:val="auto"/>
          <w:sz w:val="32"/>
          <w:szCs w:val="32"/>
        </w:rPr>
        <w:t>发现的问题及原因：</w:t>
      </w:r>
      <w:r>
        <w:rPr>
          <w:rFonts w:hint="eastAsia" w:ascii="Times New Roman" w:hAnsi="Times New Roman" w:eastAsia="方正仿宋_GBK" w:cs="Times New Roman"/>
          <w:color w:val="auto"/>
          <w:kern w:val="0"/>
          <w:sz w:val="31"/>
          <w:szCs w:val="31"/>
          <w:lang w:val="en-US" w:eastAsia="zh-CN" w:bidi="ar"/>
        </w:rPr>
        <w:t>1.预算绩效观念不深入。</w:t>
      </w:r>
    </w:p>
    <w:p>
      <w:pPr>
        <w:keepNext w:val="0"/>
        <w:keepLines w:val="0"/>
        <w:pageBreakBefore w:val="0"/>
        <w:kinsoku/>
        <w:wordWrap/>
        <w:overflowPunct/>
        <w:topLinePunct w:val="0"/>
        <w:autoSpaceDE/>
        <w:autoSpaceDN/>
        <w:bidi w:val="0"/>
        <w:adjustRightInd/>
        <w:spacing w:line="560" w:lineRule="exact"/>
        <w:ind w:firstLine="561" w:firstLineChars="181"/>
        <w:textAlignment w:val="auto"/>
        <w:rPr>
          <w:rFonts w:hint="eastAsia" w:ascii="Times New Roman" w:hAnsi="Times New Roman" w:eastAsia="方正仿宋_GBK" w:cs="Times New Roman"/>
          <w:color w:val="auto"/>
          <w:kern w:val="0"/>
          <w:sz w:val="31"/>
          <w:szCs w:val="31"/>
          <w:lang w:val="en-US" w:eastAsia="zh-CN" w:bidi="ar"/>
        </w:rPr>
      </w:pPr>
      <w:r>
        <w:rPr>
          <w:rFonts w:hint="eastAsia" w:ascii="Times New Roman" w:hAnsi="Times New Roman" w:eastAsia="方正仿宋_GBK" w:cs="Times New Roman"/>
          <w:color w:val="auto"/>
          <w:kern w:val="0"/>
          <w:sz w:val="31"/>
          <w:szCs w:val="31"/>
          <w:lang w:val="en-US" w:eastAsia="zh-CN" w:bidi="ar"/>
        </w:rPr>
        <w:t>在日常绩效监控工作中存在着一定</w:t>
      </w:r>
      <w:bookmarkStart w:id="0" w:name="_GoBack"/>
      <w:bookmarkEnd w:id="0"/>
      <w:r>
        <w:rPr>
          <w:rFonts w:hint="eastAsia" w:ascii="Times New Roman" w:hAnsi="Times New Roman" w:eastAsia="方正仿宋_GBK" w:cs="Times New Roman"/>
          <w:color w:val="auto"/>
          <w:kern w:val="0"/>
          <w:sz w:val="31"/>
          <w:szCs w:val="31"/>
          <w:lang w:val="en-US" w:eastAsia="zh-CN" w:bidi="ar"/>
        </w:rPr>
        <w:t>程度的“重分配、轻管理、重支出、轻绩效”的情况，造成该问题的主要原因是自身绩效理念较薄弱，单位绩效目标编制仍有缺失，需要进一步加强对资金绩效管理的重视程度。</w:t>
      </w:r>
    </w:p>
    <w:p>
      <w:pPr>
        <w:keepNext w:val="0"/>
        <w:keepLines w:val="0"/>
        <w:pageBreakBefore w:val="0"/>
        <w:kinsoku/>
        <w:wordWrap/>
        <w:overflowPunct/>
        <w:topLinePunct w:val="0"/>
        <w:autoSpaceDE/>
        <w:autoSpaceDN/>
        <w:bidi w:val="0"/>
        <w:adjustRightInd/>
        <w:spacing w:line="560" w:lineRule="exact"/>
        <w:ind w:firstLine="561" w:firstLineChars="181"/>
        <w:textAlignment w:val="auto"/>
        <w:rPr>
          <w:rFonts w:hint="eastAsia" w:ascii="Times New Roman" w:hAnsi="Times New Roman" w:eastAsia="方正仿宋_GBK" w:cs="Times New Roman"/>
          <w:color w:val="auto"/>
          <w:kern w:val="0"/>
          <w:sz w:val="31"/>
          <w:szCs w:val="31"/>
          <w:lang w:val="en-US" w:eastAsia="zh-CN" w:bidi="ar"/>
        </w:rPr>
      </w:pPr>
      <w:r>
        <w:rPr>
          <w:rFonts w:hint="eastAsia" w:ascii="Times New Roman" w:hAnsi="Times New Roman" w:eastAsia="方正仿宋_GBK" w:cs="Times New Roman"/>
          <w:color w:val="auto"/>
          <w:kern w:val="0"/>
          <w:sz w:val="31"/>
          <w:szCs w:val="31"/>
          <w:lang w:val="en-US" w:eastAsia="zh-CN" w:bidi="ar"/>
        </w:rPr>
        <w:t>2.预算绩效规范管理有盲点。</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20" w:firstLineChars="200"/>
        <w:jc w:val="both"/>
        <w:textAlignment w:val="auto"/>
        <w:rPr>
          <w:rFonts w:hint="eastAsia" w:ascii="Times New Roman" w:hAnsi="Times New Roman" w:eastAsia="方正仿宋_GBK" w:cs="Times New Roman"/>
          <w:color w:val="auto"/>
          <w:kern w:val="0"/>
          <w:sz w:val="31"/>
          <w:szCs w:val="31"/>
          <w:lang w:val="en-US" w:eastAsia="zh-CN" w:bidi="ar"/>
        </w:rPr>
      </w:pPr>
      <w:r>
        <w:rPr>
          <w:rFonts w:hint="eastAsia" w:ascii="Times New Roman" w:hAnsi="Times New Roman" w:eastAsia="方正仿宋_GBK" w:cs="Times New Roman"/>
          <w:color w:val="auto"/>
          <w:kern w:val="0"/>
          <w:sz w:val="31"/>
          <w:szCs w:val="31"/>
          <w:lang w:val="en-US" w:eastAsia="zh-CN" w:bidi="ar"/>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keepNext w:val="0"/>
        <w:keepLines w:val="0"/>
        <w:pageBreakBefore w:val="0"/>
        <w:kinsoku/>
        <w:wordWrap/>
        <w:overflowPunct/>
        <w:topLinePunct w:val="0"/>
        <w:autoSpaceDE/>
        <w:autoSpaceDN/>
        <w:bidi w:val="0"/>
        <w:adjustRightInd/>
        <w:spacing w:line="560" w:lineRule="exact"/>
        <w:ind w:firstLine="579" w:firstLineChars="181"/>
        <w:textAlignment w:val="auto"/>
        <w:rPr>
          <w:rFonts w:hint="eastAsia" w:ascii="Times New Roman" w:hAnsi="Times New Roman" w:eastAsia="方正仿宋_GBK" w:cs="Times New Roman"/>
          <w:color w:val="000000"/>
          <w:kern w:val="0"/>
          <w:sz w:val="31"/>
          <w:szCs w:val="31"/>
          <w:lang w:val="en-US" w:eastAsia="zh-CN" w:bidi="ar"/>
        </w:rPr>
      </w:pPr>
      <w:r>
        <w:rPr>
          <w:rFonts w:ascii="仿宋_GB2312" w:eastAsia="仿宋_GB2312"/>
          <w:b w:val="0"/>
          <w:color w:val="auto"/>
          <w:sz w:val="32"/>
          <w:szCs w:val="32"/>
        </w:rPr>
        <w:t>下一步改进措施：</w:t>
      </w:r>
      <w:r>
        <w:rPr>
          <w:rFonts w:hint="eastAsia" w:eastAsia="方正仿宋_GBK" w:cs="Times New Roman"/>
          <w:color w:val="auto"/>
          <w:kern w:val="0"/>
          <w:sz w:val="31"/>
          <w:szCs w:val="31"/>
          <w:lang w:val="en-US" w:eastAsia="zh-CN" w:bidi="ar"/>
        </w:rPr>
        <w:t>1.</w:t>
      </w:r>
      <w:r>
        <w:rPr>
          <w:rFonts w:hint="eastAsia" w:ascii="Times New Roman" w:hAnsi="Times New Roman" w:eastAsia="方正仿宋_GBK" w:cs="Times New Roman"/>
          <w:color w:val="auto"/>
          <w:kern w:val="0"/>
          <w:sz w:val="31"/>
          <w:szCs w:val="31"/>
          <w:lang w:val="en-US" w:eastAsia="zh-CN" w:bidi="ar"/>
        </w:rPr>
        <w:t>加强学习。进一步明确如何参照考核体系，科学合理设定绩效目标，充分发挥预算绩效管理</w:t>
      </w:r>
      <w:r>
        <w:rPr>
          <w:rFonts w:hint="eastAsia" w:ascii="Times New Roman" w:hAnsi="Times New Roman" w:eastAsia="方正仿宋_GBK" w:cs="Times New Roman"/>
          <w:color w:val="000000"/>
          <w:kern w:val="0"/>
          <w:sz w:val="31"/>
          <w:szCs w:val="31"/>
          <w:lang w:val="en-US" w:eastAsia="zh-CN" w:bidi="ar"/>
        </w:rPr>
        <w:t>工作效用。</w:t>
      </w:r>
    </w:p>
    <w:p>
      <w:pPr>
        <w:keepNext w:val="0"/>
        <w:keepLines w:val="0"/>
        <w:pageBreakBefore w:val="0"/>
        <w:kinsoku/>
        <w:wordWrap/>
        <w:overflowPunct/>
        <w:topLinePunct w:val="0"/>
        <w:autoSpaceDE/>
        <w:autoSpaceDN/>
        <w:bidi w:val="0"/>
        <w:adjustRightInd/>
        <w:spacing w:line="560" w:lineRule="exact"/>
        <w:ind w:firstLine="561" w:firstLineChars="181"/>
        <w:textAlignment w:val="auto"/>
        <w:rPr>
          <w:rFonts w:hint="eastAsia" w:ascii="Times New Roman" w:hAnsi="Times New Roman" w:eastAsia="方正仿宋_GBK" w:cs="Times New Roman"/>
          <w:color w:val="000000"/>
          <w:kern w:val="0"/>
          <w:sz w:val="31"/>
          <w:szCs w:val="31"/>
          <w:lang w:val="en-US" w:eastAsia="zh-CN" w:bidi="ar"/>
        </w:rPr>
      </w:pPr>
      <w:r>
        <w:rPr>
          <w:rFonts w:hint="eastAsia" w:eastAsia="方正仿宋_GBK" w:cs="Times New Roman"/>
          <w:color w:val="000000"/>
          <w:kern w:val="0"/>
          <w:sz w:val="31"/>
          <w:szCs w:val="31"/>
          <w:lang w:val="en-US" w:eastAsia="zh-CN" w:bidi="ar"/>
        </w:rPr>
        <w:t>2.</w:t>
      </w:r>
      <w:r>
        <w:rPr>
          <w:rFonts w:hint="eastAsia" w:ascii="Times New Roman" w:hAnsi="Times New Roman" w:eastAsia="方正仿宋_GBK" w:cs="Times New Roman"/>
          <w:color w:val="000000"/>
          <w:kern w:val="0"/>
          <w:sz w:val="31"/>
          <w:szCs w:val="31"/>
          <w:lang w:val="en-US" w:eastAsia="zh-CN" w:bidi="ar"/>
        </w:rPr>
        <w:t>财务上，会计核算要更加详细，为本单位各项工作的开展、总结、评估提供有效数据资料支撑,为各项业务工作更好的开展提供帮助。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pacing w:line="560" w:lineRule="exact"/>
        <w:textAlignment w:val="auto"/>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br w:type="page"/>
      </w: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pacing w:line="560" w:lineRule="exact"/>
        <w:textAlignment w:val="auto"/>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br w:type="page"/>
      </w: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0" w:firstLineChars="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pacing w:before="0" w:beforeLines="0" w:beforeAutospacing="0" w:after="0" w:afterLines="0" w:afterAutospacing="0" w:line="560" w:lineRule="exact"/>
        <w:ind w:firstLine="640" w:firstLineChars="200"/>
        <w:jc w:val="left"/>
        <w:textAlignment w:val="auto"/>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-19050</wp:posOffset>
            </wp:positionH>
            <wp:positionV relativeFrom="page">
              <wp:posOffset>1171575</wp:posOffset>
            </wp:positionV>
            <wp:extent cx="5479415" cy="4791710"/>
            <wp:effectExtent l="0" t="0" r="6985"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479415" cy="47917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pPr>
      <w:r>
        <w:drawing>
          <wp:anchor distT="0" distB="0" distL="114300" distR="114300" simplePos="0" relativeHeight="251659264" behindDoc="0" locked="0" layoutInCell="1" allowOverlap="1">
            <wp:simplePos x="0" y="0"/>
            <wp:positionH relativeFrom="column">
              <wp:posOffset>-63500</wp:posOffset>
            </wp:positionH>
            <wp:positionV relativeFrom="page">
              <wp:posOffset>838835</wp:posOffset>
            </wp:positionV>
            <wp:extent cx="5475605" cy="6937375"/>
            <wp:effectExtent l="0" t="0" r="10795" b="158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75605" cy="69373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sectPr>
          <w:pgSz w:w="12240" w:h="15840"/>
          <w:pgMar w:top="1440" w:right="1800" w:bottom="1440" w:left="1800" w:header="720" w:footer="720" w:gutter="0"/>
          <w:cols w:space="720" w:num="1"/>
        </w:sectPr>
      </w:pPr>
    </w:p>
    <w:p>
      <w:pPr>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-57150</wp:posOffset>
            </wp:positionH>
            <wp:positionV relativeFrom="page">
              <wp:posOffset>970280</wp:posOffset>
            </wp:positionV>
            <wp:extent cx="5483225" cy="8352790"/>
            <wp:effectExtent l="0" t="0" r="3175" b="1016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83225" cy="8352790"/>
                    </a:xfrm>
                    <a:prstGeom prst="rect">
                      <a:avLst/>
                    </a:prstGeom>
                    <a:noFill/>
                    <a:ln>
                      <a:noFill/>
                    </a:ln>
                  </pic:spPr>
                </pic:pic>
              </a:graphicData>
            </a:graphic>
          </wp:anchor>
        </w:drawing>
      </w:r>
    </w:p>
    <w:p>
      <w:pPr>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0</wp:posOffset>
            </wp:positionH>
            <wp:positionV relativeFrom="page">
              <wp:posOffset>914400</wp:posOffset>
            </wp:positionV>
            <wp:extent cx="5485130" cy="3762375"/>
            <wp:effectExtent l="0" t="0" r="1270" b="952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5130" cy="3762375"/>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28575</wp:posOffset>
            </wp:positionH>
            <wp:positionV relativeFrom="page">
              <wp:posOffset>845820</wp:posOffset>
            </wp:positionV>
            <wp:extent cx="5479415" cy="8502650"/>
            <wp:effectExtent l="0" t="0" r="6985" b="1270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79415" cy="8502650"/>
                    </a:xfrm>
                    <a:prstGeom prst="rect">
                      <a:avLst/>
                    </a:prstGeom>
                    <a:noFill/>
                    <a:ln>
                      <a:noFill/>
                    </a:ln>
                  </pic:spPr>
                </pic:pic>
              </a:graphicData>
            </a:graphic>
          </wp:anchor>
        </w:drawing>
      </w:r>
    </w:p>
    <w:p>
      <w:pPr>
        <w:sectPr>
          <w:pgSz w:w="12240" w:h="15840"/>
          <w:pgMar w:top="1440" w:right="1800" w:bottom="1440" w:left="1800" w:header="720" w:footer="720" w:gutter="0"/>
          <w:cols w:space="720" w:num="1"/>
        </w:sectPr>
      </w:pPr>
      <w:r>
        <w:drawing>
          <wp:anchor distT="0" distB="0" distL="114300" distR="114300" simplePos="0" relativeHeight="251664384" behindDoc="0" locked="0" layoutInCell="1" allowOverlap="1">
            <wp:simplePos x="0" y="0"/>
            <wp:positionH relativeFrom="column">
              <wp:posOffset>0</wp:posOffset>
            </wp:positionH>
            <wp:positionV relativeFrom="page">
              <wp:posOffset>914400</wp:posOffset>
            </wp:positionV>
            <wp:extent cx="5479415" cy="4752340"/>
            <wp:effectExtent l="0" t="0" r="6985" b="1016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79415" cy="4752340"/>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5408" behindDoc="0" locked="0" layoutInCell="1" allowOverlap="1">
            <wp:simplePos x="0" y="0"/>
            <wp:positionH relativeFrom="column">
              <wp:posOffset>76200</wp:posOffset>
            </wp:positionH>
            <wp:positionV relativeFrom="page">
              <wp:posOffset>1665605</wp:posOffset>
            </wp:positionV>
            <wp:extent cx="5480050" cy="2454275"/>
            <wp:effectExtent l="0" t="0" r="6350" b="317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0050" cy="2454275"/>
                    </a:xfrm>
                    <a:prstGeom prst="rect">
                      <a:avLst/>
                    </a:prstGeom>
                    <a:noFill/>
                    <a:ln>
                      <a:noFill/>
                    </a:ln>
                  </pic:spPr>
                </pic:pic>
              </a:graphicData>
            </a:graphic>
          </wp:anchor>
        </w:drawing>
      </w:r>
    </w:p>
    <w:p>
      <w:pPr>
        <w:sectPr>
          <w:pgSz w:w="12240" w:h="15840"/>
          <w:pgMar w:top="1440" w:right="1800" w:bottom="1440" w:left="1800" w:header="720" w:footer="720" w:gutter="0"/>
          <w:cols w:space="720" w:num="1"/>
        </w:sectPr>
      </w:pPr>
      <w:r>
        <w:drawing>
          <wp:anchor distT="0" distB="0" distL="114300" distR="114300" simplePos="0" relativeHeight="251666432" behindDoc="0" locked="0" layoutInCell="1" allowOverlap="1">
            <wp:simplePos x="0" y="0"/>
            <wp:positionH relativeFrom="column">
              <wp:posOffset>0</wp:posOffset>
            </wp:positionH>
            <wp:positionV relativeFrom="page">
              <wp:posOffset>914400</wp:posOffset>
            </wp:positionV>
            <wp:extent cx="5478145" cy="1699260"/>
            <wp:effectExtent l="0" t="0" r="8255" b="1524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78145" cy="1699260"/>
                    </a:xfrm>
                    <a:prstGeom prst="rect">
                      <a:avLst/>
                    </a:prstGeom>
                    <a:noFill/>
                    <a:ln>
                      <a:noFill/>
                    </a:ln>
                  </pic:spPr>
                </pic:pic>
              </a:graphicData>
            </a:graphic>
          </wp:anchor>
        </w:drawing>
      </w:r>
    </w:p>
    <w:p>
      <w:pPr>
        <w:pStyle w:val="2"/>
        <w:sectPr>
          <w:pgSz w:w="12240" w:h="15840"/>
          <w:pgMar w:top="1440" w:right="1800" w:bottom="1440" w:left="1800" w:header="720" w:footer="720" w:gutter="0"/>
          <w:cols w:space="720" w:num="1"/>
        </w:sectPr>
      </w:pPr>
      <w:r>
        <w:drawing>
          <wp:anchor distT="0" distB="0" distL="114300" distR="114300" simplePos="0" relativeHeight="251667456" behindDoc="0" locked="0" layoutInCell="1" allowOverlap="1">
            <wp:simplePos x="0" y="0"/>
            <wp:positionH relativeFrom="column">
              <wp:posOffset>47625</wp:posOffset>
            </wp:positionH>
            <wp:positionV relativeFrom="page">
              <wp:posOffset>1560830</wp:posOffset>
            </wp:positionV>
            <wp:extent cx="5476240" cy="959485"/>
            <wp:effectExtent l="0" t="0" r="10160" b="1206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6240" cy="959485"/>
                    </a:xfrm>
                    <a:prstGeom prst="rect">
                      <a:avLst/>
                    </a:prstGeom>
                    <a:noFill/>
                    <a:ln>
                      <a:noFill/>
                    </a:ln>
                  </pic:spPr>
                </pic:pic>
              </a:graphicData>
            </a:graphic>
          </wp:anchor>
        </w:drawing>
      </w:r>
    </w:p>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7E8EB3"/>
    <w:multiLevelType w:val="singleLevel"/>
    <w:tmpl w:val="857E8EB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7A3B92"/>
    <w:rsid w:val="00CE57BD"/>
    <w:rsid w:val="011F2D69"/>
    <w:rsid w:val="01CD3979"/>
    <w:rsid w:val="02AF6B55"/>
    <w:rsid w:val="02ED5099"/>
    <w:rsid w:val="031D262F"/>
    <w:rsid w:val="03C17FCC"/>
    <w:rsid w:val="03E90F61"/>
    <w:rsid w:val="04175DF4"/>
    <w:rsid w:val="04B43149"/>
    <w:rsid w:val="04E17804"/>
    <w:rsid w:val="057612CB"/>
    <w:rsid w:val="059D2CA1"/>
    <w:rsid w:val="06105338"/>
    <w:rsid w:val="062B294B"/>
    <w:rsid w:val="066A371F"/>
    <w:rsid w:val="06746B90"/>
    <w:rsid w:val="06926415"/>
    <w:rsid w:val="06E34232"/>
    <w:rsid w:val="06F74435"/>
    <w:rsid w:val="0736074C"/>
    <w:rsid w:val="07AB78BE"/>
    <w:rsid w:val="08EC61E8"/>
    <w:rsid w:val="096354DE"/>
    <w:rsid w:val="09BB0004"/>
    <w:rsid w:val="09CA0FB8"/>
    <w:rsid w:val="0B591F52"/>
    <w:rsid w:val="0C612466"/>
    <w:rsid w:val="0C627937"/>
    <w:rsid w:val="0C7847E8"/>
    <w:rsid w:val="0C9C0360"/>
    <w:rsid w:val="0CB63ABD"/>
    <w:rsid w:val="0D1D205E"/>
    <w:rsid w:val="0D541946"/>
    <w:rsid w:val="0E160F99"/>
    <w:rsid w:val="0ECF59F9"/>
    <w:rsid w:val="0F552EB5"/>
    <w:rsid w:val="0FCE0619"/>
    <w:rsid w:val="11214E34"/>
    <w:rsid w:val="11EE0589"/>
    <w:rsid w:val="121D3F4E"/>
    <w:rsid w:val="12244842"/>
    <w:rsid w:val="12D22CC0"/>
    <w:rsid w:val="1309780D"/>
    <w:rsid w:val="133036B9"/>
    <w:rsid w:val="135C0E84"/>
    <w:rsid w:val="140A2E37"/>
    <w:rsid w:val="143F5FC4"/>
    <w:rsid w:val="14405D24"/>
    <w:rsid w:val="14BD2CFE"/>
    <w:rsid w:val="15A318D4"/>
    <w:rsid w:val="15E966D0"/>
    <w:rsid w:val="160B0BBD"/>
    <w:rsid w:val="163F3B47"/>
    <w:rsid w:val="17DA7C34"/>
    <w:rsid w:val="180D36F2"/>
    <w:rsid w:val="187B22C3"/>
    <w:rsid w:val="189E266C"/>
    <w:rsid w:val="18EF20F4"/>
    <w:rsid w:val="194B37DB"/>
    <w:rsid w:val="19501DE6"/>
    <w:rsid w:val="195E5DA0"/>
    <w:rsid w:val="19824C68"/>
    <w:rsid w:val="19D901AB"/>
    <w:rsid w:val="1A607739"/>
    <w:rsid w:val="1AC67FB9"/>
    <w:rsid w:val="1AFD0DD4"/>
    <w:rsid w:val="1B257FB6"/>
    <w:rsid w:val="1B383A1D"/>
    <w:rsid w:val="1C7A7417"/>
    <w:rsid w:val="1C91753C"/>
    <w:rsid w:val="1CBB5E0D"/>
    <w:rsid w:val="1D250E72"/>
    <w:rsid w:val="1D2E66E7"/>
    <w:rsid w:val="1DD33D04"/>
    <w:rsid w:val="1E0B4AF9"/>
    <w:rsid w:val="1E2602A5"/>
    <w:rsid w:val="1F3B78A1"/>
    <w:rsid w:val="20215BAF"/>
    <w:rsid w:val="20665339"/>
    <w:rsid w:val="20AA4875"/>
    <w:rsid w:val="21144E5B"/>
    <w:rsid w:val="21585251"/>
    <w:rsid w:val="215D016B"/>
    <w:rsid w:val="21EF7817"/>
    <w:rsid w:val="22895F19"/>
    <w:rsid w:val="22DF7EDE"/>
    <w:rsid w:val="230578BF"/>
    <w:rsid w:val="23711EE8"/>
    <w:rsid w:val="23B75EB5"/>
    <w:rsid w:val="23DB67EC"/>
    <w:rsid w:val="242E54C2"/>
    <w:rsid w:val="24C07C76"/>
    <w:rsid w:val="25013D77"/>
    <w:rsid w:val="257E5ABE"/>
    <w:rsid w:val="25C70FCD"/>
    <w:rsid w:val="25CF6983"/>
    <w:rsid w:val="26701012"/>
    <w:rsid w:val="271A13C9"/>
    <w:rsid w:val="276D37A2"/>
    <w:rsid w:val="277965B7"/>
    <w:rsid w:val="279252C0"/>
    <w:rsid w:val="27962FD3"/>
    <w:rsid w:val="28856A43"/>
    <w:rsid w:val="29327127"/>
    <w:rsid w:val="298A7DC7"/>
    <w:rsid w:val="299B6171"/>
    <w:rsid w:val="2AAC663B"/>
    <w:rsid w:val="2B375CC7"/>
    <w:rsid w:val="2BD422E4"/>
    <w:rsid w:val="2C630F8C"/>
    <w:rsid w:val="2CE23ECA"/>
    <w:rsid w:val="2D9A1328"/>
    <w:rsid w:val="2E63024A"/>
    <w:rsid w:val="2EF23682"/>
    <w:rsid w:val="2F12196E"/>
    <w:rsid w:val="2F722195"/>
    <w:rsid w:val="2FE0369D"/>
    <w:rsid w:val="302B7ED5"/>
    <w:rsid w:val="304E7425"/>
    <w:rsid w:val="30D73A83"/>
    <w:rsid w:val="30F32D25"/>
    <w:rsid w:val="310E0197"/>
    <w:rsid w:val="312B7A63"/>
    <w:rsid w:val="314A452D"/>
    <w:rsid w:val="31AD3BDE"/>
    <w:rsid w:val="32000C12"/>
    <w:rsid w:val="321453DD"/>
    <w:rsid w:val="323E588C"/>
    <w:rsid w:val="32C91410"/>
    <w:rsid w:val="33D67C27"/>
    <w:rsid w:val="33DC27A8"/>
    <w:rsid w:val="344E0DD8"/>
    <w:rsid w:val="348662BC"/>
    <w:rsid w:val="35015DBF"/>
    <w:rsid w:val="354B00B1"/>
    <w:rsid w:val="356A2506"/>
    <w:rsid w:val="361D11AE"/>
    <w:rsid w:val="370E07C3"/>
    <w:rsid w:val="372765E5"/>
    <w:rsid w:val="374B0EB2"/>
    <w:rsid w:val="37594B56"/>
    <w:rsid w:val="3768685D"/>
    <w:rsid w:val="377B00E7"/>
    <w:rsid w:val="383D42C8"/>
    <w:rsid w:val="385175E9"/>
    <w:rsid w:val="3873795C"/>
    <w:rsid w:val="38D429CA"/>
    <w:rsid w:val="39013BC3"/>
    <w:rsid w:val="393C1573"/>
    <w:rsid w:val="39831C3A"/>
    <w:rsid w:val="3A0B2E50"/>
    <w:rsid w:val="3A713739"/>
    <w:rsid w:val="3AAC0F71"/>
    <w:rsid w:val="3AB41562"/>
    <w:rsid w:val="3AF04AA1"/>
    <w:rsid w:val="3B6255DC"/>
    <w:rsid w:val="3B7E1310"/>
    <w:rsid w:val="3C456166"/>
    <w:rsid w:val="3D506E52"/>
    <w:rsid w:val="3DB61C88"/>
    <w:rsid w:val="3E0E373E"/>
    <w:rsid w:val="3E87428D"/>
    <w:rsid w:val="3F5564D6"/>
    <w:rsid w:val="3FCC315C"/>
    <w:rsid w:val="3FCE6435"/>
    <w:rsid w:val="3FDA046C"/>
    <w:rsid w:val="40E67A08"/>
    <w:rsid w:val="41282E9A"/>
    <w:rsid w:val="41A01971"/>
    <w:rsid w:val="41EA2D00"/>
    <w:rsid w:val="422F4912"/>
    <w:rsid w:val="424F6354"/>
    <w:rsid w:val="42EE4FB8"/>
    <w:rsid w:val="431A4B15"/>
    <w:rsid w:val="43323BD8"/>
    <w:rsid w:val="437A5133"/>
    <w:rsid w:val="445E34A8"/>
    <w:rsid w:val="44892A9E"/>
    <w:rsid w:val="449A350F"/>
    <w:rsid w:val="44E04C2E"/>
    <w:rsid w:val="452568D2"/>
    <w:rsid w:val="453A3DC4"/>
    <w:rsid w:val="457006C2"/>
    <w:rsid w:val="45721C6B"/>
    <w:rsid w:val="45DA0EAC"/>
    <w:rsid w:val="46241818"/>
    <w:rsid w:val="46387963"/>
    <w:rsid w:val="46BE13B6"/>
    <w:rsid w:val="46E31FF9"/>
    <w:rsid w:val="476D076E"/>
    <w:rsid w:val="47B346E9"/>
    <w:rsid w:val="47B4224A"/>
    <w:rsid w:val="48702436"/>
    <w:rsid w:val="491B293B"/>
    <w:rsid w:val="496D1700"/>
    <w:rsid w:val="4A222680"/>
    <w:rsid w:val="4AB82DFF"/>
    <w:rsid w:val="4AC77327"/>
    <w:rsid w:val="4B6C4D18"/>
    <w:rsid w:val="4B8507F4"/>
    <w:rsid w:val="4D4B5B0E"/>
    <w:rsid w:val="4D9056DC"/>
    <w:rsid w:val="4DA10B9A"/>
    <w:rsid w:val="4DAF5D4B"/>
    <w:rsid w:val="4E0639B9"/>
    <w:rsid w:val="4FBF629E"/>
    <w:rsid w:val="4FD6162D"/>
    <w:rsid w:val="4FE965E4"/>
    <w:rsid w:val="51626C12"/>
    <w:rsid w:val="517111C0"/>
    <w:rsid w:val="51EC10E5"/>
    <w:rsid w:val="52706414"/>
    <w:rsid w:val="536073B7"/>
    <w:rsid w:val="538365A9"/>
    <w:rsid w:val="546C6455"/>
    <w:rsid w:val="54842657"/>
    <w:rsid w:val="557702B9"/>
    <w:rsid w:val="557D0D9E"/>
    <w:rsid w:val="55837F13"/>
    <w:rsid w:val="56BD6736"/>
    <w:rsid w:val="56F608DA"/>
    <w:rsid w:val="57206003"/>
    <w:rsid w:val="576F0F01"/>
    <w:rsid w:val="585D642E"/>
    <w:rsid w:val="596A73D3"/>
    <w:rsid w:val="599B4319"/>
    <w:rsid w:val="5B0B4C08"/>
    <w:rsid w:val="5B7E57DE"/>
    <w:rsid w:val="5C587F4A"/>
    <w:rsid w:val="5C5D509F"/>
    <w:rsid w:val="5C6470ED"/>
    <w:rsid w:val="5CB44EC7"/>
    <w:rsid w:val="5CEB292C"/>
    <w:rsid w:val="5DE06F92"/>
    <w:rsid w:val="5E111D33"/>
    <w:rsid w:val="5E185537"/>
    <w:rsid w:val="5EF67D47"/>
    <w:rsid w:val="5FF92532"/>
    <w:rsid w:val="611355F5"/>
    <w:rsid w:val="626546ED"/>
    <w:rsid w:val="639D2BC2"/>
    <w:rsid w:val="63E304B5"/>
    <w:rsid w:val="64051D2A"/>
    <w:rsid w:val="645A426D"/>
    <w:rsid w:val="649C4C1B"/>
    <w:rsid w:val="65997EE6"/>
    <w:rsid w:val="659E4ABF"/>
    <w:rsid w:val="66590BF0"/>
    <w:rsid w:val="666F68A6"/>
    <w:rsid w:val="66835C67"/>
    <w:rsid w:val="66F453DD"/>
    <w:rsid w:val="67A13355"/>
    <w:rsid w:val="685A5A5F"/>
    <w:rsid w:val="687263D8"/>
    <w:rsid w:val="6906613A"/>
    <w:rsid w:val="691E16CA"/>
    <w:rsid w:val="69D32853"/>
    <w:rsid w:val="6A012A01"/>
    <w:rsid w:val="6AAA12AE"/>
    <w:rsid w:val="6AE37DD0"/>
    <w:rsid w:val="6B075082"/>
    <w:rsid w:val="6B9171DD"/>
    <w:rsid w:val="6C571762"/>
    <w:rsid w:val="6C856A22"/>
    <w:rsid w:val="6D2F4470"/>
    <w:rsid w:val="6D612B5D"/>
    <w:rsid w:val="6D933D2D"/>
    <w:rsid w:val="6D936C89"/>
    <w:rsid w:val="6DA87800"/>
    <w:rsid w:val="6E1E31AC"/>
    <w:rsid w:val="6E592108"/>
    <w:rsid w:val="6E607250"/>
    <w:rsid w:val="6E87194C"/>
    <w:rsid w:val="6E935B65"/>
    <w:rsid w:val="6EF70021"/>
    <w:rsid w:val="6F214513"/>
    <w:rsid w:val="6F2A104A"/>
    <w:rsid w:val="6FB0760C"/>
    <w:rsid w:val="6FCD21A3"/>
    <w:rsid w:val="6FD31911"/>
    <w:rsid w:val="70067826"/>
    <w:rsid w:val="70A930CC"/>
    <w:rsid w:val="71476BBA"/>
    <w:rsid w:val="720432B6"/>
    <w:rsid w:val="7252285B"/>
    <w:rsid w:val="7265099C"/>
    <w:rsid w:val="73077D17"/>
    <w:rsid w:val="732A6FA6"/>
    <w:rsid w:val="734874EE"/>
    <w:rsid w:val="73FD47A2"/>
    <w:rsid w:val="741A7C65"/>
    <w:rsid w:val="750D48BC"/>
    <w:rsid w:val="75B22F56"/>
    <w:rsid w:val="75E6623C"/>
    <w:rsid w:val="75E70B1D"/>
    <w:rsid w:val="75EA3739"/>
    <w:rsid w:val="75FE57C0"/>
    <w:rsid w:val="763960DA"/>
    <w:rsid w:val="764F1C12"/>
    <w:rsid w:val="76EC0A3F"/>
    <w:rsid w:val="777D422E"/>
    <w:rsid w:val="77B07B44"/>
    <w:rsid w:val="77D30B0C"/>
    <w:rsid w:val="77EE3C3A"/>
    <w:rsid w:val="782C49A2"/>
    <w:rsid w:val="78870193"/>
    <w:rsid w:val="79D42ED6"/>
    <w:rsid w:val="7A77740D"/>
    <w:rsid w:val="7BA90E79"/>
    <w:rsid w:val="7C0D3C32"/>
    <w:rsid w:val="7C88783E"/>
    <w:rsid w:val="7CE90B3F"/>
    <w:rsid w:val="7D126F24"/>
    <w:rsid w:val="7D4133DB"/>
    <w:rsid w:val="7D8838BC"/>
    <w:rsid w:val="7DAB7DBE"/>
    <w:rsid w:val="7F15309D"/>
    <w:rsid w:val="7F153A1E"/>
    <w:rsid w:val="7F1E650A"/>
    <w:rsid w:val="7F445F27"/>
    <w:rsid w:val="7F49738B"/>
    <w:rsid w:val="7F6B5B1E"/>
    <w:rsid w:val="7FBF5A61"/>
    <w:rsid w:val="7FFF26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2025-08-14T08:37:00Z</dcterms:created>
  <dc:creator>Administrator</dc:creator>
  <cp:lastModifiedBy>Administrator</cp:lastModifiedBy>
  <dcterms:modified xsi:type="dcterms:W3CDTF">2025-08-20T11:15:44Z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