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eastAsia" w:eastAsia="华文中宋" w:cs="Times New Roman"/>
          <w:b/>
          <w:kern w:val="0"/>
          <w:sz w:val="52"/>
          <w:szCs w:val="52"/>
          <w:lang w:val="en-US" w:eastAsia="zh-CN"/>
        </w:rPr>
      </w:pPr>
    </w:p>
    <w:p>
      <w:pPr>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华文中宋" w:cs="Times New Roman"/>
          <w:b/>
          <w:kern w:val="0"/>
          <w:sz w:val="52"/>
          <w:szCs w:val="52"/>
          <w:lang w:val="en-US" w:eastAsia="zh-CN"/>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支农专项</w:t>
      </w:r>
      <w:r>
        <w:rPr>
          <w:rFonts w:hint="eastAsia" w:eastAsia="方正小标宋_GBK" w:cs="Times New Roman"/>
          <w:kern w:val="0"/>
          <w:sz w:val="48"/>
          <w:szCs w:val="48"/>
          <w:lang w:val="en-US" w:eastAsia="zh-CN"/>
        </w:rPr>
        <w:t>-村级组织工作经费</w:t>
      </w:r>
      <w:r>
        <w:rPr>
          <w:rFonts w:hint="default" w:ascii="Times New Roman" w:hAnsi="Times New Roman" w:eastAsia="方正小标宋_GBK" w:cs="Times New Roman"/>
          <w:kern w:val="0"/>
          <w:sz w:val="48"/>
          <w:szCs w:val="48"/>
        </w:rPr>
        <w:t>项目支出</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Style w:val="12"/>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left="359" w:leftChars="171"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支农</w:t>
      </w:r>
      <w:r>
        <w:rPr>
          <w:rFonts w:hint="eastAsia" w:ascii="Times New Roman" w:hAnsi="Times New Roman" w:eastAsia="仿宋_GB2312" w:cs="Times New Roman"/>
          <w:kern w:val="0"/>
          <w:sz w:val="36"/>
          <w:szCs w:val="36"/>
          <w:lang w:eastAsia="zh-CN"/>
        </w:rPr>
        <w:t>专项</w:t>
      </w:r>
      <w:r>
        <w:rPr>
          <w:rFonts w:hint="eastAsia" w:ascii="Times New Roman" w:hAnsi="Times New Roman" w:eastAsia="仿宋_GB2312" w:cs="Times New Roman"/>
          <w:kern w:val="0"/>
          <w:sz w:val="36"/>
          <w:szCs w:val="36"/>
          <w:lang w:val="en-US" w:eastAsia="zh-CN"/>
        </w:rPr>
        <w:t>-村级组织工作经费</w:t>
      </w:r>
      <w:r>
        <w:rPr>
          <w:rFonts w:hint="default" w:ascii="Times New Roman" w:hAnsi="Times New Roman" w:eastAsia="仿宋_GB2312" w:cs="Times New Roman"/>
          <w:kern w:val="0"/>
          <w:sz w:val="36"/>
          <w:szCs w:val="36"/>
        </w:rPr>
        <w:t>项目</w:t>
      </w:r>
    </w:p>
    <w:p>
      <w:pPr>
        <w:pageBreakBefore w:val="0"/>
        <w:kinsoku/>
        <w:wordWrap/>
        <w:overflowPunct/>
        <w:topLinePunct w:val="0"/>
        <w:autoSpaceDE/>
        <w:autoSpaceDN/>
        <w:bidi w:val="0"/>
        <w:adjustRightInd/>
        <w:snapToGrid/>
        <w:spacing w:line="560" w:lineRule="exact"/>
        <w:ind w:left="359" w:leftChars="171" w:firstLine="0" w:firstLineChars="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实施单位（公章）：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恰尔巴格乡</w:t>
      </w:r>
      <w:r>
        <w:rPr>
          <w:rFonts w:hAnsi="宋体" w:eastAsia="仿宋_GB2312" w:cs="宋体"/>
          <w:kern w:val="0"/>
          <w:sz w:val="36"/>
          <w:szCs w:val="36"/>
        </w:rPr>
        <w:t>人民政府</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主管部门（公章）：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恰尔巴格乡</w:t>
      </w:r>
      <w:r>
        <w:rPr>
          <w:rFonts w:hAnsi="宋体" w:eastAsia="仿宋_GB2312" w:cs="宋体"/>
          <w:kern w:val="0"/>
          <w:sz w:val="36"/>
          <w:szCs w:val="36"/>
        </w:rPr>
        <w:t>人民政府</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郑媛杰</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Cs/>
          <w:sz w:val="32"/>
          <w:szCs w:val="32"/>
          <w:lang w:eastAsia="zh-CN"/>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w:t>
      </w:r>
      <w:r>
        <w:rPr>
          <w:rFonts w:hint="eastAsia" w:eastAsia="仿宋_GB2312" w:cs="Times New Roman"/>
          <w:b/>
          <w:bCs/>
          <w:sz w:val="32"/>
          <w:szCs w:val="32"/>
          <w:lang w:val="en-US" w:eastAsia="zh-CN"/>
        </w:rPr>
        <w:t>背景</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项目旨在强化村级组织服务效能、推动乡村全面振兴，其设立具有深刻的现实背景：保障村级组织正常运转：村级组织作为落实乡村政策、服务村民的“最后一公里”基层单位，承担着村级事务管理、公共服务供给等大量工作。然而，部分村集体经济薄弱，自有资金难以满足日常办公、活动开展等基本需求，导致村级组织运行效率低下，甚至影响基层治理的稳定性和有效性。</w:t>
      </w: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村级组织工作经费的注入，能够为村级组织提供稳定的资金支持，保障其各项工作顺利开展。</w:t>
      </w:r>
    </w:p>
    <w:p>
      <w:pPr>
        <w:pStyle w:val="3"/>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2.项目主要内容：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实现恰尔巴格乡7个村全覆盖，确保2个大村，4个中村，1个小村正常运转；抓好各村委会基层党组织阵地建设，确保基层党组织各项事业稳定有序开展，提升村干部为民服务能力、提高服务水平，顺利服务于村民，提高幸福指数。</w:t>
      </w:r>
      <w:r>
        <w:rPr>
          <w:rFonts w:hint="eastAsia" w:ascii="Times New Roman" w:hAnsi="Times New Roman" w:eastAsia="仿宋_GB2312" w:cs="Times New Roman"/>
          <w:sz w:val="32"/>
          <w:szCs w:val="32"/>
          <w:highlight w:val="none"/>
          <w:lang w:val="en-US" w:eastAsia="zh-CN"/>
        </w:rPr>
        <w:t>村级组织运转经费主要</w:t>
      </w:r>
      <w:r>
        <w:rPr>
          <w:rFonts w:hint="default" w:ascii="Times New Roman" w:hAnsi="Times New Roman" w:eastAsia="仿宋_GB2312" w:cs="Times New Roman"/>
          <w:sz w:val="32"/>
          <w:szCs w:val="32"/>
          <w:highlight w:val="none"/>
          <w:lang w:val="en-US" w:eastAsia="zh-CN"/>
        </w:rPr>
        <w:t>用于村级组织日常办公所需，如办公用品（纸张、笔墨、打印耗材等）采购，办公设备（电脑、打印机、复印机等）的购置、维修与维护；支付水电费、通讯费（固定电话、网络费用）等，确保</w:t>
      </w:r>
      <w:r>
        <w:rPr>
          <w:rFonts w:hint="eastAsia" w:ascii="Times New Roman" w:hAnsi="Times New Roman" w:eastAsia="仿宋_GB2312" w:cs="Times New Roman"/>
          <w:sz w:val="32"/>
          <w:szCs w:val="32"/>
          <w:highlight w:val="none"/>
          <w:lang w:val="en-US" w:eastAsia="zh-CN"/>
        </w:rPr>
        <w:t>7个村</w:t>
      </w:r>
      <w:r>
        <w:rPr>
          <w:rFonts w:hint="default" w:ascii="Times New Roman" w:hAnsi="Times New Roman" w:eastAsia="仿宋_GB2312" w:cs="Times New Roman"/>
          <w:sz w:val="32"/>
          <w:szCs w:val="32"/>
          <w:highlight w:val="none"/>
          <w:lang w:val="en-US" w:eastAsia="zh-CN"/>
        </w:rPr>
        <w:t>村级办公场所正常运转。</w:t>
      </w:r>
    </w:p>
    <w:p>
      <w:pPr>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u w:val="none"/>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支农专项-村级组织工作经费</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lang w:val="en-US" w:eastAsia="zh-CN"/>
        </w:rPr>
        <w:t>初预算数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77.61</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99.5</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2"/>
          <w:szCs w:val="32"/>
          <w:u w:val="none"/>
        </w:rPr>
        <w:t>我单位将</w:t>
      </w:r>
      <w:r>
        <w:rPr>
          <w:rFonts w:hint="eastAsia" w:ascii="仿宋_GB2312" w:hAnsi="仿宋_GB2312" w:eastAsia="仿宋_GB2312" w:cs="仿宋_GB2312"/>
          <w:sz w:val="32"/>
          <w:szCs w:val="32"/>
          <w:u w:val="none"/>
          <w:lang w:val="en-US" w:eastAsia="zh-CN"/>
        </w:rPr>
        <w:t>78</w:t>
      </w:r>
      <w:r>
        <w:rPr>
          <w:rFonts w:hint="eastAsia" w:ascii="仿宋_GB2312" w:hAnsi="仿宋_GB2312" w:eastAsia="仿宋_GB2312" w:cs="仿宋_GB2312"/>
          <w:sz w:val="32"/>
          <w:szCs w:val="32"/>
          <w:u w:val="none"/>
        </w:rPr>
        <w:t>万元用于下辖</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个</w:t>
      </w:r>
      <w:r>
        <w:rPr>
          <w:rFonts w:hint="eastAsia" w:ascii="仿宋_GB2312" w:hAnsi="仿宋_GB2312" w:eastAsia="仿宋_GB2312" w:cs="仿宋_GB2312"/>
          <w:sz w:val="32"/>
          <w:szCs w:val="32"/>
          <w:u w:val="none"/>
          <w:lang w:eastAsia="zh-CN"/>
        </w:rPr>
        <w:t>村委会正常运转，7个村委会，其中2个大寸，4个中寸，1个小村，大村每个村委会每年12万元运转经费，中村每个村每年11万元运转经费，小村每个村每年10万元运转经费。</w:t>
      </w:r>
      <w:r>
        <w:rPr>
          <w:rFonts w:hint="eastAsia" w:ascii="仿宋_GB2312" w:hAnsi="仿宋_GB2312" w:eastAsia="仿宋_GB2312" w:cs="仿宋_GB2312"/>
          <w:sz w:val="32"/>
          <w:szCs w:val="32"/>
          <w:u w:val="none"/>
        </w:rPr>
        <w:t>具体计划如下1：实现恰尔巴格乡7个村全覆盖，确保2个大村，4个中村，1个小村正常运转；2：抓好各村委会基层党组织阵地建设，提升村干部为民服务能力、提高服务水平，顺利服务于村民，提高幸福指数</w:t>
      </w:r>
      <w:r>
        <w:rPr>
          <w:rFonts w:hint="eastAsia" w:ascii="仿宋_GB2312" w:hAnsi="仿宋_GB2312" w:eastAsia="仿宋_GB2312" w:cs="仿宋_GB2312"/>
          <w:sz w:val="32"/>
          <w:szCs w:val="32"/>
          <w:u w:val="none"/>
          <w:lang w:eastAsia="zh-CN"/>
        </w:rPr>
        <w:t>。</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77.61</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99.5</w:t>
      </w:r>
      <w:r>
        <w:rPr>
          <w:rFonts w:hint="default" w:ascii="Times New Roman" w:hAnsi="Times New Roman" w:eastAsia="仿宋_GB2312" w:cs="Times New Roman"/>
          <w:sz w:val="32"/>
          <w:szCs w:val="32"/>
          <w:highlight w:val="none"/>
          <w:lang w:val="en-US" w:eastAsia="zh-CN"/>
        </w:rPr>
        <w:t>%，主要用于：恰尔巴格乡7个村全覆盖，确保2个大村</w:t>
      </w:r>
      <w:r>
        <w:rPr>
          <w:rFonts w:hint="eastAsia" w:eastAsia="仿宋_GB2312" w:cs="Times New Roman"/>
          <w:sz w:val="32"/>
          <w:szCs w:val="32"/>
          <w:highlight w:val="none"/>
          <w:lang w:val="en-US" w:eastAsia="zh-CN"/>
        </w:rPr>
        <w:t>24万</w:t>
      </w:r>
      <w:r>
        <w:rPr>
          <w:rFonts w:hint="default" w:ascii="Times New Roman" w:hAnsi="Times New Roman" w:eastAsia="仿宋_GB2312" w:cs="Times New Roman"/>
          <w:sz w:val="32"/>
          <w:szCs w:val="32"/>
          <w:highlight w:val="none"/>
          <w:lang w:val="en-US" w:eastAsia="zh-CN"/>
        </w:rPr>
        <w:t>，4个中村</w:t>
      </w:r>
      <w:r>
        <w:rPr>
          <w:rFonts w:hint="eastAsia" w:eastAsia="仿宋_GB2312" w:cs="Times New Roman"/>
          <w:sz w:val="32"/>
          <w:szCs w:val="32"/>
          <w:highlight w:val="none"/>
          <w:lang w:val="en-US" w:eastAsia="zh-CN"/>
        </w:rPr>
        <w:t>44万</w:t>
      </w:r>
      <w:r>
        <w:rPr>
          <w:rFonts w:hint="default" w:ascii="Times New Roman" w:hAnsi="Times New Roman" w:eastAsia="仿宋_GB2312" w:cs="Times New Roman"/>
          <w:sz w:val="32"/>
          <w:szCs w:val="32"/>
          <w:highlight w:val="none"/>
          <w:lang w:val="en-US" w:eastAsia="zh-CN"/>
        </w:rPr>
        <w:t>，1个小村</w:t>
      </w:r>
      <w:r>
        <w:rPr>
          <w:rFonts w:hint="eastAsia" w:eastAsia="仿宋_GB2312" w:cs="Times New Roman"/>
          <w:sz w:val="32"/>
          <w:szCs w:val="32"/>
          <w:highlight w:val="none"/>
          <w:lang w:val="en-US" w:eastAsia="zh-CN"/>
        </w:rPr>
        <w:t>10万标准支付</w:t>
      </w:r>
      <w:r>
        <w:rPr>
          <w:rFonts w:hint="default" w:ascii="Times New Roman" w:hAnsi="Times New Roman" w:eastAsia="仿宋_GB2312" w:cs="Times New Roman"/>
          <w:sz w:val="32"/>
          <w:szCs w:val="32"/>
          <w:highlight w:val="none"/>
          <w:lang w:val="en-US" w:eastAsia="zh-CN"/>
        </w:rPr>
        <w:t>村级组织日常办公所需办公用品（纸张、笔墨、打印耗材等）采购，办公设备（电脑、打印机、复印机等）的购置、维修与维护；支付水电费、通讯费（固定电话、网络费用）等正常运转；抓好各村委会基层党组织阵地建设，确保基层党组织各项事业稳定有序开展，保障各项事业规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提升村干部为民服务能力、提高服务水平，顺利服务于村民，提高幸福指数。</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目标1：实现恰尔巴格乡7个村全覆盖，确保2个大村，4个中村，1个小村正常运转；</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目标2：抓好各村委会基层党组织阵地建设，确保基层党组织各项事业稳定有序开展，保障各项事业规范运行；</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目标3：提升村干部为民服务能力、提高服务水平，顺利服务于村民，提高幸福指数</w:t>
      </w:r>
      <w:r>
        <w:rPr>
          <w:rFonts w:hint="eastAsia" w:ascii="Times New Roman" w:hAnsi="Times New Roman" w:eastAsia="仿宋_GB2312" w:cs="Times New Roman"/>
          <w:sz w:val="32"/>
          <w:szCs w:val="32"/>
          <w:lang w:val="en-US"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阶段性目标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短期目标（1-6个月）资金规范启动：完成项目资金的分配方案制定，明确各村级组织经费额度，确保资金及时、足额拨付到位，保障村级组织日常办公、基础服务等工作正常运转。</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制度完善与宣贯：协助村级组织完善财务管理制度，规范经费使用流程，确保村级组织工作人员熟悉资金使用规范和要求，提高资金使用的合规性。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基础服务保障：通过经费支持，保障村级组织能够及时处理村民事务，提升村民对村级组织服务的满意度。</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中期目标（6-12个月）能力提升与发展：利用</w:t>
      </w:r>
      <w:r>
        <w:rPr>
          <w:rFonts w:hint="eastAsia" w:ascii="Times New Roman" w:hAnsi="Times New Roman" w:eastAsia="仿宋_GB2312" w:cs="Times New Roman"/>
          <w:sz w:val="32"/>
          <w:szCs w:val="32"/>
          <w:lang w:val="en-US" w:eastAsia="zh-CN"/>
        </w:rPr>
        <w:t>村级组织</w:t>
      </w:r>
      <w:r>
        <w:rPr>
          <w:rFonts w:hint="default" w:ascii="Times New Roman" w:hAnsi="Times New Roman" w:eastAsia="仿宋_GB2312" w:cs="Times New Roman"/>
          <w:sz w:val="32"/>
          <w:szCs w:val="32"/>
          <w:lang w:val="en-US" w:eastAsia="zh-CN"/>
        </w:rPr>
        <w:t>工作经费，提升村干部在乡村治理、产业发展、政策执行等方面的能力</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增强组织活力和服务效能。</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支农专项-村级组织工作经费项目预算绩效评价报告在编制过程中，严格遵循大村</w:t>
      </w:r>
      <w:r>
        <w:rPr>
          <w:rFonts w:hint="eastAsia" w:eastAsia="仿宋_GB2312" w:cs="Times New Roman"/>
          <w:color w:val="auto"/>
          <w:sz w:val="32"/>
          <w:szCs w:val="32"/>
          <w:highlight w:val="none"/>
          <w:lang w:val="en-US" w:eastAsia="zh-CN"/>
        </w:rPr>
        <w:t>每年12万元、中村每年11万元、小村每年10万元的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如管辖大、中、小村数量上，涵盖了提高服务群众效率的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，广泛收集了与支农专项-村级组织工作经费项目相关数据，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2.绩效评价的目的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（1）评估项目实施效果</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ascii="Times New Roman" w:hAnsi="Times New Roman" w:eastAsia="仿宋_GB2312" w:cs="Times New Roman"/>
          <w:sz w:val="32"/>
          <w:szCs w:val="32"/>
          <w:highlight w:val="none"/>
          <w:lang w:val="en-US" w:eastAsia="zh-CN"/>
        </w:rPr>
        <w:t>村级组织</w:t>
      </w:r>
      <w:r>
        <w:rPr>
          <w:rFonts w:hint="default" w:ascii="Times New Roman" w:hAnsi="Times New Roman" w:eastAsia="仿宋_GB2312" w:cs="Times New Roman"/>
          <w:sz w:val="32"/>
          <w:szCs w:val="32"/>
          <w:highlight w:val="none"/>
          <w:lang w:val="en-US" w:eastAsia="zh-CN"/>
        </w:rPr>
        <w:t>工作经费支持，大部分村级组织完成办公设备更新，配备电脑、打印机等现代化办公设施，办公效率</w:t>
      </w:r>
      <w:r>
        <w:rPr>
          <w:rFonts w:hint="eastAsia" w:ascii="Times New Roman" w:hAnsi="Times New Roman" w:eastAsia="仿宋_GB2312" w:cs="Times New Roman"/>
          <w:sz w:val="32"/>
          <w:szCs w:val="32"/>
          <w:highlight w:val="none"/>
          <w:lang w:val="en-US" w:eastAsia="zh-CN"/>
        </w:rPr>
        <w:t>有所</w:t>
      </w:r>
      <w:r>
        <w:rPr>
          <w:rFonts w:hint="default" w:ascii="Times New Roman" w:hAnsi="Times New Roman" w:eastAsia="仿宋_GB2312" w:cs="Times New Roman"/>
          <w:sz w:val="32"/>
          <w:szCs w:val="32"/>
          <w:highlight w:val="none"/>
          <w:lang w:val="en-US" w:eastAsia="zh-CN"/>
        </w:rPr>
        <w:t>提升</w:t>
      </w:r>
      <w:r>
        <w:rPr>
          <w:rFonts w:hint="eastAsia" w:ascii="Times New Roman" w:hAnsi="Times New Roman" w:eastAsia="仿宋_GB2312" w:cs="Times New Roman"/>
          <w:sz w:val="32"/>
          <w:szCs w:val="32"/>
          <w:highlight w:val="none"/>
          <w:lang w:val="en-US" w:eastAsia="zh-CN"/>
        </w:rPr>
        <w:t>，各村年均开展文化活动次数超过5次，各个村组建文艺队伍1支，举办民俗节庆、技能培训等活动，丰富村民精神文化生活，增强乡村凝聚力。村级组织</w:t>
      </w:r>
      <w:r>
        <w:rPr>
          <w:rFonts w:hint="default" w:ascii="Times New Roman" w:hAnsi="Times New Roman" w:eastAsia="仿宋_GB2312" w:cs="Times New Roman"/>
          <w:sz w:val="32"/>
          <w:szCs w:val="32"/>
          <w:highlight w:val="none"/>
          <w:lang w:val="en-US" w:eastAsia="zh-CN"/>
        </w:rPr>
        <w:t>工作经费项目预算执行情况及各项绩效目标达成程度的系统性分析，全面、客观地评估项目在预定周期内的实施效果，包括经济效益、社会效益、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（2）提升资源利用效率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）为决策提供支持</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3.绩效评价的对象</w:t>
      </w:r>
    </w:p>
    <w:p>
      <w:pPr>
        <w:pStyle w:val="12"/>
        <w:pageBreakBefore w:val="0"/>
        <w:widowControl w:val="0"/>
        <w:numPr>
          <w:numId w:val="0"/>
        </w:numPr>
        <w:kinsoku/>
        <w:wordWrap/>
        <w:overflowPunct/>
        <w:topLinePunct w:val="0"/>
        <w:autoSpaceDE/>
        <w:autoSpaceDN/>
        <w:bidi w:val="0"/>
        <w:adjustRightInd/>
        <w:snapToGrid/>
        <w:spacing w:before="0" w:after="0" w:line="560" w:lineRule="exact"/>
        <w:jc w:val="both"/>
        <w:textAlignment w:val="auto"/>
        <w:outlineLvl w:val="9"/>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本项目预算绩效评价报告的评价对象是</w:t>
      </w:r>
      <w:r>
        <w:rPr>
          <w:rFonts w:hint="eastAsia" w:ascii="Times New Roman" w:hAnsi="Times New Roman" w:eastAsia="仿宋_GB2312" w:cs="Times New Roman"/>
          <w:b w:val="0"/>
          <w:bCs w:val="0"/>
          <w:sz w:val="32"/>
          <w:szCs w:val="32"/>
          <w:highlight w:val="none"/>
          <w:lang w:val="en-US" w:eastAsia="zh-CN"/>
        </w:rPr>
        <w:t>支农专项-村级组织工作经费</w:t>
      </w:r>
      <w:r>
        <w:rPr>
          <w:rFonts w:hint="default" w:ascii="Times New Roman" w:hAnsi="Times New Roman" w:eastAsia="仿宋_GB2312" w:cs="Times New Roman"/>
          <w:b w:val="0"/>
          <w:bCs w:val="0"/>
          <w:sz w:val="32"/>
          <w:szCs w:val="32"/>
          <w:highlight w:val="none"/>
          <w:lang w:val="en-US" w:eastAsia="zh-CN"/>
        </w:rPr>
        <w:t>项目及其预算执行情况。该项目由</w:t>
      </w:r>
      <w:r>
        <w:rPr>
          <w:rFonts w:hint="eastAsia" w:ascii="Times New Roman" w:hAnsi="Times New Roman" w:eastAsia="仿宋_GB2312" w:cs="Times New Roman"/>
          <w:b w:val="0"/>
          <w:bCs w:val="0"/>
          <w:sz w:val="32"/>
          <w:szCs w:val="32"/>
          <w:highlight w:val="none"/>
          <w:lang w:val="en-US" w:eastAsia="zh-CN"/>
        </w:rPr>
        <w:t>库尔勒市恰尔巴格乡人民政府</w:t>
      </w:r>
      <w:r>
        <w:rPr>
          <w:rFonts w:hint="default" w:ascii="Times New Roman" w:hAnsi="Times New Roman" w:eastAsia="仿宋_GB2312" w:cs="Times New Roman"/>
          <w:b w:val="0"/>
          <w:bCs w:val="0"/>
          <w:sz w:val="32"/>
          <w:szCs w:val="32"/>
          <w:highlight w:val="none"/>
          <w:lang w:val="en-US" w:eastAsia="zh-CN"/>
        </w:rPr>
        <w:t>负责实施，旨在恰尔巴格乡7个村全覆盖，确保2个大村，4个中村，1个小村正常运转；抓好各村委会基层党组织阵地建设，确保基层党组织各项事业稳定有序开展，提升村干部为民服务能力、提高服务水平，顺利服务于村民，提高幸福指数。项目预算涵盖从</w:t>
      </w:r>
      <w:r>
        <w:rPr>
          <w:rFonts w:hint="eastAsia" w:ascii="Times New Roman" w:hAnsi="Times New Roman" w:eastAsia="仿宋_GB2312" w:cs="Times New Roman"/>
          <w:b w:val="0"/>
          <w:bCs w:val="0"/>
          <w:sz w:val="32"/>
          <w:szCs w:val="32"/>
          <w:highlight w:val="none"/>
          <w:lang w:val="en-US" w:eastAsia="zh-CN"/>
        </w:rPr>
        <w:t>2024年1月1日</w:t>
      </w:r>
      <w:r>
        <w:rPr>
          <w:rFonts w:hint="default" w:ascii="Times New Roman" w:hAnsi="Times New Roman" w:eastAsia="仿宋_GB2312" w:cs="Times New Roman"/>
          <w:b w:val="0"/>
          <w:bCs w:val="0"/>
          <w:sz w:val="32"/>
          <w:szCs w:val="32"/>
          <w:highlight w:val="none"/>
          <w:lang w:val="en-US" w:eastAsia="zh-CN"/>
        </w:rPr>
        <w:t>至</w:t>
      </w:r>
      <w:r>
        <w:rPr>
          <w:rFonts w:hint="eastAsia" w:ascii="Times New Roman" w:hAnsi="Times New Roman" w:eastAsia="仿宋_GB2312" w:cs="Times New Roman"/>
          <w:b w:val="0"/>
          <w:bCs w:val="0"/>
          <w:sz w:val="32"/>
          <w:szCs w:val="32"/>
          <w:highlight w:val="none"/>
          <w:lang w:val="en-US" w:eastAsia="zh-CN"/>
        </w:rPr>
        <w:t>2024年12月31日</w:t>
      </w:r>
      <w:r>
        <w:rPr>
          <w:rFonts w:hint="default" w:ascii="Times New Roman" w:hAnsi="Times New Roman" w:eastAsia="仿宋_GB2312" w:cs="Times New Roman"/>
          <w:b w:val="0"/>
          <w:bCs w:val="0"/>
          <w:sz w:val="32"/>
          <w:szCs w:val="32"/>
          <w:highlight w:val="none"/>
          <w:lang w:val="en-US" w:eastAsia="zh-CN"/>
        </w:rPr>
        <w:t>的全部资金投入与支出，涉及资金总额为</w:t>
      </w:r>
      <w:r>
        <w:rPr>
          <w:rFonts w:hint="eastAsia" w:ascii="Times New Roman" w:hAnsi="Times New Roman" w:eastAsia="仿宋_GB2312" w:cs="Times New Roman"/>
          <w:b w:val="0"/>
          <w:bCs w:val="0"/>
          <w:sz w:val="32"/>
          <w:szCs w:val="32"/>
          <w:highlight w:val="none"/>
          <w:lang w:val="en-US" w:eastAsia="zh-CN"/>
        </w:rPr>
        <w:t>78</w:t>
      </w:r>
      <w:r>
        <w:rPr>
          <w:rFonts w:hint="default" w:ascii="Times New Roman" w:hAnsi="Times New Roman" w:eastAsia="仿宋_GB2312" w:cs="Times New Roman"/>
          <w:b w:val="0"/>
          <w:bCs w:val="0"/>
          <w:sz w:val="32"/>
          <w:szCs w:val="32"/>
          <w:highlight w:val="none"/>
          <w:lang w:val="en-US" w:eastAsia="zh-CN"/>
        </w:rPr>
        <w:t>万元。</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4.绩效评价的范围</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2"/>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项目预算编制与执行：全面审视项目预算的编制依据、合理性、科学性以及实际执行情况，包括预算调整的原因和效果。</w:t>
      </w:r>
    </w:p>
    <w:p>
      <w:pPr>
        <w:pStyle w:val="12"/>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资金管理：</w:t>
      </w:r>
      <w:r>
        <w:rPr>
          <w:rFonts w:hint="eastAsia" w:ascii="Times New Roman" w:hAnsi="Times New Roman" w:eastAsia="仿宋_GB2312" w:cs="Times New Roman"/>
          <w:b w:val="0"/>
          <w:bCs w:val="0"/>
          <w:sz w:val="32"/>
          <w:szCs w:val="32"/>
          <w:highlight w:val="none"/>
          <w:lang w:val="en-US" w:eastAsia="zh-CN"/>
        </w:rPr>
        <w:t>财政资金使用效率，</w:t>
      </w:r>
      <w:r>
        <w:rPr>
          <w:rFonts w:hint="default" w:ascii="Times New Roman" w:hAnsi="Times New Roman" w:eastAsia="仿宋_GB2312" w:cs="Times New Roman"/>
          <w:b w:val="0"/>
          <w:bCs w:val="0"/>
          <w:sz w:val="32"/>
          <w:szCs w:val="32"/>
          <w:highlight w:val="none"/>
        </w:rPr>
        <w:t>分析项目资金的分配、使用和监管情况，确保资金使用的合规性、透明度。</w:t>
      </w:r>
    </w:p>
    <w:p>
      <w:pPr>
        <w:pStyle w:val="12"/>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项目实施进度：</w:t>
      </w:r>
      <w:r>
        <w:rPr>
          <w:rFonts w:hint="eastAsia" w:ascii="Times New Roman" w:hAnsi="Times New Roman" w:eastAsia="仿宋_GB2312" w:cs="Times New Roman"/>
          <w:b w:val="0"/>
          <w:bCs w:val="0"/>
          <w:sz w:val="32"/>
          <w:szCs w:val="32"/>
          <w:highlight w:val="none"/>
          <w:lang w:val="en-US" w:eastAsia="zh-CN"/>
        </w:rPr>
        <w:t>按照上半年与下半年的实施进度对比，</w:t>
      </w:r>
      <w:r>
        <w:rPr>
          <w:rFonts w:hint="default" w:ascii="Times New Roman" w:hAnsi="Times New Roman" w:eastAsia="仿宋_GB2312" w:cs="Times New Roman"/>
          <w:b w:val="0"/>
          <w:bCs w:val="0"/>
          <w:sz w:val="32"/>
          <w:szCs w:val="32"/>
          <w:highlight w:val="none"/>
        </w:rPr>
        <w:t>评估项目是否按照既定计划顺利推进，各项任务是否按时完成</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确保项目实施的过程完整性。</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32"/>
          <w:szCs w:val="32"/>
        </w:rPr>
      </w:pPr>
      <w:bookmarkStart w:id="4" w:name="_GoBack"/>
      <w:bookmarkEnd w:id="4"/>
      <w:r>
        <w:rPr>
          <w:rFonts w:hint="default" w:ascii="Times New Roman" w:hAnsi="Times New Roman" w:eastAsia="楷体_GB2312" w:cs="Times New Roman"/>
          <w:b/>
          <w:bCs/>
          <w:sz w:val="32"/>
          <w:szCs w:val="32"/>
        </w:rPr>
        <w:t>（二）绩效评价原则、评价指标体系（详情见表1）、评价方法、评价标准。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sz w:val="32"/>
          <w:szCs w:val="32"/>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（1）科学公正。绩效评价应当运用科学合理的方法，按照规范的程序，对项目绩效进行客观、公正的反映。</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（3）激励约束。绩效评价结果应与预算安排、政策调整、改进管理实质性挂钩，体现奖优罚劣和激励相容导向，有效要安排、低效要压减、无效要问责。</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（4）公开透明。绩效评价结果应依法依规公开，并自觉接受社会监督。</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sz w:val="32"/>
          <w:szCs w:val="32"/>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sz w:val="32"/>
          <w:szCs w:val="32"/>
          <w:highlight w:val="none"/>
        </w:rPr>
      </w:pPr>
      <w:r>
        <w:rPr>
          <w:rFonts w:hint="default" w:ascii="Times New Roman" w:hAnsi="Times New Roman" w:eastAsia="仿宋_GB2312" w:cs="Times New Roman"/>
          <w:b w:val="0"/>
          <w:bCs w:val="0"/>
          <w:color w:val="000000"/>
          <w:spacing w:val="17"/>
          <w:kern w:val="2"/>
          <w:sz w:val="32"/>
          <w:szCs w:val="32"/>
          <w:highlight w:val="none"/>
        </w:rPr>
        <w:t>绩效评价总分值100分，根据综合评分结果，90（含）-100分为优、80（含）-90分为良、60（含）-80分为中、60分以下为差。</w:t>
      </w:r>
    </w:p>
    <w:p>
      <w:pPr>
        <w:pStyle w:val="1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sz w:val="32"/>
          <w:szCs w:val="32"/>
          <w:highlight w:val="none"/>
        </w:rPr>
      </w:pPr>
      <w:r>
        <w:rPr>
          <w:rFonts w:hint="default" w:ascii="Times New Roman" w:hAnsi="Times New Roman" w:eastAsia="仿宋_GB2312" w:cs="Times New Roman"/>
          <w:b w:val="0"/>
          <w:bCs w:val="0"/>
          <w:color w:val="000000"/>
          <w:spacing w:val="17"/>
          <w:sz w:val="32"/>
          <w:szCs w:val="32"/>
          <w:highlight w:val="none"/>
        </w:rPr>
        <w:t>具体评价指标体系详情见附件1</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3</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eastAsia="仿宋_GB2312" w:cs="Times New Roman"/>
          <w:b w:val="0"/>
          <w:bCs w:val="0"/>
          <w:sz w:val="32"/>
          <w:szCs w:val="32"/>
          <w:highlight w:val="none"/>
        </w:rPr>
        <w:t>本次项目支出绩效自评采用</w:t>
      </w:r>
      <w:r>
        <w:rPr>
          <w:rFonts w:hint="eastAsia" w:ascii="Times New Roman" w:hAnsi="Times New Roman" w:eastAsia="仿宋_GB2312" w:cs="Times New Roman"/>
          <w:b w:val="0"/>
          <w:bCs w:val="0"/>
          <w:color w:val="auto"/>
          <w:sz w:val="32"/>
          <w:szCs w:val="32"/>
          <w:highlight w:val="none"/>
        </w:rPr>
        <w:t>公众评判法</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原因是</w:t>
      </w:r>
      <w:r>
        <w:rPr>
          <w:rFonts w:hint="eastAsia" w:ascii="Times New Roman" w:hAnsi="Times New Roman" w:eastAsia="仿宋_GB2312" w:cs="Times New Roman"/>
          <w:b w:val="0"/>
          <w:bCs w:val="0"/>
          <w:color w:val="auto"/>
          <w:sz w:val="32"/>
          <w:szCs w:val="32"/>
          <w:highlight w:val="none"/>
          <w:lang w:eastAsia="zh-CN"/>
        </w:rPr>
        <w:t>通过</w:t>
      </w:r>
      <w:r>
        <w:rPr>
          <w:rFonts w:hint="eastAsia" w:ascii="Times New Roman" w:hAnsi="Times New Roman" w:eastAsia="仿宋_GB2312" w:cs="Times New Roman"/>
          <w:b w:val="0"/>
          <w:bCs w:val="0"/>
          <w:sz w:val="32"/>
          <w:szCs w:val="32"/>
          <w:highlight w:val="none"/>
          <w:lang w:eastAsia="zh-CN"/>
        </w:rPr>
        <w:t>公众调查问卷形式更加能准确得知此项目实施的反馈情况，</w:t>
      </w:r>
      <w:r>
        <w:rPr>
          <w:rFonts w:hint="eastAsia" w:ascii="Times New Roman" w:hAnsi="Times New Roman" w:eastAsia="仿宋_GB2312" w:cs="Times New Roman"/>
          <w:b w:val="0"/>
          <w:bCs w:val="0"/>
          <w:sz w:val="32"/>
          <w:szCs w:val="32"/>
          <w:highlight w:val="none"/>
          <w:lang w:val="en-US" w:eastAsia="zh-CN"/>
        </w:rPr>
        <w:t>将公众的满意度、体验感作为核心的评价依据，</w:t>
      </w:r>
      <w:r>
        <w:rPr>
          <w:rFonts w:hint="eastAsia" w:ascii="Times New Roman" w:hAnsi="Times New Roman" w:eastAsia="仿宋_GB2312" w:cs="Times New Roman"/>
          <w:b w:val="0"/>
          <w:bCs w:val="0"/>
          <w:sz w:val="32"/>
          <w:szCs w:val="32"/>
          <w:highlight w:val="none"/>
          <w:lang w:eastAsia="zh-CN"/>
        </w:rPr>
        <w:t>促使资金使用准确有效。</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sz w:val="32"/>
          <w:szCs w:val="32"/>
          <w:highlight w:val="none"/>
          <w:lang w:val="en-US" w:eastAsia="zh-CN"/>
        </w:rPr>
        <w:t>计划</w:t>
      </w:r>
      <w:r>
        <w:rPr>
          <w:rFonts w:hint="default" w:ascii="Times New Roman" w:hAnsi="Times New Roman" w:eastAsia="仿宋_GB2312" w:cs="Times New Roman"/>
          <w:b w:val="0"/>
          <w:bCs w:val="0"/>
          <w:color w:val="auto"/>
          <w:sz w:val="32"/>
          <w:szCs w:val="32"/>
          <w:highlight w:val="none"/>
        </w:rPr>
        <w:t>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计划标准。指以预先制定的目标、计划、预算、定额等作为评价标准</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原因是通过实际绩效与计划标准进行对比分析，能够发现计划制定和执行过程中的优点和不足。</w:t>
      </w:r>
    </w:p>
    <w:p>
      <w:pPr>
        <w:pStyle w:val="12"/>
        <w:keepNext w:val="0"/>
        <w:keepLines w:val="0"/>
        <w:pageBreakBefore w:val="0"/>
        <w:widowControl/>
        <w:numPr>
          <w:ilvl w:val="0"/>
          <w:numId w:val="3"/>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color w:val="000000"/>
          <w:spacing w:val="17"/>
          <w:sz w:val="32"/>
          <w:szCs w:val="32"/>
          <w:highlight w:val="none"/>
        </w:rPr>
      </w:pPr>
      <w:r>
        <w:rPr>
          <w:rFonts w:hint="default" w:ascii="Times New Roman" w:hAnsi="Times New Roman" w:eastAsia="楷体" w:cs="Times New Roman"/>
          <w:color w:val="000000"/>
          <w:spacing w:val="17"/>
          <w:sz w:val="32"/>
          <w:szCs w:val="32"/>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包括：财务分管领导郑媛杰和财务室工作人员阿米那木·麦麦提、阿孜古丽·麦麦提、阿依努尔及各科室干部组成，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支农</w:t>
      </w:r>
      <w:r>
        <w:rPr>
          <w:rFonts w:hint="eastAsia" w:eastAsia="仿宋_GB2312" w:cs="Times New Roman"/>
          <w:sz w:val="32"/>
          <w:szCs w:val="32"/>
          <w:highlight w:val="none"/>
          <w:lang w:val="en-US" w:eastAsia="zh-CN"/>
        </w:rPr>
        <w:t>-专项</w:t>
      </w:r>
      <w:r>
        <w:rPr>
          <w:rFonts w:hint="eastAsia" w:ascii="Times New Roman" w:hAnsi="Times New Roman" w:eastAsia="仿宋_GB2312" w:cs="Times New Roman"/>
          <w:sz w:val="32"/>
          <w:szCs w:val="32"/>
          <w:highlight w:val="none"/>
          <w:lang w:val="en-US" w:eastAsia="zh-CN"/>
        </w:rPr>
        <w:t>村级组织工作经费</w:t>
      </w:r>
      <w:r>
        <w:rPr>
          <w:rFonts w:hint="default" w:ascii="Times New Roman" w:hAnsi="Times New Roman" w:eastAsia="仿宋_GB2312" w:cs="Times New Roman"/>
          <w:sz w:val="32"/>
          <w:szCs w:val="32"/>
          <w:highlight w:val="none"/>
        </w:rPr>
        <w:t>项目实现恰尔巴格乡7个村全覆盖，确保2个大村，4个中村，1个小村正常运转</w:t>
      </w:r>
      <w:r>
        <w:rPr>
          <w:rFonts w:hint="eastAsia" w:eastAsia="仿宋_GB2312" w:cs="Times New Roman"/>
          <w:sz w:val="32"/>
          <w:szCs w:val="32"/>
          <w:highlight w:val="none"/>
          <w:lang w:eastAsia="zh-CN"/>
        </w:rPr>
        <w:t>。抓好各村委会基层党组织阵地建设，确保基层党组织各项事业稳定有序开展，保障各项事业规范运行。提升村干部为民服务能力、提高服务水平，顺利服务于村民，提高幸福指数</w:t>
      </w:r>
      <w:r>
        <w:rPr>
          <w:rFonts w:hint="default" w:ascii="Times New Roman" w:hAnsi="Times New Roman" w:eastAsia="仿宋_GB2312" w:cs="Times New Roman"/>
          <w:sz w:val="32"/>
          <w:szCs w:val="32"/>
          <w:highlight w:val="none"/>
        </w:rPr>
        <w:t>等方面表现出色，达到了预期的标准与要求。同时项目也</w:t>
      </w:r>
      <w:r>
        <w:rPr>
          <w:rFonts w:hint="default" w:ascii="Times New Roman" w:hAnsi="Times New Roman" w:eastAsia="仿宋_GB2312" w:cs="Times New Roman"/>
          <w:color w:val="auto"/>
          <w:sz w:val="32"/>
          <w:szCs w:val="32"/>
          <w:highlight w:val="none"/>
        </w:rPr>
        <w:t>在实现恰尔巴格乡7个村全覆盖，确保2个大村，4个中村，1个小村正常运转</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取得了显著的成效等。</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库尔勒市恰尔巴格乡人民政府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从项目效益的角度来看，本项目实现了预期的社会效益方面产生了积极的影响。具体而言，受益村委会数量</w:t>
      </w:r>
      <w:r>
        <w:rPr>
          <w:rFonts w:hint="eastAsia" w:eastAsia="仿宋_GB2312" w:cs="Times New Roman"/>
          <w:sz w:val="32"/>
          <w:szCs w:val="32"/>
          <w:highlight w:val="none"/>
          <w:lang w:eastAsia="zh-CN"/>
        </w:rPr>
        <w:t>已达到</w:t>
      </w:r>
      <w:r>
        <w:rPr>
          <w:rFonts w:hint="eastAsia"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rPr>
        <w:t>等方面的提升，为项目的利益相关者带来了实实在在的利益。</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综上所述，</w:t>
      </w:r>
      <w:r>
        <w:rPr>
          <w:rFonts w:hint="eastAsia" w:ascii="Times New Roman" w:hAnsi="Times New Roman" w:eastAsia="仿宋_GB2312" w:cs="Times New Roman"/>
          <w:kern w:val="0"/>
          <w:sz w:val="32"/>
          <w:szCs w:val="32"/>
          <w:highlight w:val="none"/>
          <w:lang w:val="en-US" w:eastAsia="zh-CN" w:bidi="ar"/>
        </w:rPr>
        <w:t>支农专项-村级组织工作经费</w:t>
      </w:r>
      <w:r>
        <w:rPr>
          <w:rFonts w:hint="default" w:ascii="Times New Roman" w:hAnsi="Times New Roman" w:eastAsia="仿宋_GB2312" w:cs="Times New Roman"/>
          <w:kern w:val="0"/>
          <w:sz w:val="32"/>
          <w:szCs w:val="32"/>
          <w:highlight w:val="none"/>
          <w:lang w:val="en-US" w:eastAsia="zh-CN" w:bidi="ar"/>
        </w:rPr>
        <w:t>项目在绩效评价中表现出色，达到了项目的预期目标，并在多个方面取得了显著的成效。</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val="en-US" w:eastAsia="zh-CN"/>
        </w:rPr>
        <w:t>评价结论</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sz w:val="32"/>
          <w:szCs w:val="32"/>
          <w:highlight w:val="none"/>
          <w:lang w:val="en-US" w:eastAsia="zh-CN"/>
        </w:rPr>
        <w:t>最终评分结果：总得分为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lang w:val="en-US" w:eastAsia="zh-CN"/>
        </w:rPr>
        <w:t>分，属于“优（良/中/差）”。其中，项目决策类指标权重为20分，得分为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lang w:val="en-US" w:eastAsia="zh-CN"/>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lang w:val="en-US" w:eastAsia="zh-CN"/>
        </w:rPr>
        <w:t>%。项目过程类指标权重为20</w:t>
      </w:r>
      <w:r>
        <w:rPr>
          <w:rFonts w:hint="default" w:ascii="Times New Roman" w:hAnsi="Times New Roman" w:eastAsia="仿宋_GB2312" w:cs="Times New Roman"/>
          <w:b w:val="0"/>
          <w:bCs w:val="0"/>
          <w:color w:val="auto"/>
          <w:sz w:val="32"/>
          <w:szCs w:val="32"/>
          <w:highlight w:val="none"/>
        </w:rPr>
        <w:t>分，得分为</w:t>
      </w:r>
      <w:r>
        <w:rPr>
          <w:rFonts w:hint="eastAsia" w:ascii="Times New Roman" w:hAnsi="Times New Roman" w:eastAsia="仿宋_GB2312" w:cs="Times New Roman"/>
          <w:b w:val="0"/>
          <w:bCs w:val="0"/>
          <w:color w:val="auto"/>
          <w:sz w:val="32"/>
          <w:szCs w:val="32"/>
          <w:highlight w:val="none"/>
          <w:lang w:val="en-US" w:eastAsia="zh-CN"/>
        </w:rPr>
        <w:t>19</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95</w:t>
      </w:r>
      <w:r>
        <w:rPr>
          <w:rFonts w:hint="default" w:ascii="Times New Roman" w:hAnsi="Times New Roman" w:eastAsia="仿宋_GB2312" w:cs="Times New Roman"/>
          <w:b w:val="0"/>
          <w:bCs w:val="0"/>
          <w:color w:val="auto"/>
          <w:sz w:val="32"/>
          <w:szCs w:val="32"/>
          <w:highlight w:val="none"/>
        </w:rPr>
        <w:t>%。项目产出类指标权重为40分，得分为</w:t>
      </w:r>
      <w:r>
        <w:rPr>
          <w:rFonts w:hint="eastAsia" w:ascii="Times New Roman" w:hAnsi="Times New Roman" w:eastAsia="仿宋_GB2312" w:cs="Times New Roman"/>
          <w:b w:val="0"/>
          <w:bCs w:val="0"/>
          <w:color w:val="auto"/>
          <w:sz w:val="32"/>
          <w:szCs w:val="32"/>
          <w:highlight w:val="none"/>
          <w:lang w:val="en-US" w:eastAsia="zh-CN"/>
        </w:rPr>
        <w:t>40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%。项目效益类指标权重为20分，得分为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%。具体打分情况详见：附件1综合评分</w:t>
      </w:r>
      <w:r>
        <w:rPr>
          <w:rFonts w:hint="default" w:ascii="Times New Roman" w:hAnsi="Times New Roman" w:eastAsia="仿宋_GB2312" w:cs="Times New Roman"/>
          <w:b w:val="0"/>
          <w:bCs w:val="0"/>
          <w:sz w:val="32"/>
          <w:szCs w:val="32"/>
        </w:rPr>
        <w:t>表</w:t>
      </w:r>
      <w:r>
        <w:rPr>
          <w:rFonts w:hint="default" w:ascii="Times New Roman" w:hAnsi="Times New Roman" w:eastAsia="仿宋_GB2312" w:cs="Times New Roman"/>
          <w:b w:val="0"/>
          <w:bCs w:val="0"/>
          <w:sz w:val="32"/>
          <w:szCs w:val="32"/>
          <w:lang w:eastAsia="zh-CN"/>
        </w:rPr>
        <w:t>。</w:t>
      </w:r>
    </w:p>
    <w:p>
      <w:pPr>
        <w:pStyle w:val="12"/>
        <w:keepNext w:val="0"/>
        <w:keepLines w:val="0"/>
        <w:pageBreakBefore w:val="0"/>
        <w:widowControl/>
        <w:kinsoku/>
        <w:wordWrap/>
        <w:overflowPunct/>
        <w:topLinePunct w:val="0"/>
        <w:autoSpaceDE/>
        <w:autoSpaceDN/>
        <w:bidi w:val="0"/>
        <w:adjustRightInd/>
        <w:snapToGrid/>
        <w:spacing w:before="0" w:after="0" w:line="56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rPr>
            </w:pPr>
            <w:r>
              <w:rPr>
                <w:rFonts w:hint="default" w:ascii="Times New Roman" w:hAnsi="Times New Roman" w:eastAsia="仿宋_GB2312" w:cs="Times New Roman"/>
                <w:b/>
                <w:bCs/>
                <w:color w:val="000000"/>
                <w:sz w:val="22"/>
                <w:szCs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rPr>
            </w:pPr>
            <w:r>
              <w:rPr>
                <w:rFonts w:hint="default" w:ascii="Times New Roman" w:hAnsi="Times New Roman" w:eastAsia="仿宋_GB2312" w:cs="Times New Roman"/>
                <w:b/>
                <w:bCs/>
                <w:color w:val="000000"/>
                <w:sz w:val="22"/>
                <w:szCs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rPr>
            </w:pPr>
            <w:r>
              <w:rPr>
                <w:rFonts w:hint="default" w:ascii="Times New Roman" w:hAnsi="Times New Roman" w:eastAsia="仿宋_GB2312" w:cs="Times New Roman"/>
                <w:b/>
                <w:bCs/>
                <w:color w:val="000000"/>
                <w:sz w:val="22"/>
                <w:szCs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rPr>
            </w:pPr>
            <w:r>
              <w:rPr>
                <w:rFonts w:hint="default" w:ascii="Times New Roman" w:hAnsi="Times New Roman" w:eastAsia="仿宋_GB2312" w:cs="Times New Roman"/>
                <w:color w:val="000000"/>
                <w:sz w:val="22"/>
                <w:szCs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eastAsia" w:eastAsia="仿宋_GB2312" w:cs="Times New Roman"/>
                <w:color w:val="000000"/>
                <w:sz w:val="22"/>
                <w:szCs w:val="22"/>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rPr>
            </w:pPr>
            <w:r>
              <w:rPr>
                <w:rFonts w:hint="default" w:ascii="Times New Roman" w:hAnsi="Times New Roman" w:eastAsia="仿宋_GB2312" w:cs="Times New Roman"/>
                <w:color w:val="000000"/>
                <w:sz w:val="22"/>
                <w:szCs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eastAsia" w:eastAsia="仿宋_GB2312" w:cs="Times New Roman"/>
                <w:color w:val="000000"/>
                <w:sz w:val="22"/>
                <w:szCs w:val="22"/>
                <w:highlight w:val="none"/>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rPr>
            </w:pPr>
            <w:r>
              <w:rPr>
                <w:rFonts w:hint="default" w:ascii="Times New Roman" w:hAnsi="Times New Roman" w:eastAsia="仿宋_GB2312" w:cs="Times New Roman"/>
                <w:color w:val="000000"/>
                <w:sz w:val="22"/>
                <w:szCs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eastAsia" w:eastAsia="仿宋_GB2312" w:cs="Times New Roman"/>
                <w:color w:val="000000"/>
                <w:sz w:val="22"/>
                <w:szCs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rPr>
            </w:pPr>
            <w:r>
              <w:rPr>
                <w:rFonts w:hint="default" w:ascii="Times New Roman" w:hAnsi="Times New Roman" w:eastAsia="仿宋_GB2312" w:cs="Times New Roman"/>
                <w:color w:val="000000"/>
                <w:sz w:val="22"/>
                <w:szCs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default" w:ascii="Times New Roman" w:hAnsi="Times New Roman" w:eastAsia="仿宋_GB2312" w:cs="Times New Roman"/>
                <w:color w:val="000000"/>
                <w:sz w:val="22"/>
                <w:szCs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szCs w:val="22"/>
                <w:lang w:val="en-US" w:eastAsia="zh-CN"/>
              </w:rPr>
            </w:pPr>
            <w:r>
              <w:rPr>
                <w:rFonts w:hint="eastAsia" w:eastAsia="仿宋_GB2312" w:cs="Times New Roman"/>
                <w:color w:val="000000"/>
                <w:sz w:val="22"/>
                <w:szCs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rPr>
            </w:pPr>
            <w:r>
              <w:rPr>
                <w:rFonts w:hint="default" w:ascii="Times New Roman" w:hAnsi="Times New Roman" w:eastAsia="仿宋_GB2312" w:cs="Times New Roman"/>
                <w:b/>
                <w:bCs/>
                <w:color w:val="000000"/>
                <w:sz w:val="22"/>
                <w:szCs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lang w:val="en-US" w:eastAsia="zh-CN"/>
              </w:rPr>
            </w:pPr>
            <w:r>
              <w:rPr>
                <w:rFonts w:hint="default" w:ascii="Times New Roman" w:hAnsi="Times New Roman" w:eastAsia="仿宋_GB2312" w:cs="Times New Roman"/>
                <w:b/>
                <w:bCs/>
                <w:color w:val="000000"/>
                <w:sz w:val="22"/>
                <w:szCs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szCs w:val="22"/>
                <w:lang w:val="en-US" w:eastAsia="zh-CN"/>
              </w:rPr>
            </w:pPr>
            <w:r>
              <w:rPr>
                <w:rFonts w:hint="eastAsia" w:eastAsia="仿宋_GB2312" w:cs="Times New Roman"/>
                <w:b/>
                <w:bCs/>
                <w:color w:val="000000"/>
                <w:sz w:val="22"/>
                <w:szCs w:val="22"/>
                <w:lang w:val="en-US" w:eastAsia="zh-CN"/>
              </w:rPr>
              <w:t>98</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pageBreakBefore w:val="0"/>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（一）项目决策情况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支农专项-村级组织工作经费</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按管辖村数量，</w:t>
      </w:r>
      <w:r>
        <w:rPr>
          <w:rFonts w:hint="eastAsia" w:eastAsia="仿宋_GB2312" w:cs="Times New Roman"/>
          <w:color w:val="auto"/>
          <w:sz w:val="32"/>
          <w:szCs w:val="32"/>
          <w:highlight w:val="none"/>
          <w:lang w:val="en-US" w:eastAsia="zh-CN"/>
        </w:rPr>
        <w:t>2个大村每年12万元，4个中村每年11万元，1个小村每年10万元，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对上阔什巴格村进行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7个村间进行资源调配，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keepNext w:val="0"/>
        <w:keepLines w:val="0"/>
        <w:pageBreakBefore w:val="0"/>
        <w:widowControl/>
        <w:numPr>
          <w:ilvl w:val="0"/>
          <w:numId w:val="5"/>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项目过程情况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77.61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99.50</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《恰尔巴格乡财务管理制度》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eastAsia" w:eastAsia="仿宋_GB2312" w:cs="Times New Roman"/>
          <w:color w:val="auto"/>
          <w:sz w:val="32"/>
          <w:szCs w:val="32"/>
          <w:highlight w:val="none"/>
          <w:lang w:val="en-US" w:eastAsia="zh-CN"/>
        </w:rPr>
        <w:t>制定了《恰尔巴格乡人民政府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=1\*GB3</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指标1：保障正常运转大村数量，指标值：&gt;=2个，实际完成值：=2个，指标完成率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：保障正常运转中村数量，指标值：&gt;=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：保障正常运转小村数量，指标值：&gt;=</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=2\*GB3</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：资金使用合规率，指标值：=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=3\*GB3</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=4\*GB3</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：保障大村正常运转成本，指标值：&lt;=24万元，实际完成值：=24万元，指标完成率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eastAsia="zh-CN"/>
        </w:rPr>
        <w:t>中</w:t>
      </w:r>
      <w:r>
        <w:rPr>
          <w:rFonts w:hint="default" w:ascii="Times New Roman" w:hAnsi="Times New Roman" w:eastAsia="仿宋_GB2312" w:cs="Times New Roman"/>
          <w:sz w:val="32"/>
          <w:szCs w:val="32"/>
          <w:highlight w:val="none"/>
        </w:rPr>
        <w:t>村正常运转成本，指标值：&lt;=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4万元，实际完成值：=</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4万元，指标完成率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eastAsia="zh-CN"/>
        </w:rPr>
        <w:t>小</w:t>
      </w:r>
      <w:r>
        <w:rPr>
          <w:rFonts w:hint="default" w:ascii="Times New Roman" w:hAnsi="Times New Roman" w:eastAsia="仿宋_GB2312" w:cs="Times New Roman"/>
          <w:sz w:val="32"/>
          <w:szCs w:val="32"/>
          <w:highlight w:val="none"/>
        </w:rPr>
        <w:t>村正常运转成本，指标值：&lt;=</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9.61</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96.10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偏差原因：未及时办理支付手续，正在办理资金支付手续，导致项目未实施</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此项权重分值为40分，得分为39分。</w:t>
      </w:r>
    </w:p>
    <w:p>
      <w:pPr>
        <w:pStyle w:val="14"/>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pageBreakBefore w:val="0"/>
        <w:numPr>
          <w:ilvl w:val="0"/>
          <w:numId w:val="6"/>
        </w:numPr>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指标1：受益村委会数量，指标值：</w:t>
      </w:r>
      <w:r>
        <w:rPr>
          <w:rFonts w:hint="eastAsia" w:eastAsia="仿宋_GB2312" w:cs="Times New Roman"/>
          <w:sz w:val="32"/>
          <w:szCs w:val="32"/>
          <w:highlight w:val="none"/>
          <w:lang w:val="en-US" w:eastAsia="zh-CN"/>
        </w:rPr>
        <w:t>&gt;=7个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ageBreakBefore w:val="0"/>
        <w:numPr>
          <w:ilvl w:val="0"/>
          <w:numId w:val="6"/>
        </w:numPr>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sz w:val="32"/>
          <w:szCs w:val="32"/>
          <w:lang w:val="en-US" w:eastAsia="zh-CN"/>
        </w:rPr>
      </w:pPr>
      <w:r>
        <w:rPr>
          <w:rFonts w:hint="default" w:ascii="Times New Roman" w:hAnsi="Times New Roman" w:eastAsia="仿宋_GB2312" w:cs="Times New Roman"/>
          <w:sz w:val="32"/>
          <w:szCs w:val="32"/>
          <w:highlight w:val="none"/>
        </w:rPr>
        <w:t>指标1：村民满意度，指标值：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支农专项</w:t>
      </w:r>
      <w:r>
        <w:rPr>
          <w:rFonts w:hint="eastAsia" w:ascii="Times New Roman" w:hAnsi="Times New Roman" w:eastAsia="仿宋_GB2312" w:cs="Times New Roman"/>
          <w:sz w:val="32"/>
          <w:szCs w:val="32"/>
          <w:lang w:val="en-US" w:eastAsia="zh-CN"/>
        </w:rPr>
        <w:t>-村级组织工作经费</w:t>
      </w:r>
      <w:r>
        <w:rPr>
          <w:rFonts w:hint="default" w:ascii="Times New Roman" w:hAnsi="Times New Roman" w:eastAsia="仿宋_GB2312" w:cs="Times New Roman"/>
          <w:sz w:val="32"/>
          <w:szCs w:val="32"/>
        </w:rPr>
        <w:t>项目项目年初预算</w:t>
      </w:r>
      <w:r>
        <w:rPr>
          <w:rFonts w:hint="eastAsia" w:ascii="Times New Roman" w:hAnsi="Times New Roman" w:eastAsia="仿宋_GB2312" w:cs="Times New Roman"/>
          <w:sz w:val="32"/>
          <w:szCs w:val="32"/>
          <w:lang w:val="en-US" w:eastAsia="zh-CN"/>
        </w:rPr>
        <w:t>78</w:t>
      </w:r>
      <w:r>
        <w:rPr>
          <w:rFonts w:hint="default" w:ascii="Times New Roman" w:hAnsi="Times New Roman" w:eastAsia="仿宋_GB2312" w:cs="Times New Roman"/>
          <w:sz w:val="32"/>
          <w:szCs w:val="32"/>
        </w:rPr>
        <w:t>万元，全年预算</w:t>
      </w:r>
      <w:r>
        <w:rPr>
          <w:rFonts w:hint="eastAsia" w:ascii="Times New Roman" w:hAnsi="Times New Roman" w:eastAsia="仿宋_GB2312" w:cs="Times New Roman"/>
          <w:sz w:val="32"/>
          <w:szCs w:val="32"/>
          <w:lang w:val="en-US" w:eastAsia="zh-CN"/>
        </w:rPr>
        <w:t>78</w:t>
      </w:r>
      <w:r>
        <w:rPr>
          <w:rFonts w:hint="default" w:ascii="Times New Roman" w:hAnsi="Times New Roman" w:eastAsia="仿宋_GB2312" w:cs="Times New Roman"/>
          <w:sz w:val="32"/>
          <w:szCs w:val="32"/>
        </w:rPr>
        <w:t>万元，实际支出</w:t>
      </w:r>
      <w:r>
        <w:rPr>
          <w:rFonts w:hint="eastAsia" w:ascii="Times New Roman" w:hAnsi="Times New Roman" w:eastAsia="仿宋_GB2312" w:cs="Times New Roman"/>
          <w:sz w:val="32"/>
          <w:szCs w:val="32"/>
          <w:lang w:val="en-US" w:eastAsia="zh-CN"/>
        </w:rPr>
        <w:t>77.61</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99.50</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99.61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eastAsia="仿宋_GB2312" w:cs="Times New Roman"/>
          <w:sz w:val="32"/>
          <w:szCs w:val="32"/>
          <w:lang w:val="en-US" w:eastAsia="zh-CN"/>
        </w:rPr>
        <w:t>0.39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偏差</w:t>
      </w:r>
      <w:r>
        <w:rPr>
          <w:rFonts w:hint="default" w:ascii="Times New Roman" w:hAnsi="Times New Roman" w:eastAsia="仿宋_GB2312" w:cs="Times New Roman"/>
          <w:sz w:val="32"/>
          <w:szCs w:val="32"/>
        </w:rPr>
        <w:t>原因</w:t>
      </w:r>
      <w:r>
        <w:rPr>
          <w:rFonts w:hint="eastAsia" w:ascii="Times New Roman" w:hAnsi="Times New Roman" w:eastAsia="仿宋_GB2312" w:cs="Times New Roman"/>
          <w:sz w:val="32"/>
          <w:szCs w:val="32"/>
          <w:lang w:val="en-US" w:eastAsia="zh-CN"/>
        </w:rPr>
        <w:t>采购未按时办理，导致支付手续不全，无法及时办理</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改进</w:t>
      </w:r>
      <w:r>
        <w:rPr>
          <w:rFonts w:hint="default" w:ascii="Times New Roman" w:hAnsi="Times New Roman" w:eastAsia="仿宋_GB2312" w:cs="Times New Roman"/>
          <w:sz w:val="32"/>
          <w:szCs w:val="32"/>
        </w:rPr>
        <w:t>措施</w:t>
      </w:r>
      <w:r>
        <w:rPr>
          <w:rFonts w:hint="eastAsia" w:ascii="Times New Roman" w:hAnsi="Times New Roman" w:eastAsia="仿宋_GB2312" w:cs="Times New Roman"/>
          <w:sz w:val="32"/>
          <w:szCs w:val="32"/>
          <w:lang w:val="en-US" w:eastAsia="zh-CN"/>
        </w:rPr>
        <w:t>及时办理采购手续</w:t>
      </w:r>
      <w:r>
        <w:rPr>
          <w:rFonts w:hint="default" w:ascii="Times New Roman" w:hAnsi="Times New Roman" w:eastAsia="仿宋_GB2312" w:cs="Times New Roman"/>
          <w:sz w:val="32"/>
          <w:szCs w:val="32"/>
        </w:rPr>
        <w:t>。</w:t>
      </w:r>
    </w:p>
    <w:p>
      <w:pPr>
        <w:pageBreakBefore w:val="0"/>
        <w:kinsoku/>
        <w:wordWrap/>
        <w:overflowPunct/>
        <w:topLinePunct w:val="0"/>
        <w:autoSpaceDE/>
        <w:autoSpaceDN/>
        <w:bidi w:val="0"/>
        <w:adjustRightInd/>
        <w:snapToGrid/>
        <w:spacing w:line="560" w:lineRule="exact"/>
        <w:textAlignment w:val="auto"/>
        <w:rPr>
          <w:rStyle w:val="20"/>
          <w:rFonts w:hint="default" w:ascii="Times New Roman" w:hAnsi="Times New Roman" w:cs="Times New Roman"/>
          <w:color w:val="auto"/>
          <w:sz w:val="32"/>
          <w:szCs w:val="32"/>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pageBreakBefore w:val="0"/>
        <w:widowControl w:val="0"/>
        <w:numPr>
          <w:ilvl w:val="0"/>
          <w:numId w:val="7"/>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eastAsia" w:ascii="Times New Roman" w:hAnsi="Times New Roman" w:eastAsia="仿宋_GB2312" w:cs="Times New Roman"/>
          <w:sz w:val="32"/>
          <w:szCs w:val="32"/>
          <w:lang w:eastAsia="zh-CN"/>
        </w:rPr>
      </w:pP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eastAsia" w:ascii="Times New Roman" w:hAnsi="Times New Roman" w:eastAsia="仿宋_GB2312" w:cs="Times New Roman"/>
          <w:sz w:val="32"/>
          <w:szCs w:val="32"/>
          <w:lang w:eastAsia="zh-CN"/>
        </w:rPr>
      </w:pP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eastAsia" w:ascii="Times New Roman" w:hAnsi="Times New Roman" w:eastAsia="仿宋_GB2312" w:cs="Times New Roman"/>
          <w:sz w:val="32"/>
          <w:szCs w:val="32"/>
          <w:lang w:eastAsia="zh-CN"/>
        </w:rPr>
      </w:pP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rPr>
      </w:pPr>
    </w:p>
    <w:p>
      <w:pPr>
        <w:pStyle w:val="15"/>
        <w:pageBreakBefore w:val="0"/>
        <w:kinsoku/>
        <w:wordWrap/>
        <w:overflowPunct/>
        <w:topLinePunct w:val="0"/>
        <w:autoSpaceDE/>
        <w:autoSpaceDN/>
        <w:bidi w:val="0"/>
        <w:adjustRightInd/>
        <w:snapToGrid/>
        <w:spacing w:after="0" w:line="560" w:lineRule="exact"/>
        <w:ind w:left="0" w:leftChars="0" w:firstLine="0" w:firstLineChars="0"/>
        <w:textAlignment w:val="auto"/>
        <w:rPr>
          <w:rFonts w:hint="default" w:ascii="Times New Roman" w:hAnsi="Times New Roman" w:eastAsia="仿宋_GB2312" w:cs="Times New Roman"/>
          <w:sz w:val="32"/>
          <w:szCs w:val="32"/>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pageBreakBefore w:val="0"/>
        <w:kinsoku/>
        <w:wordWrap/>
        <w:overflowPunct/>
        <w:topLinePunct w:val="0"/>
        <w:autoSpaceDE/>
        <w:autoSpaceDN/>
        <w:bidi w:val="0"/>
        <w:adjustRightInd/>
        <w:snapToGrid/>
        <w:spacing w:line="560" w:lineRule="exact"/>
        <w:ind w:firstLine="562"/>
        <w:jc w:val="center"/>
        <w:textAlignment w:val="auto"/>
        <w:rPr>
          <w:rFonts w:hint="eastAsia" w:ascii="仿宋_GB2312" w:hAnsi="仿宋_GB2312" w:eastAsia="仿宋_GB2312" w:cs="仿宋_GB2312"/>
          <w:sz w:val="28"/>
          <w:szCs w:val="40"/>
          <w:highlight w:val="none"/>
        </w:rPr>
      </w:pPr>
      <w:bookmarkStart w:id="2" w:name="_Toc26499_WPSOffice_Level2"/>
      <w:bookmarkStart w:id="3" w:name="_Toc30064_WPSOffice_Level1"/>
      <w:r>
        <w:rPr>
          <w:rFonts w:hint="eastAsia" w:ascii="仿宋_GB2312" w:hAnsi="仿宋_GB2312" w:eastAsia="仿宋_GB2312" w:cs="仿宋_GB2312"/>
          <w:b/>
          <w:bCs/>
          <w:sz w:val="28"/>
          <w:szCs w:val="40"/>
          <w:highlight w:val="none"/>
          <w:lang w:eastAsia="zh-CN"/>
        </w:rPr>
        <w:t>支农专项</w:t>
      </w:r>
      <w:r>
        <w:rPr>
          <w:rFonts w:hint="eastAsia" w:ascii="仿宋_GB2312" w:hAnsi="仿宋_GB2312" w:eastAsia="仿宋_GB2312" w:cs="仿宋_GB2312"/>
          <w:b/>
          <w:bCs/>
          <w:sz w:val="28"/>
          <w:szCs w:val="40"/>
          <w:highlight w:val="none"/>
          <w:lang w:val="en-US" w:eastAsia="zh-CN"/>
        </w:rPr>
        <w:t>-村级组织工作经费</w:t>
      </w:r>
      <w:r>
        <w:rPr>
          <w:rFonts w:hint="default"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1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100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Style w:val="3"/>
        <w:pageBreakBefore w:val="0"/>
        <w:kinsoku/>
        <w:wordWrap/>
        <w:overflowPunct/>
        <w:topLinePunct w:val="0"/>
        <w:autoSpaceDE/>
        <w:autoSpaceDN/>
        <w:bidi w:val="0"/>
        <w:adjustRightInd/>
        <w:snapToGrid/>
        <w:spacing w:line="560" w:lineRule="exact"/>
        <w:textAlignment w:val="auto"/>
        <w:rPr>
          <w:rFonts w:hint="default"/>
        </w:rPr>
      </w:pPr>
      <w:r>
        <w:drawing>
          <wp:inline distT="0" distB="0" distL="114300" distR="114300">
            <wp:extent cx="8855075" cy="5170170"/>
            <wp:effectExtent l="0" t="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855075" cy="5170170"/>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pPr>
    </w:lvl>
  </w:abstractNum>
  <w:abstractNum w:abstractNumId="2">
    <w:nsid w:val="B3372E3C"/>
    <w:multiLevelType w:val="singleLevel"/>
    <w:tmpl w:val="B3372E3C"/>
    <w:lvl w:ilvl="0" w:tentative="0">
      <w:start w:val="1"/>
      <w:numFmt w:val="chineseCounting"/>
      <w:suff w:val="nothing"/>
      <w:lvlText w:val="%1、"/>
      <w:lvlJc w:val="left"/>
      <w:rPr>
        <w:rFonts w:hint="eastAsia"/>
      </w:r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1C7FF5"/>
    <w:rsid w:val="00591E23"/>
    <w:rsid w:val="006F7242"/>
    <w:rsid w:val="007B168A"/>
    <w:rsid w:val="008B2CFE"/>
    <w:rsid w:val="008D138C"/>
    <w:rsid w:val="00A87F74"/>
    <w:rsid w:val="00F26FF6"/>
    <w:rsid w:val="011B0745"/>
    <w:rsid w:val="013E4434"/>
    <w:rsid w:val="015772A4"/>
    <w:rsid w:val="0159126E"/>
    <w:rsid w:val="01610122"/>
    <w:rsid w:val="016749CD"/>
    <w:rsid w:val="01875DDB"/>
    <w:rsid w:val="01DD3C4D"/>
    <w:rsid w:val="02510197"/>
    <w:rsid w:val="02D23086"/>
    <w:rsid w:val="03AA7B5F"/>
    <w:rsid w:val="03C76963"/>
    <w:rsid w:val="03EC461B"/>
    <w:rsid w:val="04542A71"/>
    <w:rsid w:val="0461077D"/>
    <w:rsid w:val="057E1C87"/>
    <w:rsid w:val="06055520"/>
    <w:rsid w:val="060A0BB9"/>
    <w:rsid w:val="060D1576"/>
    <w:rsid w:val="065D535C"/>
    <w:rsid w:val="071579E5"/>
    <w:rsid w:val="0729286A"/>
    <w:rsid w:val="07397B77"/>
    <w:rsid w:val="07524795"/>
    <w:rsid w:val="0797664C"/>
    <w:rsid w:val="08381BDD"/>
    <w:rsid w:val="095011A8"/>
    <w:rsid w:val="09CE391E"/>
    <w:rsid w:val="09E0252C"/>
    <w:rsid w:val="0AD007F3"/>
    <w:rsid w:val="0B494416"/>
    <w:rsid w:val="0B666A61"/>
    <w:rsid w:val="0BF422BF"/>
    <w:rsid w:val="0C0B7609"/>
    <w:rsid w:val="0C3B1C9C"/>
    <w:rsid w:val="0CC47EE3"/>
    <w:rsid w:val="0CCC323C"/>
    <w:rsid w:val="0CCF4ADA"/>
    <w:rsid w:val="0CE40585"/>
    <w:rsid w:val="0D330BC5"/>
    <w:rsid w:val="0D444B80"/>
    <w:rsid w:val="0D95362E"/>
    <w:rsid w:val="0DBF68FD"/>
    <w:rsid w:val="0DD8218E"/>
    <w:rsid w:val="0E3C619F"/>
    <w:rsid w:val="0E4451A9"/>
    <w:rsid w:val="0ED91C40"/>
    <w:rsid w:val="0F264E85"/>
    <w:rsid w:val="0F4E1CE6"/>
    <w:rsid w:val="0FD22917"/>
    <w:rsid w:val="10075BFE"/>
    <w:rsid w:val="100F38EC"/>
    <w:rsid w:val="10725EA8"/>
    <w:rsid w:val="10A45151"/>
    <w:rsid w:val="10AF0EAA"/>
    <w:rsid w:val="10C34956"/>
    <w:rsid w:val="11170296"/>
    <w:rsid w:val="115C39A7"/>
    <w:rsid w:val="11A26319"/>
    <w:rsid w:val="11C5312D"/>
    <w:rsid w:val="11F12DFD"/>
    <w:rsid w:val="120E1C01"/>
    <w:rsid w:val="12435D4E"/>
    <w:rsid w:val="126F6B43"/>
    <w:rsid w:val="1272218F"/>
    <w:rsid w:val="127C4DBC"/>
    <w:rsid w:val="129C720C"/>
    <w:rsid w:val="12C66037"/>
    <w:rsid w:val="12CD1ABC"/>
    <w:rsid w:val="12CF313E"/>
    <w:rsid w:val="12D90460"/>
    <w:rsid w:val="12E43A7C"/>
    <w:rsid w:val="12F26E2C"/>
    <w:rsid w:val="130641CC"/>
    <w:rsid w:val="13280AA0"/>
    <w:rsid w:val="13471461"/>
    <w:rsid w:val="13B90F01"/>
    <w:rsid w:val="147D695C"/>
    <w:rsid w:val="14DA401C"/>
    <w:rsid w:val="153C6A85"/>
    <w:rsid w:val="155E4C4D"/>
    <w:rsid w:val="15613208"/>
    <w:rsid w:val="15896A68"/>
    <w:rsid w:val="15AF54A9"/>
    <w:rsid w:val="15BB3E4D"/>
    <w:rsid w:val="15D2752D"/>
    <w:rsid w:val="15FA4976"/>
    <w:rsid w:val="16313A49"/>
    <w:rsid w:val="16854873"/>
    <w:rsid w:val="169923E1"/>
    <w:rsid w:val="16B234A2"/>
    <w:rsid w:val="16BD0602"/>
    <w:rsid w:val="17190E2C"/>
    <w:rsid w:val="177C760C"/>
    <w:rsid w:val="181066D2"/>
    <w:rsid w:val="187D363C"/>
    <w:rsid w:val="188B3FAB"/>
    <w:rsid w:val="19662322"/>
    <w:rsid w:val="199B0ED5"/>
    <w:rsid w:val="19BD17EE"/>
    <w:rsid w:val="1A3348FA"/>
    <w:rsid w:val="1AA95FBD"/>
    <w:rsid w:val="1AD339E7"/>
    <w:rsid w:val="1AEB2ADF"/>
    <w:rsid w:val="1AF03B8E"/>
    <w:rsid w:val="1B6603B7"/>
    <w:rsid w:val="1B7900EB"/>
    <w:rsid w:val="1B862808"/>
    <w:rsid w:val="1C5B1EE6"/>
    <w:rsid w:val="1C671E73"/>
    <w:rsid w:val="1CAE0268"/>
    <w:rsid w:val="1D322C47"/>
    <w:rsid w:val="1D3E15EC"/>
    <w:rsid w:val="1D8E3BF5"/>
    <w:rsid w:val="1E2C4BE0"/>
    <w:rsid w:val="1E391DB3"/>
    <w:rsid w:val="1E7D7EF2"/>
    <w:rsid w:val="1E8A6AB3"/>
    <w:rsid w:val="1EEB7551"/>
    <w:rsid w:val="1F533349"/>
    <w:rsid w:val="1F770DE5"/>
    <w:rsid w:val="1FB913FE"/>
    <w:rsid w:val="1FBD5916"/>
    <w:rsid w:val="1FD06747"/>
    <w:rsid w:val="1FD75D28"/>
    <w:rsid w:val="20607ACB"/>
    <w:rsid w:val="20DA787E"/>
    <w:rsid w:val="20DB53A4"/>
    <w:rsid w:val="214C004F"/>
    <w:rsid w:val="21BD15F0"/>
    <w:rsid w:val="22714212"/>
    <w:rsid w:val="22B440FE"/>
    <w:rsid w:val="22B81E40"/>
    <w:rsid w:val="22BA56A5"/>
    <w:rsid w:val="22C81958"/>
    <w:rsid w:val="22EC5646"/>
    <w:rsid w:val="23161237"/>
    <w:rsid w:val="23525321"/>
    <w:rsid w:val="23616034"/>
    <w:rsid w:val="23696C97"/>
    <w:rsid w:val="23D507D0"/>
    <w:rsid w:val="23D5257E"/>
    <w:rsid w:val="23DE58D7"/>
    <w:rsid w:val="23DF2E0A"/>
    <w:rsid w:val="23E34C9B"/>
    <w:rsid w:val="24062738"/>
    <w:rsid w:val="24480FA2"/>
    <w:rsid w:val="24613E12"/>
    <w:rsid w:val="248F4E23"/>
    <w:rsid w:val="24AF1515"/>
    <w:rsid w:val="24AF2DCF"/>
    <w:rsid w:val="252208EA"/>
    <w:rsid w:val="25227A45"/>
    <w:rsid w:val="254A26F8"/>
    <w:rsid w:val="25B368EF"/>
    <w:rsid w:val="25BC6855"/>
    <w:rsid w:val="26213859"/>
    <w:rsid w:val="265A5783"/>
    <w:rsid w:val="26753246"/>
    <w:rsid w:val="267C3185"/>
    <w:rsid w:val="26AC3A6A"/>
    <w:rsid w:val="26D44D6F"/>
    <w:rsid w:val="26E2748C"/>
    <w:rsid w:val="27086F37"/>
    <w:rsid w:val="2729330D"/>
    <w:rsid w:val="27321A96"/>
    <w:rsid w:val="275D2FB6"/>
    <w:rsid w:val="27AD0247"/>
    <w:rsid w:val="27D86AE1"/>
    <w:rsid w:val="27EB6814"/>
    <w:rsid w:val="28620159"/>
    <w:rsid w:val="28D23530"/>
    <w:rsid w:val="29E4351B"/>
    <w:rsid w:val="2A2F6883"/>
    <w:rsid w:val="2A30050E"/>
    <w:rsid w:val="2A5C7555"/>
    <w:rsid w:val="2B4369D2"/>
    <w:rsid w:val="2B560448"/>
    <w:rsid w:val="2B591CE7"/>
    <w:rsid w:val="2B9D7E25"/>
    <w:rsid w:val="2BA26604"/>
    <w:rsid w:val="2BC03B14"/>
    <w:rsid w:val="2BEE0681"/>
    <w:rsid w:val="2C2B3683"/>
    <w:rsid w:val="2C790273"/>
    <w:rsid w:val="2C7C7A3B"/>
    <w:rsid w:val="2C901738"/>
    <w:rsid w:val="2CCE42A0"/>
    <w:rsid w:val="2CFC0B7C"/>
    <w:rsid w:val="2D0619FA"/>
    <w:rsid w:val="2D2B1461"/>
    <w:rsid w:val="2D3534CA"/>
    <w:rsid w:val="2D371BB4"/>
    <w:rsid w:val="2D4A7B39"/>
    <w:rsid w:val="2D5E1D13"/>
    <w:rsid w:val="2DBB27E5"/>
    <w:rsid w:val="2DDB4C35"/>
    <w:rsid w:val="2DF31F7F"/>
    <w:rsid w:val="2E16133D"/>
    <w:rsid w:val="2EB060C2"/>
    <w:rsid w:val="2F364819"/>
    <w:rsid w:val="2F3E36CD"/>
    <w:rsid w:val="2FD2011D"/>
    <w:rsid w:val="2FD63906"/>
    <w:rsid w:val="30085A89"/>
    <w:rsid w:val="302A1EA4"/>
    <w:rsid w:val="30313232"/>
    <w:rsid w:val="30722079"/>
    <w:rsid w:val="30DC1823"/>
    <w:rsid w:val="30F21F70"/>
    <w:rsid w:val="310B19E4"/>
    <w:rsid w:val="315D3273"/>
    <w:rsid w:val="318B24CE"/>
    <w:rsid w:val="31E14B66"/>
    <w:rsid w:val="31ED089C"/>
    <w:rsid w:val="3212329D"/>
    <w:rsid w:val="325925CC"/>
    <w:rsid w:val="326A47D9"/>
    <w:rsid w:val="329B4993"/>
    <w:rsid w:val="32E37F83"/>
    <w:rsid w:val="3353526D"/>
    <w:rsid w:val="33863C3A"/>
    <w:rsid w:val="33BE302F"/>
    <w:rsid w:val="33F151B2"/>
    <w:rsid w:val="34076784"/>
    <w:rsid w:val="340842AA"/>
    <w:rsid w:val="35775243"/>
    <w:rsid w:val="35AD5109"/>
    <w:rsid w:val="35E33745"/>
    <w:rsid w:val="360B0081"/>
    <w:rsid w:val="364A2958"/>
    <w:rsid w:val="36612A35"/>
    <w:rsid w:val="36745C27"/>
    <w:rsid w:val="3676374D"/>
    <w:rsid w:val="36AA5AEC"/>
    <w:rsid w:val="36B9188B"/>
    <w:rsid w:val="36E37827"/>
    <w:rsid w:val="37215DAE"/>
    <w:rsid w:val="378E0F6A"/>
    <w:rsid w:val="3790083E"/>
    <w:rsid w:val="379522F8"/>
    <w:rsid w:val="37D921E5"/>
    <w:rsid w:val="37DA5F5D"/>
    <w:rsid w:val="37DF1769"/>
    <w:rsid w:val="38A649C1"/>
    <w:rsid w:val="38CA40DD"/>
    <w:rsid w:val="39047736"/>
    <w:rsid w:val="395F2B56"/>
    <w:rsid w:val="39FA4695"/>
    <w:rsid w:val="3A4A73CA"/>
    <w:rsid w:val="3A9E3BD3"/>
    <w:rsid w:val="3B084B8F"/>
    <w:rsid w:val="3B706E2F"/>
    <w:rsid w:val="3B7B47DC"/>
    <w:rsid w:val="3B900A1C"/>
    <w:rsid w:val="3BBA0580"/>
    <w:rsid w:val="3BECE841"/>
    <w:rsid w:val="3C197FB3"/>
    <w:rsid w:val="3C51034C"/>
    <w:rsid w:val="3C591B47"/>
    <w:rsid w:val="3C5E715D"/>
    <w:rsid w:val="3C6E1E8A"/>
    <w:rsid w:val="3C6F3118"/>
    <w:rsid w:val="3C8A7F52"/>
    <w:rsid w:val="3CDE204C"/>
    <w:rsid w:val="3D017F7A"/>
    <w:rsid w:val="3D0D2931"/>
    <w:rsid w:val="3D363C36"/>
    <w:rsid w:val="3D5E4F3B"/>
    <w:rsid w:val="3D761BAF"/>
    <w:rsid w:val="3DC70D32"/>
    <w:rsid w:val="3DC77914"/>
    <w:rsid w:val="3DF71617"/>
    <w:rsid w:val="3E10092B"/>
    <w:rsid w:val="3E7762B4"/>
    <w:rsid w:val="3E9055C8"/>
    <w:rsid w:val="3E9C3F6D"/>
    <w:rsid w:val="3E9C5D1B"/>
    <w:rsid w:val="3EC053F3"/>
    <w:rsid w:val="3EE91C93"/>
    <w:rsid w:val="3F9B06C8"/>
    <w:rsid w:val="3FF7797D"/>
    <w:rsid w:val="40C477AB"/>
    <w:rsid w:val="40CE4185"/>
    <w:rsid w:val="40FD375C"/>
    <w:rsid w:val="414D77A0"/>
    <w:rsid w:val="41A53138"/>
    <w:rsid w:val="41C31810"/>
    <w:rsid w:val="41E719A3"/>
    <w:rsid w:val="421309EA"/>
    <w:rsid w:val="42310E70"/>
    <w:rsid w:val="42497F67"/>
    <w:rsid w:val="42D75573"/>
    <w:rsid w:val="43362BE2"/>
    <w:rsid w:val="43746C04"/>
    <w:rsid w:val="43D63A7D"/>
    <w:rsid w:val="440C56F0"/>
    <w:rsid w:val="445F1CC4"/>
    <w:rsid w:val="447F5BB5"/>
    <w:rsid w:val="44816BA5"/>
    <w:rsid w:val="448F1309"/>
    <w:rsid w:val="449C6A74"/>
    <w:rsid w:val="44B30B1E"/>
    <w:rsid w:val="44B57B36"/>
    <w:rsid w:val="44E65F41"/>
    <w:rsid w:val="45140D01"/>
    <w:rsid w:val="453834D3"/>
    <w:rsid w:val="454809AA"/>
    <w:rsid w:val="4574179F"/>
    <w:rsid w:val="458B0897"/>
    <w:rsid w:val="4597723C"/>
    <w:rsid w:val="46690BD8"/>
    <w:rsid w:val="46B1257F"/>
    <w:rsid w:val="46F030A7"/>
    <w:rsid w:val="471054F8"/>
    <w:rsid w:val="472E3BD0"/>
    <w:rsid w:val="47925F0D"/>
    <w:rsid w:val="47F44E19"/>
    <w:rsid w:val="48286871"/>
    <w:rsid w:val="48693111"/>
    <w:rsid w:val="48C25E9E"/>
    <w:rsid w:val="48C3519D"/>
    <w:rsid w:val="48E94252"/>
    <w:rsid w:val="490C7F41"/>
    <w:rsid w:val="493A4AAE"/>
    <w:rsid w:val="49CF169A"/>
    <w:rsid w:val="49F70BF1"/>
    <w:rsid w:val="4A985F30"/>
    <w:rsid w:val="4ABE526B"/>
    <w:rsid w:val="4B337A07"/>
    <w:rsid w:val="4B3C2D5F"/>
    <w:rsid w:val="4B413ED2"/>
    <w:rsid w:val="4B4340EE"/>
    <w:rsid w:val="4B517E8D"/>
    <w:rsid w:val="4B6D7BF9"/>
    <w:rsid w:val="4B700C5B"/>
    <w:rsid w:val="4B860ED7"/>
    <w:rsid w:val="4B8B339F"/>
    <w:rsid w:val="4BBF129A"/>
    <w:rsid w:val="4BFC24EE"/>
    <w:rsid w:val="4C1705E5"/>
    <w:rsid w:val="4C5B7C02"/>
    <w:rsid w:val="4C96649F"/>
    <w:rsid w:val="4CC748AA"/>
    <w:rsid w:val="4D090A1F"/>
    <w:rsid w:val="4D5346B3"/>
    <w:rsid w:val="4D875DE8"/>
    <w:rsid w:val="4E1A4EAE"/>
    <w:rsid w:val="4E630603"/>
    <w:rsid w:val="4F231B40"/>
    <w:rsid w:val="4F9F566B"/>
    <w:rsid w:val="4FB01626"/>
    <w:rsid w:val="4FC155E1"/>
    <w:rsid w:val="4FED4628"/>
    <w:rsid w:val="503D507A"/>
    <w:rsid w:val="507E6CAB"/>
    <w:rsid w:val="508571B2"/>
    <w:rsid w:val="50D00709"/>
    <w:rsid w:val="50D94BAC"/>
    <w:rsid w:val="50DB26D2"/>
    <w:rsid w:val="51A7228E"/>
    <w:rsid w:val="51B4174F"/>
    <w:rsid w:val="51E21234"/>
    <w:rsid w:val="51FA74D0"/>
    <w:rsid w:val="52162B6D"/>
    <w:rsid w:val="52AA4A52"/>
    <w:rsid w:val="52B7716F"/>
    <w:rsid w:val="531B5950"/>
    <w:rsid w:val="541A1764"/>
    <w:rsid w:val="541D3002"/>
    <w:rsid w:val="545804DE"/>
    <w:rsid w:val="549F610D"/>
    <w:rsid w:val="54AF45A2"/>
    <w:rsid w:val="551209A8"/>
    <w:rsid w:val="55197C6D"/>
    <w:rsid w:val="55450A62"/>
    <w:rsid w:val="55A473AA"/>
    <w:rsid w:val="55B33C1E"/>
    <w:rsid w:val="55E53FF3"/>
    <w:rsid w:val="57566F57"/>
    <w:rsid w:val="578F06BB"/>
    <w:rsid w:val="57B63E99"/>
    <w:rsid w:val="582C415B"/>
    <w:rsid w:val="584D65AC"/>
    <w:rsid w:val="586E6522"/>
    <w:rsid w:val="589F1B38"/>
    <w:rsid w:val="58B16202"/>
    <w:rsid w:val="58D854DF"/>
    <w:rsid w:val="592F3F03"/>
    <w:rsid w:val="59771406"/>
    <w:rsid w:val="59943D66"/>
    <w:rsid w:val="59E051FD"/>
    <w:rsid w:val="59E6355E"/>
    <w:rsid w:val="59F91E1B"/>
    <w:rsid w:val="5A236E98"/>
    <w:rsid w:val="5A471A83"/>
    <w:rsid w:val="5A7F67C4"/>
    <w:rsid w:val="5A981634"/>
    <w:rsid w:val="5B4F263B"/>
    <w:rsid w:val="5B667984"/>
    <w:rsid w:val="5B821531"/>
    <w:rsid w:val="5BCC223B"/>
    <w:rsid w:val="5BED6965"/>
    <w:rsid w:val="5BFF6039"/>
    <w:rsid w:val="5CA73DB1"/>
    <w:rsid w:val="5CAA6C36"/>
    <w:rsid w:val="5CF8460C"/>
    <w:rsid w:val="5D76A616"/>
    <w:rsid w:val="5D7F20B9"/>
    <w:rsid w:val="5DAC7D0E"/>
    <w:rsid w:val="5E453D00"/>
    <w:rsid w:val="5E771F92"/>
    <w:rsid w:val="5EF54CCE"/>
    <w:rsid w:val="5F0454EA"/>
    <w:rsid w:val="5F98B5AF"/>
    <w:rsid w:val="5FC27334"/>
    <w:rsid w:val="5FF437B1"/>
    <w:rsid w:val="5FFE8511"/>
    <w:rsid w:val="5FFEACE2"/>
    <w:rsid w:val="60624BBE"/>
    <w:rsid w:val="609D5BF6"/>
    <w:rsid w:val="60F90953"/>
    <w:rsid w:val="60FB46CB"/>
    <w:rsid w:val="61073070"/>
    <w:rsid w:val="611C2FBF"/>
    <w:rsid w:val="611F2AAF"/>
    <w:rsid w:val="614E49B4"/>
    <w:rsid w:val="61B9080E"/>
    <w:rsid w:val="61DF3FED"/>
    <w:rsid w:val="63491158"/>
    <w:rsid w:val="63CB65D6"/>
    <w:rsid w:val="642B176B"/>
    <w:rsid w:val="643EE26D"/>
    <w:rsid w:val="646B7DB9"/>
    <w:rsid w:val="64F63B27"/>
    <w:rsid w:val="656019A0"/>
    <w:rsid w:val="656E5DB3"/>
    <w:rsid w:val="65CB2C2E"/>
    <w:rsid w:val="65D5373C"/>
    <w:rsid w:val="65F242EE"/>
    <w:rsid w:val="662D3578"/>
    <w:rsid w:val="6646288C"/>
    <w:rsid w:val="664D59C9"/>
    <w:rsid w:val="666D7E19"/>
    <w:rsid w:val="667B2536"/>
    <w:rsid w:val="674A015A"/>
    <w:rsid w:val="675C3092"/>
    <w:rsid w:val="68376930"/>
    <w:rsid w:val="687F3E33"/>
    <w:rsid w:val="68AB4C28"/>
    <w:rsid w:val="68F44821"/>
    <w:rsid w:val="68F91E38"/>
    <w:rsid w:val="69690F4E"/>
    <w:rsid w:val="69715E72"/>
    <w:rsid w:val="6985191D"/>
    <w:rsid w:val="6A1D3904"/>
    <w:rsid w:val="6A440E91"/>
    <w:rsid w:val="6A95793E"/>
    <w:rsid w:val="6AA55DB5"/>
    <w:rsid w:val="6AC34609"/>
    <w:rsid w:val="6AC75E25"/>
    <w:rsid w:val="6B1E7934"/>
    <w:rsid w:val="6B3158B9"/>
    <w:rsid w:val="6B6F3824"/>
    <w:rsid w:val="6BA02A3F"/>
    <w:rsid w:val="6C1E5A53"/>
    <w:rsid w:val="6C315445"/>
    <w:rsid w:val="6C53360D"/>
    <w:rsid w:val="6CA65E33"/>
    <w:rsid w:val="6CC8224D"/>
    <w:rsid w:val="6D2B62A5"/>
    <w:rsid w:val="6E4B6C92"/>
    <w:rsid w:val="6E662A0A"/>
    <w:rsid w:val="6E761BBE"/>
    <w:rsid w:val="6E930639"/>
    <w:rsid w:val="6E9C129B"/>
    <w:rsid w:val="6EA2087C"/>
    <w:rsid w:val="6F4162E7"/>
    <w:rsid w:val="6F54601A"/>
    <w:rsid w:val="6F5C41AC"/>
    <w:rsid w:val="6F7E3097"/>
    <w:rsid w:val="6F863CF9"/>
    <w:rsid w:val="6FAF6C78"/>
    <w:rsid w:val="6FE74798"/>
    <w:rsid w:val="70271038"/>
    <w:rsid w:val="708169F7"/>
    <w:rsid w:val="70E30E4B"/>
    <w:rsid w:val="70E8591E"/>
    <w:rsid w:val="71341C5F"/>
    <w:rsid w:val="715E1EA1"/>
    <w:rsid w:val="716167CC"/>
    <w:rsid w:val="718A7AD1"/>
    <w:rsid w:val="729F135A"/>
    <w:rsid w:val="72A44BC2"/>
    <w:rsid w:val="72E90827"/>
    <w:rsid w:val="7306587D"/>
    <w:rsid w:val="73133AF6"/>
    <w:rsid w:val="7317C656"/>
    <w:rsid w:val="732301DD"/>
    <w:rsid w:val="732E6B82"/>
    <w:rsid w:val="734ED73F"/>
    <w:rsid w:val="73C82B32"/>
    <w:rsid w:val="73F43927"/>
    <w:rsid w:val="73F94DAE"/>
    <w:rsid w:val="74220495"/>
    <w:rsid w:val="74402617"/>
    <w:rsid w:val="7452064E"/>
    <w:rsid w:val="747D1B6F"/>
    <w:rsid w:val="748C590E"/>
    <w:rsid w:val="749E5641"/>
    <w:rsid w:val="750556C0"/>
    <w:rsid w:val="751C1388"/>
    <w:rsid w:val="752913AF"/>
    <w:rsid w:val="75377F70"/>
    <w:rsid w:val="75A16E99"/>
    <w:rsid w:val="75AD2CAB"/>
    <w:rsid w:val="75C15A8B"/>
    <w:rsid w:val="75DF4163"/>
    <w:rsid w:val="75EA4FE2"/>
    <w:rsid w:val="76271066"/>
    <w:rsid w:val="762A53DF"/>
    <w:rsid w:val="76A72ED3"/>
    <w:rsid w:val="76E14E07"/>
    <w:rsid w:val="76FB4FCD"/>
    <w:rsid w:val="772E02B0"/>
    <w:rsid w:val="77CD0717"/>
    <w:rsid w:val="77F55EC0"/>
    <w:rsid w:val="77FD8BE9"/>
    <w:rsid w:val="78000AED"/>
    <w:rsid w:val="782347DB"/>
    <w:rsid w:val="782F13D2"/>
    <w:rsid w:val="785B3F75"/>
    <w:rsid w:val="787D038F"/>
    <w:rsid w:val="788D09EA"/>
    <w:rsid w:val="7890380D"/>
    <w:rsid w:val="789C15D4"/>
    <w:rsid w:val="789C633C"/>
    <w:rsid w:val="78B763C8"/>
    <w:rsid w:val="78BD69DE"/>
    <w:rsid w:val="791D747D"/>
    <w:rsid w:val="79A9BD3F"/>
    <w:rsid w:val="7A3C3932"/>
    <w:rsid w:val="7A7E219D"/>
    <w:rsid w:val="7A811C8D"/>
    <w:rsid w:val="7A8552D9"/>
    <w:rsid w:val="7B476A33"/>
    <w:rsid w:val="7B566C76"/>
    <w:rsid w:val="7B5B0730"/>
    <w:rsid w:val="7B713AB0"/>
    <w:rsid w:val="7B776F12"/>
    <w:rsid w:val="7BBD0AA3"/>
    <w:rsid w:val="7BF93F08"/>
    <w:rsid w:val="7BFFFDD0"/>
    <w:rsid w:val="7C336E5F"/>
    <w:rsid w:val="7C6D4277"/>
    <w:rsid w:val="7C7750F6"/>
    <w:rsid w:val="7C8D4919"/>
    <w:rsid w:val="7CE04A49"/>
    <w:rsid w:val="7D080444"/>
    <w:rsid w:val="7D7A5F86"/>
    <w:rsid w:val="7E4B683A"/>
    <w:rsid w:val="7E551467"/>
    <w:rsid w:val="7E5E656D"/>
    <w:rsid w:val="7E8F2BCB"/>
    <w:rsid w:val="7EED5B43"/>
    <w:rsid w:val="7F0A2251"/>
    <w:rsid w:val="7F37BB4E"/>
    <w:rsid w:val="7F8A15E4"/>
    <w:rsid w:val="7FD56CB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next w:val="1"/>
    <w:qFormat/>
    <w:uiPriority w:val="0"/>
    <w:rPr>
      <w:rFonts w:hAnsi="Courier New" w:cs="Courier New"/>
      <w:szCs w:val="21"/>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5"/>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 w:type="paragraph" w:customStyle="1" w:styleId="26">
    <w:name w:val="样式1"/>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9750</Words>
  <Characters>10014</Characters>
  <Lines>58</Lines>
  <Paragraphs>16</Paragraphs>
  <TotalTime>34</TotalTime>
  <ScaleCrop>false</ScaleCrop>
  <LinksUpToDate>false</LinksUpToDate>
  <CharactersWithSpaces>10471</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dcterms:modified xsi:type="dcterms:W3CDTF">2025-08-18T12:38:27Z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2BA0F2D8AE3641E9A91D0028061F09CD</vt:lpwstr>
  </property>
  <property fmtid="{D5CDD505-2E9C-101B-9397-08002B2CF9AE}" pid="4" name="KSOTemplateDocerSaveRecord">
    <vt:lpwstr>eyJoZGlkIjoiZDRmNmJmZGEzYzE4NDkxYTYyZmVjYzI3ZWFlM2ZiZDUifQ==</vt:lpwstr>
  </property>
</Properties>
</file>