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宋体" w:eastAsia="宋体"/>
          <w:sz w:val="32"/>
          <w:szCs w:val="32"/>
        </w:rPr>
      </w:pP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宋体" w:eastAsia="宋体"/>
          <w:sz w:val="44"/>
          <w:szCs w:val="44"/>
        </w:rPr>
      </w:pP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宋体" w:eastAsia="宋体"/>
          <w:sz w:val="44"/>
          <w:szCs w:val="44"/>
        </w:rPr>
      </w:pP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宋体" w:eastAsia="宋体"/>
          <w:sz w:val="44"/>
          <w:szCs w:val="44"/>
        </w:rPr>
      </w:pPr>
    </w:p>
    <w:p>
      <w:pPr>
        <w:pageBreakBefore w:val="0"/>
        <w:widowControl w:val="0"/>
        <w:kinsoku/>
        <w:wordWrap/>
        <w:overflowPunct/>
        <w:topLinePunct w:val="0"/>
        <w:autoSpaceDE/>
        <w:autoSpaceDN/>
        <w:bidi w:val="0"/>
        <w:adjustRightInd/>
        <w:snapToGrid/>
        <w:spacing w:after="0" w:line="240" w:lineRule="auto"/>
        <w:ind w:left="0"/>
        <w:jc w:val="center"/>
        <w:textAlignment w:val="auto"/>
        <w:rPr>
          <w:rFonts w:ascii="方正小标宋_GBK" w:hAnsi="宋体" w:eastAsia="方正小标宋_GBK" w:cs="Times New Roman"/>
          <w:kern w:val="2"/>
          <w:sz w:val="44"/>
          <w:szCs w:val="44"/>
          <w:lang w:eastAsia="zh-CN"/>
        </w:rPr>
      </w:pPr>
      <w:r>
        <w:rPr>
          <w:rFonts w:ascii="方正小标宋_GBK" w:hAnsi="宋体" w:eastAsia="方正小标宋_GBK" w:cs="Times New Roman"/>
          <w:kern w:val="2"/>
          <w:sz w:val="44"/>
          <w:szCs w:val="44"/>
          <w:lang w:eastAsia="zh-CN"/>
        </w:rPr>
        <w:t>库尔勒市恰尔巴格乡人民政府</w:t>
      </w:r>
    </w:p>
    <w:p>
      <w:pPr>
        <w:pageBreakBefore w:val="0"/>
        <w:widowControl w:val="0"/>
        <w:kinsoku/>
        <w:wordWrap/>
        <w:overflowPunct/>
        <w:topLinePunct w:val="0"/>
        <w:autoSpaceDE/>
        <w:autoSpaceDN/>
        <w:bidi w:val="0"/>
        <w:adjustRightInd/>
        <w:snapToGrid/>
        <w:spacing w:after="0" w:line="240" w:lineRule="auto"/>
        <w:ind w:left="0"/>
        <w:jc w:val="center"/>
        <w:textAlignment w:val="auto"/>
        <w:rPr>
          <w:rFonts w:ascii="方正小标宋_GBK" w:hAnsi="宋体" w:eastAsia="方正小标宋_GBK" w:cs="Times New Roman"/>
          <w:kern w:val="2"/>
          <w:sz w:val="44"/>
          <w:szCs w:val="44"/>
          <w:lang w:eastAsia="zh-CN"/>
        </w:rPr>
      </w:pPr>
      <w:r>
        <w:rPr>
          <w:rFonts w:ascii="方正小标宋_GBK" w:hAnsi="宋体" w:eastAsia="方正小标宋_GBK" w:cs="Times New Roman"/>
          <w:kern w:val="2"/>
          <w:sz w:val="44"/>
          <w:szCs w:val="44"/>
          <w:lang w:eastAsia="zh-CN"/>
        </w:rPr>
        <w:t>2024年度部门决算</w:t>
      </w:r>
    </w:p>
    <w:p>
      <w:pPr>
        <w:pageBreakBefore w:val="0"/>
        <w:widowControl w:val="0"/>
        <w:kinsoku/>
        <w:wordWrap/>
        <w:overflowPunct/>
        <w:topLinePunct w:val="0"/>
        <w:autoSpaceDE/>
        <w:autoSpaceDN/>
        <w:bidi w:val="0"/>
        <w:adjustRightInd/>
        <w:snapToGrid/>
        <w:spacing w:after="0" w:line="240" w:lineRule="auto"/>
        <w:ind w:left="0"/>
        <w:jc w:val="center"/>
        <w:textAlignment w:val="auto"/>
        <w:rPr>
          <w:rFonts w:ascii="方正小标宋_GBK" w:hAnsi="宋体" w:eastAsia="方正小标宋_GBK" w:cs="Times New Roman"/>
          <w:kern w:val="2"/>
          <w:sz w:val="44"/>
          <w:szCs w:val="44"/>
          <w:lang w:eastAsia="zh-CN"/>
        </w:rPr>
      </w:pPr>
      <w:r>
        <w:rPr>
          <w:rFonts w:ascii="方正小标宋_GBK" w:hAnsi="宋体" w:eastAsia="方正小标宋_GBK" w:cs="Times New Roman"/>
          <w:kern w:val="2"/>
          <w:sz w:val="44"/>
          <w:szCs w:val="44"/>
          <w:lang w:eastAsia="zh-CN"/>
        </w:rPr>
        <w:t>公开说明</w:t>
      </w:r>
    </w:p>
    <w:p>
      <w:pPr>
        <w:pageBreakBefore w:val="0"/>
        <w:widowControl/>
        <w:kinsoku/>
        <w:wordWrap/>
        <w:overflowPunct/>
        <w:topLinePunct w:val="0"/>
        <w:autoSpaceDE/>
        <w:autoSpaceDN/>
        <w:bidi w:val="0"/>
        <w:adjustRightInd/>
        <w:snapToGrid/>
        <w:spacing w:line="560" w:lineRule="exact"/>
        <w:ind w:left="0"/>
        <w:textAlignment w:val="auto"/>
      </w:pPr>
      <w:r>
        <w:rPr>
          <w:b w:val="0"/>
          <w:sz w:val="0"/>
          <w:szCs w:val="0"/>
        </w:rPr>
        <w:br w:type="page"/>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center"/>
        <w:textAlignment w:val="auto"/>
        <w:rPr>
          <w:rFonts w:ascii="黑体" w:eastAsia="黑体"/>
          <w:sz w:val="32"/>
          <w:szCs w:val="32"/>
        </w:rPr>
      </w:pPr>
      <w:r>
        <w:rPr>
          <w:rFonts w:ascii="黑体" w:eastAsia="黑体"/>
          <w:b/>
          <w:sz w:val="32"/>
          <w:szCs w:val="32"/>
        </w:rPr>
        <w:t>目录</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sz w:val="32"/>
          <w:szCs w:val="32"/>
        </w:rPr>
        <w:t>第一部分单位概况</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val="0"/>
          <w:sz w:val="32"/>
          <w:szCs w:val="32"/>
        </w:rPr>
        <w:t>一、主要职能</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val="0"/>
          <w:sz w:val="32"/>
          <w:szCs w:val="32"/>
        </w:rPr>
        <w:t>二、机构设置及人员情况</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sz w:val="32"/>
          <w:szCs w:val="32"/>
        </w:rPr>
        <w:t>第二部分部门决算情况说明</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val="0"/>
          <w:sz w:val="32"/>
          <w:szCs w:val="32"/>
        </w:rPr>
        <w:t>一、收入支出决算总体情况说明</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val="0"/>
          <w:sz w:val="32"/>
          <w:szCs w:val="32"/>
        </w:rPr>
        <w:t>二、收入决算情况说明</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val="0"/>
          <w:sz w:val="32"/>
          <w:szCs w:val="32"/>
        </w:rPr>
        <w:t>三、支出决算情况说明</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val="0"/>
          <w:sz w:val="32"/>
          <w:szCs w:val="32"/>
        </w:rPr>
        <w:t>十、其他重要事项的情况说明</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val="0"/>
          <w:sz w:val="32"/>
          <w:szCs w:val="32"/>
        </w:rPr>
        <w:t>（二）政府采购情况</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val="0"/>
          <w:sz w:val="32"/>
          <w:szCs w:val="32"/>
        </w:rPr>
        <w:t>（三）国有资产占用情况说明</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val="0"/>
          <w:sz w:val="32"/>
          <w:szCs w:val="32"/>
        </w:rPr>
        <w:t>十一、预算绩效的情况说明</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val="0"/>
          <w:sz w:val="32"/>
          <w:szCs w:val="32"/>
        </w:rPr>
        <w:t>十二、其他需说明的事项</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sz w:val="32"/>
          <w:szCs w:val="32"/>
        </w:rPr>
        <w:t>第三部分专业名词解释</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sz w:val="32"/>
          <w:szCs w:val="32"/>
        </w:rPr>
        <w:t>第四部分部门决算报表（见附表）</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val="0"/>
          <w:sz w:val="32"/>
          <w:szCs w:val="32"/>
        </w:rPr>
        <w:t>一、《收入支出决算总表》</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val="0"/>
          <w:sz w:val="32"/>
          <w:szCs w:val="32"/>
        </w:rPr>
        <w:t>二、《收入决算表》</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val="0"/>
          <w:sz w:val="32"/>
          <w:szCs w:val="32"/>
        </w:rPr>
        <w:t>三、《支出决算表》</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val="0"/>
          <w:sz w:val="32"/>
          <w:szCs w:val="32"/>
        </w:rPr>
        <w:t>四、《财政拨款收入支出决算总表》</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pPr>
        <w:pageBreakBefore w:val="0"/>
        <w:widowControl/>
        <w:kinsoku/>
        <w:wordWrap/>
        <w:overflowPunct/>
        <w:topLinePunct w:val="0"/>
        <w:autoSpaceDE/>
        <w:autoSpaceDN/>
        <w:bidi w:val="0"/>
        <w:adjustRightInd/>
        <w:snapToGrid/>
        <w:spacing w:line="560" w:lineRule="exact"/>
        <w:ind w:left="0"/>
        <w:textAlignment w:val="auto"/>
      </w:pPr>
      <w:r>
        <w:rPr>
          <w:b w:val="0"/>
          <w:sz w:val="0"/>
          <w:szCs w:val="0"/>
        </w:rPr>
        <w:br w:type="page"/>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center"/>
        <w:textAlignment w:val="auto"/>
        <w:outlineLvl w:val="0"/>
        <w:rPr>
          <w:rFonts w:ascii="黑体" w:eastAsia="黑体"/>
          <w:sz w:val="32"/>
          <w:szCs w:val="32"/>
        </w:rPr>
      </w:pPr>
      <w:r>
        <w:rPr>
          <w:rFonts w:ascii="黑体" w:eastAsia="黑体"/>
          <w:b w:val="0"/>
          <w:sz w:val="32"/>
          <w:szCs w:val="32"/>
        </w:rPr>
        <w:t>第一部分单位概况</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outlineLvl w:val="1"/>
        <w:rPr>
          <w:rFonts w:ascii="黑体" w:eastAsia="黑体"/>
          <w:sz w:val="32"/>
          <w:szCs w:val="32"/>
        </w:rPr>
      </w:pPr>
      <w:r>
        <w:rPr>
          <w:rFonts w:ascii="黑体" w:eastAsia="黑体"/>
          <w:b w:val="0"/>
          <w:sz w:val="32"/>
          <w:szCs w:val="32"/>
        </w:rPr>
        <w:t>一、主要职能</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一）加强党的建设。落实基层党建工作责任制，加强党员队伍的思想建设、组织建设、作风建设、制度建设和党风廉政建设；宣传贯彻党的路线方针政策和法律法规，加强党对意识形态和统一战线工作的领导；指导工会、共青团、妇联等群团工作。坚持党管武装的基本原则和制度，协调各方力量，对镇人民武装工作实行统一管理。</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二）组织领导城乡区域经济工作。制定地方经济社会发展规划和年度计划并组织实施；坚持依法行政，推进民主政治，加强基层政权建设；做好居民服务管理和社区工作，推进乡村振兴；规范经济管理，组织指导经济发展和经济结构调整；加强综合生产能力建设；加强基础设施建设；健全社会化服务体系，完善产业支持保护体系，推进产业现代化；为辖区内企业做好服务工作，优化投资环境、人才服务、创业创新；积极维护经济秩序，落实“放管服”改革各项举措，着力提升经济发展的质量和水平，增加村民收入，不断提高人民生活水平。</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三）组织公共服务。加强公共设施建设，开展就业和社会保障等服务，发展科教文卫事业，组织实施与村民生活密切相关的各项公共服务事项，着力解决群众生产生活中的问题；制订公共服务事项目录，加强公共服务体系建设。</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四）实施公共管理。推进政务、居务公开，抓好卫生健康、人口计划生育工作，实施一票否决制，保障妇女儿童合法权益；加强自然资源管理、生态环境保护和修复工作；负责辖区内城镇管理、控违拆违、征地拆迁等综合性管理工作；负责辖区内统计工作。</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五）维护公共安全。承担辖区内社会治安综合治理、信访、平安建设、应急管理、安全生产、脱贫攻坚等有关工作；对辖区内各单位综合治理工作实行一票否决权；强化法制宣传教育、畅通诉求渠道、调解民事纠纷、化解社会矛盾，处理群众性突发事件，做好社会安置帮教、社区矫正和特殊群体帮教帮扶，维护社会秩序和社会稳定；组织抢险救灾，及时上报和处置重大社情、险情等，保护人民群众的生命财产安全；承担民兵预备役、征兵、退役军人服务、拥军优属工作。</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（六）监督执法管理。对辖区内各类行政执法工作进行统筹协调，组织开展群众监督和社会监督。</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（七）动员社会参与。动员辖区内各类单位、社会组织村民等社会力量参与社会治理，为乡镇发展服务。</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hint="eastAsia" w:ascii="仿宋_GB2312" w:eastAsia="仿宋_GB2312"/>
          <w:b w:val="0"/>
          <w:sz w:val="32"/>
          <w:szCs w:val="32"/>
        </w:rPr>
        <w:t>（八）保障村民自治。指导村民委员会建设，健全村民自治平台，组织驻乡单位和村民参与村委会建设、管理。</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outlineLvl w:val="1"/>
        <w:rPr>
          <w:rFonts w:ascii="黑体" w:eastAsia="黑体"/>
          <w:sz w:val="32"/>
          <w:szCs w:val="32"/>
        </w:rPr>
      </w:pPr>
      <w:r>
        <w:rPr>
          <w:rFonts w:ascii="黑体" w:eastAsia="黑体"/>
          <w:b w:val="0"/>
          <w:sz w:val="32"/>
          <w:szCs w:val="32"/>
        </w:rPr>
        <w:t>二、机构设置及人员情况</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库尔勒市恰尔巴格乡人民政府2024年度，实有人数95人，其中：在职人员71人，减少8人；离休人员0人，较上年无变化；退休人员24人，增加7人。</w:t>
      </w:r>
    </w:p>
    <w:p>
      <w:pPr>
        <w:pStyle w:val="23"/>
        <w:pageBreakBefore w:val="0"/>
        <w:widowControl/>
        <w:kinsoku/>
        <w:wordWrap/>
        <w:overflowPunct/>
        <w:topLinePunct w:val="0"/>
        <w:autoSpaceDE/>
        <w:autoSpaceDN/>
        <w:bidi w:val="0"/>
        <w:adjustRightInd/>
        <w:snapToGrid/>
        <w:spacing w:line="560" w:lineRule="exact"/>
        <w:ind w:left="0" w:firstLine="560"/>
        <w:jc w:val="both"/>
        <w:textAlignment w:val="auto"/>
        <w:rPr>
          <w:rFonts w:hint="eastAsia" w:ascii="仿宋_GB2312" w:eastAsia="仿宋_GB2312" w:hAnsiTheme="minorHAnsi" w:cstheme="minorBidi"/>
          <w:b w:val="0"/>
          <w:sz w:val="32"/>
          <w:szCs w:val="32"/>
          <w:lang w:val="en-US" w:eastAsia="en-US" w:bidi="ar-SA"/>
        </w:rPr>
      </w:pPr>
      <w:r>
        <w:rPr>
          <w:rFonts w:ascii="仿宋_GB2312" w:eastAsia="仿宋_GB2312" w:hAnsiTheme="minorHAnsi" w:cstheme="minorBidi"/>
          <w:b w:val="0"/>
          <w:sz w:val="32"/>
          <w:szCs w:val="32"/>
          <w:lang w:val="en-US" w:eastAsia="en-US" w:bidi="ar-SA"/>
        </w:rPr>
        <w:t>库尔勒市恰尔巴格乡人民政府无下属预算单位，</w:t>
      </w:r>
      <w:r>
        <w:rPr>
          <w:rFonts w:hint="eastAsia" w:ascii="仿宋_GB2312" w:eastAsia="仿宋_GB2312" w:hAnsiTheme="minorHAnsi" w:cstheme="minorBidi"/>
          <w:b w:val="0"/>
          <w:sz w:val="32"/>
          <w:szCs w:val="32"/>
          <w:lang w:val="en-US" w:eastAsia="en-US" w:bidi="ar-SA"/>
        </w:rPr>
        <w:t>下设10个科室，分别是：（一）党政综合办公室、（二）党建工作办公室、（三）经济发展和财政办公室，（四）社会事务办公室（退役军人服务站），（五）综合执法办公室；</w:t>
      </w:r>
    </w:p>
    <w:p>
      <w:pPr>
        <w:pStyle w:val="23"/>
        <w:pageBreakBefore w:val="0"/>
        <w:widowControl/>
        <w:kinsoku/>
        <w:wordWrap/>
        <w:overflowPunct/>
        <w:topLinePunct w:val="0"/>
        <w:autoSpaceDE/>
        <w:autoSpaceDN/>
        <w:bidi w:val="0"/>
        <w:adjustRightInd/>
        <w:snapToGrid/>
        <w:spacing w:line="560" w:lineRule="exact"/>
        <w:ind w:left="0" w:firstLine="560"/>
        <w:jc w:val="both"/>
        <w:textAlignment w:val="auto"/>
        <w:rPr>
          <w:rFonts w:ascii="仿宋_GB2312" w:eastAsia="仿宋_GB2312"/>
          <w:sz w:val="32"/>
          <w:szCs w:val="32"/>
        </w:rPr>
      </w:pPr>
      <w:r>
        <w:rPr>
          <w:rFonts w:hint="eastAsia" w:ascii="仿宋_GB2312" w:eastAsia="仿宋_GB2312" w:hAnsiTheme="minorHAnsi" w:cstheme="minorBidi"/>
          <w:b w:val="0"/>
          <w:sz w:val="32"/>
          <w:szCs w:val="32"/>
          <w:lang w:val="en-US" w:eastAsia="en-US" w:bidi="ar-SA"/>
        </w:rPr>
        <w:t>（一）农业发展服务中心，（二）公共文化服务中心，（三）村镇建设发展中心，（四）综治和网格化服务中心，（五）便民服务中心</w:t>
      </w:r>
      <w:r>
        <w:rPr>
          <w:rFonts w:ascii="仿宋_GB2312" w:eastAsia="仿宋_GB2312"/>
          <w:b w:val="0"/>
          <w:sz w:val="32"/>
          <w:szCs w:val="32"/>
        </w:rPr>
        <w:t>。</w:t>
      </w:r>
    </w:p>
    <w:p>
      <w:pPr>
        <w:pageBreakBefore w:val="0"/>
        <w:widowControl/>
        <w:kinsoku/>
        <w:wordWrap/>
        <w:overflowPunct/>
        <w:topLinePunct w:val="0"/>
        <w:autoSpaceDE/>
        <w:autoSpaceDN/>
        <w:bidi w:val="0"/>
        <w:adjustRightInd/>
        <w:snapToGrid/>
        <w:spacing w:line="560" w:lineRule="exact"/>
        <w:ind w:left="0"/>
        <w:jc w:val="both"/>
        <w:textAlignment w:val="auto"/>
      </w:pPr>
      <w:r>
        <w:rPr>
          <w:b w:val="0"/>
          <w:sz w:val="0"/>
          <w:szCs w:val="0"/>
        </w:rPr>
        <w:br w:type="page"/>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center"/>
        <w:textAlignment w:val="auto"/>
        <w:outlineLvl w:val="0"/>
        <w:rPr>
          <w:rFonts w:ascii="黑体" w:eastAsia="黑体"/>
          <w:sz w:val="32"/>
          <w:szCs w:val="32"/>
        </w:rPr>
      </w:pPr>
      <w:r>
        <w:rPr>
          <w:rFonts w:ascii="黑体" w:eastAsia="黑体"/>
          <w:b w:val="0"/>
          <w:sz w:val="32"/>
          <w:szCs w:val="32"/>
        </w:rPr>
        <w:t>第二部分</w:t>
      </w:r>
      <w:r>
        <w:rPr>
          <w:rFonts w:hint="eastAsia" w:ascii="黑体" w:eastAsia="黑体"/>
          <w:b w:val="0"/>
          <w:sz w:val="32"/>
          <w:szCs w:val="32"/>
          <w:lang w:val="en-US" w:eastAsia="zh-CN"/>
        </w:rPr>
        <w:t xml:space="preserve"> </w:t>
      </w:r>
      <w:r>
        <w:rPr>
          <w:rFonts w:ascii="黑体" w:eastAsia="黑体"/>
          <w:b w:val="0"/>
          <w:sz w:val="32"/>
          <w:szCs w:val="32"/>
        </w:rPr>
        <w:t>部门决算情况说明</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outlineLvl w:val="1"/>
        <w:rPr>
          <w:rFonts w:ascii="黑体" w:eastAsia="黑体"/>
          <w:sz w:val="32"/>
          <w:szCs w:val="32"/>
        </w:rPr>
      </w:pPr>
      <w:r>
        <w:rPr>
          <w:rFonts w:ascii="黑体" w:eastAsia="黑体"/>
          <w:b w:val="0"/>
          <w:sz w:val="32"/>
          <w:szCs w:val="32"/>
        </w:rPr>
        <w:t>一、收入支出决算总体情况说明</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2024年度收入总计4,113.19万元，其中：本年收入合计4,113.19万元，使用非财政拨款结余（含专用结余）0.00万元，年初结转和结余0.00万元。</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2024年度支出总计4,113.19万元，其中：本年支出合计4,113.19万元，结余分配0.00万元，年末结转和结余0.00万元。</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收入支出总体与上年相比，增加475.40万元，增长13.07%，主要原因是：</w:t>
      </w:r>
      <w:r>
        <w:rPr>
          <w:rFonts w:hint="eastAsia" w:ascii="仿宋_GB2312" w:eastAsia="仿宋_GB2312"/>
          <w:b w:val="0"/>
          <w:sz w:val="32"/>
          <w:szCs w:val="32"/>
          <w:lang w:eastAsia="zh-CN"/>
        </w:rPr>
        <w:t>新增乡村振兴项目和自拆统建88号永安商业街项目土地征收补偿款专项资金</w:t>
      </w:r>
      <w:r>
        <w:rPr>
          <w:rFonts w:ascii="仿宋_GB2312" w:eastAsia="仿宋_GB2312"/>
          <w:b w:val="0"/>
          <w:sz w:val="32"/>
          <w:szCs w:val="32"/>
        </w:rPr>
        <w:t>。</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outlineLvl w:val="1"/>
        <w:rPr>
          <w:rFonts w:ascii="黑体" w:eastAsia="黑体"/>
          <w:sz w:val="32"/>
          <w:szCs w:val="32"/>
        </w:rPr>
      </w:pPr>
      <w:r>
        <w:rPr>
          <w:rFonts w:ascii="黑体" w:eastAsia="黑体"/>
          <w:b w:val="0"/>
          <w:sz w:val="32"/>
          <w:szCs w:val="32"/>
        </w:rPr>
        <w:t>二、收入决算情况说明</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本年收入4,113.19万元，其中：财政拨款收入4,111.19万元,占99.95%；上级补助收入0.00万元,占0.00%；事业收入0.00万元，占0.00%；经营收入0.00万元,占0.00%；附属单位上缴收入0.00万元，占0.00%；其他收入2.00万元，占0.05%。</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outlineLvl w:val="1"/>
        <w:rPr>
          <w:rFonts w:ascii="黑体" w:eastAsia="黑体"/>
          <w:sz w:val="32"/>
          <w:szCs w:val="32"/>
        </w:rPr>
      </w:pPr>
      <w:r>
        <w:rPr>
          <w:rFonts w:ascii="黑体" w:eastAsia="黑体"/>
          <w:b w:val="0"/>
          <w:sz w:val="32"/>
          <w:szCs w:val="32"/>
        </w:rPr>
        <w:t>三、支出决算情况说明</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本年支出4,113.19万元，其中：基本支出2,032.81万元，占49.42%；项目支出2,080.38万元，占50.58%；上缴上级支出0.00万元，占0.00%；经营支出0.00万元，占0.00%；对附属单位补助支出0.00万元，占0.00%。</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收入总计4,111.19万元，其中：年初财政拨款结转和结余0.00万元，本年财政拨款收入4,111.19万元。财政拨款支出总计4,111.19万元，其中：年末财政拨款结转和结余0.00万元，本年财政拨款支出4,111.19万元。</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财政拨款收入支出总体与上年相比，增加504.11万元，增长13.98%，主要原因是：</w:t>
      </w:r>
      <w:r>
        <w:rPr>
          <w:rFonts w:hint="eastAsia" w:ascii="Times New Roman" w:hAnsi="Times New Roman" w:eastAsia="仿宋_GB2312" w:cs="仿宋_GB2312"/>
          <w:color w:val="auto"/>
          <w:sz w:val="32"/>
          <w:szCs w:val="32"/>
          <w:highlight w:val="none"/>
          <w:lang w:val="en-US" w:eastAsia="zh-CN"/>
        </w:rPr>
        <w:t>2024年我单位增加“自拆统建88号永安商业街项目土地征收补偿款”项目和4个乡村振兴项目</w:t>
      </w:r>
      <w:r>
        <w:rPr>
          <w:rFonts w:ascii="仿宋_GB2312" w:eastAsia="仿宋_GB2312"/>
          <w:b w:val="0"/>
          <w:sz w:val="32"/>
          <w:szCs w:val="32"/>
        </w:rPr>
        <w:t>。与年初预算相比，年初预算数4,250.26万元，决算数4,111.19万元，预决算差异率-3.27%，主要原因是：</w:t>
      </w:r>
      <w:r>
        <w:rPr>
          <w:rFonts w:hint="eastAsia" w:ascii="仿宋_GB2312" w:eastAsia="仿宋_GB2312"/>
          <w:b w:val="0"/>
          <w:sz w:val="32"/>
          <w:szCs w:val="32"/>
          <w:lang w:eastAsia="zh-CN"/>
        </w:rPr>
        <w:t>周转宿舍项目和乡村振兴项目质保期未到原因质保金未支付，公共文化资金未使用原因</w:t>
      </w:r>
      <w:r>
        <w:rPr>
          <w:rFonts w:hint="eastAsia" w:ascii="Times New Roman" w:hAnsi="Times New Roman" w:eastAsia="仿宋_GB2312" w:cs="仿宋_GB2312"/>
          <w:color w:val="auto"/>
          <w:sz w:val="32"/>
          <w:szCs w:val="32"/>
          <w:highlight w:val="none"/>
          <w:lang w:val="en-US" w:eastAsia="zh-CN"/>
        </w:rPr>
        <w:t>与年初预</w:t>
      </w:r>
      <w:r>
        <w:rPr>
          <w:rFonts w:hint="eastAsia" w:ascii="仿宋_GB2312" w:eastAsia="仿宋_GB2312"/>
          <w:color w:val="auto"/>
          <w:spacing w:val="0"/>
          <w:sz w:val="32"/>
          <w:szCs w:val="32"/>
          <w:highlight w:val="none"/>
          <w:lang w:val="en-US" w:eastAsia="zh-CN"/>
        </w:rPr>
        <w:t>算相比减少决算数</w:t>
      </w:r>
      <w:r>
        <w:rPr>
          <w:rFonts w:ascii="仿宋_GB2312" w:eastAsia="仿宋_GB2312"/>
          <w:b w:val="0"/>
          <w:sz w:val="32"/>
          <w:szCs w:val="32"/>
        </w:rPr>
        <w:t>。</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outlineLvl w:val="2"/>
        <w:rPr>
          <w:rFonts w:ascii="仿宋_GB2312" w:eastAsia="仿宋_GB2312"/>
          <w:sz w:val="32"/>
          <w:szCs w:val="32"/>
        </w:rPr>
      </w:pPr>
      <w:r>
        <w:rPr>
          <w:rFonts w:ascii="仿宋_GB2312" w:eastAsia="仿宋_GB2312"/>
          <w:b/>
          <w:sz w:val="32"/>
          <w:szCs w:val="32"/>
        </w:rPr>
        <w:t>（一）一般公共预算财政拨款支出决算总体情况</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2024年度一般公共预算财政拨款支出2,932.20万元，占本年支出合计的71.29%。与上年相比，增加19.17万元，增长0.66%，主要原因是：</w:t>
      </w:r>
      <w:r>
        <w:rPr>
          <w:rFonts w:hint="eastAsia" w:ascii="仿宋_GB2312" w:eastAsia="仿宋_GB2312"/>
          <w:b w:val="0"/>
          <w:sz w:val="32"/>
          <w:szCs w:val="32"/>
          <w:lang w:val="en-US" w:eastAsia="zh-CN"/>
        </w:rPr>
        <w:t>2024年增加4个乡村振兴项目，支付上年度上阔什巴格村污水管网改造工程款</w:t>
      </w:r>
      <w:r>
        <w:rPr>
          <w:rFonts w:ascii="仿宋_GB2312" w:eastAsia="仿宋_GB2312"/>
          <w:b w:val="0"/>
          <w:sz w:val="32"/>
          <w:szCs w:val="32"/>
        </w:rPr>
        <w:t>。与年初预算相比，年初预算数2,576.87万元，决算数2,932.20万元，预决算差异率13.79%，主要原因是：</w:t>
      </w:r>
      <w:r>
        <w:rPr>
          <w:rFonts w:hint="eastAsia" w:ascii="仿宋_GB2312" w:eastAsia="仿宋_GB2312"/>
          <w:b w:val="0"/>
          <w:sz w:val="32"/>
          <w:szCs w:val="32"/>
          <w:lang w:val="en-US" w:eastAsia="zh-CN"/>
        </w:rPr>
        <w:t>2024年增加4个乡村振兴项目，支付上年度上阔什巴格村污水管网改造工程款</w:t>
      </w:r>
      <w:r>
        <w:rPr>
          <w:rFonts w:ascii="仿宋_GB2312" w:eastAsia="仿宋_GB2312"/>
          <w:b w:val="0"/>
          <w:sz w:val="32"/>
          <w:szCs w:val="32"/>
        </w:rPr>
        <w:t>。</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outlineLvl w:val="2"/>
        <w:rPr>
          <w:rFonts w:ascii="仿宋_GB2312" w:eastAsia="仿宋_GB2312"/>
          <w:sz w:val="32"/>
          <w:szCs w:val="32"/>
        </w:rPr>
      </w:pPr>
      <w:r>
        <w:rPr>
          <w:rFonts w:ascii="仿宋_GB2312" w:eastAsia="仿宋_GB2312"/>
          <w:b/>
          <w:sz w:val="32"/>
          <w:szCs w:val="32"/>
        </w:rPr>
        <w:t>（二）一般公共预算财政拨款支出决算结构情况</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一般公共服务支出（类）1,624.06万元，占55.39%。</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教育支出（类）1.91万元，占0.07%。</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科学技术支出（类）2.00万元，占0.07%。</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文化旅游体育与传媒支出（类）15.38万元，占0.52%。</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社会保障和就业支出（类）257.26万元，占8.77%。</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卫生健康支出（类）105.00万元，占3.58%。</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农林水支出（类）762.56万元，占26.01%。</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住房保障支出（类）103.98万元，占3.55%。</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其他支出（类）60.05万元，占2.05%。</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outlineLvl w:val="2"/>
        <w:rPr>
          <w:rFonts w:ascii="仿宋_GB2312" w:eastAsia="仿宋_GB2312"/>
          <w:sz w:val="32"/>
          <w:szCs w:val="32"/>
        </w:rPr>
      </w:pPr>
      <w:r>
        <w:rPr>
          <w:rFonts w:ascii="仿宋_GB2312" w:eastAsia="仿宋_GB2312"/>
          <w:b/>
          <w:sz w:val="32"/>
          <w:szCs w:val="32"/>
        </w:rPr>
        <w:t>（三）一般公共预算财政拨款支出决算具体情况</w:t>
      </w:r>
    </w:p>
    <w:p>
      <w:pPr>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left="0" w:leftChars="0" w:firstLine="640" w:firstLineChars="0"/>
        <w:textAlignment w:val="auto"/>
        <w:rPr>
          <w:rFonts w:ascii="仿宋_GB2312" w:eastAsia="仿宋_GB2312"/>
          <w:sz w:val="32"/>
          <w:szCs w:val="32"/>
        </w:rPr>
      </w:pPr>
      <w:r>
        <w:rPr>
          <w:rFonts w:ascii="仿宋_GB2312" w:eastAsia="仿宋_GB2312"/>
          <w:b w:val="0"/>
          <w:sz w:val="32"/>
          <w:szCs w:val="32"/>
        </w:rPr>
        <w:t>一般公共服务支出（类）人大事务（款）代表工作（项）：支出决算数为3.33万元，比上年决算增加0.38万元，增长12.88%，主要原因是：</w:t>
      </w:r>
      <w:r>
        <w:rPr>
          <w:rFonts w:hint="eastAsia" w:ascii="仿宋_GB2312" w:eastAsia="仿宋_GB2312"/>
          <w:b w:val="0"/>
          <w:sz w:val="32"/>
          <w:szCs w:val="32"/>
          <w:lang w:eastAsia="zh-CN"/>
        </w:rPr>
        <w:t>支付人大代表活动经费。</w:t>
      </w:r>
    </w:p>
    <w:p>
      <w:pPr>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left="0" w:leftChars="0" w:firstLine="640" w:firstLineChars="0"/>
        <w:textAlignment w:val="auto"/>
        <w:rPr>
          <w:rFonts w:ascii="仿宋_GB2312" w:eastAsia="仿宋_GB2312"/>
          <w:sz w:val="32"/>
          <w:szCs w:val="32"/>
        </w:rPr>
      </w:pPr>
      <w:r>
        <w:rPr>
          <w:rFonts w:ascii="仿宋_GB2312" w:eastAsia="仿宋_GB2312"/>
          <w:b w:val="0"/>
          <w:sz w:val="32"/>
          <w:szCs w:val="32"/>
        </w:rPr>
        <w:t>一般公共服务支出（类）人大事务（款）其他人大事务支出（项）：支出决算数为0.32万元，比上年决算增加0.32万元，增长100.00%，主要原因是：</w:t>
      </w:r>
      <w:r>
        <w:rPr>
          <w:rFonts w:hint="eastAsia" w:ascii="仿宋_GB2312" w:eastAsia="仿宋_GB2312"/>
          <w:b w:val="0"/>
          <w:sz w:val="32"/>
          <w:szCs w:val="32"/>
          <w:lang w:eastAsia="zh-CN"/>
        </w:rPr>
        <w:t>发放市级人大代表履职补助。</w:t>
      </w:r>
    </w:p>
    <w:p>
      <w:pPr>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left="0" w:leftChars="0" w:firstLine="640" w:firstLineChars="0"/>
        <w:textAlignment w:val="auto"/>
        <w:rPr>
          <w:rFonts w:ascii="仿宋_GB2312" w:eastAsia="仿宋_GB2312"/>
          <w:b w:val="0"/>
          <w:sz w:val="32"/>
          <w:szCs w:val="32"/>
        </w:rPr>
      </w:pPr>
      <w:r>
        <w:rPr>
          <w:rFonts w:ascii="仿宋_GB2312" w:eastAsia="仿宋_GB2312"/>
          <w:b w:val="0"/>
          <w:sz w:val="32"/>
          <w:szCs w:val="32"/>
        </w:rPr>
        <w:t>一般公共服务支出（类）政府办公厅（室）及相关机构事务（款）行政运行（项）：支出决算数为1,379.65万元，比上年决算减少107.69万元，下降7.24%，主要原因是</w:t>
      </w:r>
      <w:r>
        <w:rPr>
          <w:rFonts w:hint="eastAsia" w:ascii="仿宋_GB2312" w:eastAsia="仿宋_GB2312"/>
          <w:b w:val="0"/>
          <w:sz w:val="32"/>
          <w:szCs w:val="32"/>
          <w:lang w:eastAsia="zh-CN"/>
        </w:rPr>
        <w:t>：</w:t>
      </w:r>
      <w:r>
        <w:rPr>
          <w:rFonts w:hint="eastAsia" w:ascii="仿宋_GB2312" w:eastAsia="仿宋_GB2312"/>
          <w:b w:val="0"/>
          <w:sz w:val="32"/>
          <w:szCs w:val="32"/>
        </w:rPr>
        <w:t>2024年我单位</w:t>
      </w:r>
      <w:r>
        <w:rPr>
          <w:rFonts w:hint="eastAsia" w:ascii="仿宋_GB2312" w:eastAsia="仿宋_GB2312"/>
          <w:b w:val="0"/>
          <w:sz w:val="32"/>
          <w:szCs w:val="32"/>
          <w:lang w:eastAsia="zh-CN"/>
        </w:rPr>
        <w:t>在职在编人员减少</w:t>
      </w:r>
      <w:r>
        <w:rPr>
          <w:rFonts w:hint="eastAsia" w:ascii="仿宋_GB2312" w:eastAsia="仿宋_GB2312"/>
          <w:b w:val="0"/>
          <w:sz w:val="32"/>
          <w:szCs w:val="32"/>
          <w:lang w:val="en-US" w:eastAsia="zh-CN"/>
        </w:rPr>
        <w:t>8</w:t>
      </w:r>
      <w:r>
        <w:rPr>
          <w:rFonts w:hint="eastAsia" w:ascii="仿宋_GB2312" w:eastAsia="仿宋_GB2312"/>
          <w:b w:val="0"/>
          <w:sz w:val="32"/>
          <w:szCs w:val="32"/>
        </w:rPr>
        <w:t>人原因</w:t>
      </w:r>
      <w:r>
        <w:rPr>
          <w:rFonts w:hint="eastAsia" w:ascii="仿宋_GB2312" w:eastAsia="仿宋_GB2312"/>
          <w:b w:val="0"/>
          <w:sz w:val="32"/>
          <w:szCs w:val="32"/>
          <w:lang w:eastAsia="zh-CN"/>
        </w:rPr>
        <w:t>，</w:t>
      </w:r>
      <w:r>
        <w:rPr>
          <w:rFonts w:hint="eastAsia" w:ascii="仿宋_GB2312" w:eastAsia="仿宋_GB2312"/>
          <w:b w:val="0"/>
          <w:sz w:val="32"/>
          <w:szCs w:val="32"/>
        </w:rPr>
        <w:t>相应的</w:t>
      </w:r>
      <w:r>
        <w:rPr>
          <w:rFonts w:hint="eastAsia" w:ascii="仿宋_GB2312" w:eastAsia="仿宋_GB2312"/>
          <w:b w:val="0"/>
          <w:sz w:val="32"/>
          <w:szCs w:val="32"/>
          <w:lang w:eastAsia="zh-CN"/>
        </w:rPr>
        <w:t>经费</w:t>
      </w:r>
      <w:r>
        <w:rPr>
          <w:rFonts w:hint="eastAsia" w:ascii="仿宋_GB2312" w:eastAsia="仿宋_GB2312"/>
          <w:b w:val="0"/>
          <w:sz w:val="32"/>
          <w:szCs w:val="32"/>
        </w:rPr>
        <w:t>减少</w:t>
      </w:r>
      <w:r>
        <w:rPr>
          <w:rFonts w:hint="eastAsia" w:ascii="仿宋_GB2312" w:eastAsia="仿宋_GB2312"/>
          <w:b w:val="0"/>
          <w:sz w:val="32"/>
          <w:szCs w:val="32"/>
          <w:lang w:eastAsia="zh-CN"/>
        </w:rPr>
        <w:t>。</w:t>
      </w:r>
    </w:p>
    <w:p>
      <w:pPr>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left="0" w:leftChars="0" w:firstLine="640" w:firstLineChars="0"/>
        <w:textAlignment w:val="auto"/>
        <w:rPr>
          <w:rFonts w:ascii="仿宋_GB2312" w:eastAsia="仿宋_GB2312"/>
          <w:sz w:val="32"/>
          <w:szCs w:val="32"/>
        </w:rPr>
      </w:pPr>
      <w:r>
        <w:rPr>
          <w:rFonts w:ascii="仿宋_GB2312" w:eastAsia="仿宋_GB2312"/>
          <w:b w:val="0"/>
          <w:sz w:val="32"/>
          <w:szCs w:val="32"/>
        </w:rPr>
        <w:t>一般公共服务支出（类）政府办公厅（室）及相关机构事务（款）其他政府办公厅（室）及相关机构事务支出（项）：支出决算数为165.50万元，比上年决算增加57.46万元，增长53.18%，主要原因是：</w:t>
      </w:r>
      <w:r>
        <w:rPr>
          <w:rFonts w:hint="eastAsia" w:ascii="仿宋_GB2312" w:eastAsia="仿宋_GB2312"/>
          <w:b w:val="0"/>
          <w:sz w:val="32"/>
          <w:szCs w:val="32"/>
          <w:lang w:val="en-US" w:eastAsia="zh-CN"/>
        </w:rPr>
        <w:t>2024年支付周转宿舍项目及五小工程项目工程款。</w:t>
      </w:r>
    </w:p>
    <w:p>
      <w:pPr>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left="0" w:leftChars="0" w:firstLine="640" w:firstLineChars="0"/>
        <w:textAlignment w:val="auto"/>
        <w:rPr>
          <w:rFonts w:ascii="仿宋_GB2312" w:eastAsia="仿宋_GB2312"/>
          <w:sz w:val="32"/>
          <w:szCs w:val="32"/>
        </w:rPr>
      </w:pPr>
      <w:r>
        <w:rPr>
          <w:rFonts w:ascii="仿宋_GB2312" w:eastAsia="仿宋_GB2312"/>
          <w:b w:val="0"/>
          <w:sz w:val="32"/>
          <w:szCs w:val="32"/>
        </w:rPr>
        <w:t>一般公共服务支出（类）纪检监察事务（款）其他纪检监察事务支出（项）：支出决算数为3.00万元，比上年决算增加1.50万元，增长100.00%，主要原因是：</w:t>
      </w:r>
      <w:r>
        <w:rPr>
          <w:rFonts w:hint="eastAsia" w:ascii="仿宋_GB2312" w:eastAsia="仿宋_GB2312"/>
          <w:b w:val="0"/>
          <w:sz w:val="32"/>
          <w:szCs w:val="32"/>
          <w:lang w:val="en-US" w:eastAsia="zh-CN"/>
        </w:rPr>
        <w:t>2024年增加</w:t>
      </w:r>
      <w:r>
        <w:rPr>
          <w:rFonts w:hint="eastAsia" w:ascii="Times New Roman" w:hAnsi="Times New Roman" w:eastAsia="仿宋_GB2312" w:cs="Times New Roman"/>
          <w:color w:val="auto"/>
          <w:kern w:val="2"/>
          <w:sz w:val="32"/>
          <w:szCs w:val="32"/>
          <w:highlight w:val="none"/>
          <w:lang w:val="en-US" w:eastAsia="zh-CN" w:bidi="ar-SA"/>
        </w:rPr>
        <w:t>纪检项目</w:t>
      </w:r>
      <w:r>
        <w:rPr>
          <w:rFonts w:hint="eastAsia" w:ascii="Times New Roman" w:hAnsi="Times New Roman" w:eastAsia="仿宋_GB2312" w:cs="Times New Roman"/>
          <w:color w:val="auto"/>
          <w:kern w:val="2"/>
          <w:sz w:val="32"/>
          <w:szCs w:val="32"/>
          <w:highlight w:val="none"/>
          <w:lang w:val="zh-CN" w:eastAsia="zh-CN" w:bidi="ar-SA"/>
        </w:rPr>
        <w:t>。</w:t>
      </w:r>
    </w:p>
    <w:p>
      <w:pPr>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left="0" w:leftChars="0" w:firstLine="640" w:firstLineChars="0"/>
        <w:textAlignment w:val="auto"/>
        <w:rPr>
          <w:rFonts w:ascii="仿宋_GB2312" w:eastAsia="仿宋_GB2312"/>
          <w:b w:val="0"/>
          <w:sz w:val="32"/>
          <w:szCs w:val="32"/>
        </w:rPr>
      </w:pPr>
      <w:r>
        <w:rPr>
          <w:rFonts w:ascii="仿宋_GB2312" w:eastAsia="仿宋_GB2312"/>
          <w:b w:val="0"/>
          <w:sz w:val="32"/>
          <w:szCs w:val="32"/>
        </w:rPr>
        <w:t>一般公共服务支出（类）组织事务（款）其他组织事务支出（项）：支出决算数为72.27万元，比上年决算减少63.20万元，下降46.65%，主要原因是：</w:t>
      </w:r>
      <w:r>
        <w:rPr>
          <w:rFonts w:hint="eastAsia" w:ascii="仿宋_GB2312" w:eastAsia="仿宋_GB2312"/>
          <w:b w:val="0"/>
          <w:sz w:val="32"/>
          <w:szCs w:val="32"/>
        </w:rPr>
        <w:t>2024年访惠聚工作队人员调整原因相应的访惠聚补助减少</w:t>
      </w:r>
      <w:r>
        <w:rPr>
          <w:rFonts w:hint="eastAsia" w:ascii="仿宋_GB2312" w:eastAsia="仿宋_GB2312"/>
          <w:b w:val="0"/>
          <w:sz w:val="32"/>
          <w:szCs w:val="32"/>
          <w:lang w:eastAsia="zh-CN"/>
        </w:rPr>
        <w:t>。</w:t>
      </w:r>
    </w:p>
    <w:p>
      <w:pPr>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left="0" w:leftChars="0" w:firstLine="640" w:firstLineChars="0"/>
        <w:textAlignment w:val="auto"/>
        <w:rPr>
          <w:rFonts w:ascii="仿宋_GB2312" w:eastAsia="仿宋_GB2312"/>
          <w:sz w:val="32"/>
          <w:szCs w:val="32"/>
        </w:rPr>
      </w:pPr>
      <w:r>
        <w:rPr>
          <w:rFonts w:ascii="仿宋_GB2312" w:eastAsia="仿宋_GB2312"/>
          <w:b w:val="0"/>
          <w:sz w:val="32"/>
          <w:szCs w:val="32"/>
        </w:rPr>
        <w:t>一般公共服务支出（类）统战事务（款）宗教事务（项）：支出决算数为0.00万元，比上年决算减少1.00万元，下降100.00%，主要原因是：</w:t>
      </w:r>
      <w:r>
        <w:rPr>
          <w:rFonts w:hint="eastAsia" w:eastAsia="仿宋_GB2312" w:cs="Times New Roman"/>
          <w:color w:val="auto"/>
          <w:kern w:val="2"/>
          <w:sz w:val="32"/>
          <w:szCs w:val="32"/>
          <w:highlight w:val="none"/>
          <w:lang w:val="en-US" w:eastAsia="zh-CN" w:bidi="ar-SA"/>
        </w:rPr>
        <w:t>管委会人员撤回原因2024年未安排统战事务项目。</w:t>
      </w:r>
    </w:p>
    <w:p>
      <w:pPr>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left="0" w:leftChars="0" w:firstLine="640" w:firstLineChars="0"/>
        <w:textAlignment w:val="auto"/>
        <w:rPr>
          <w:rFonts w:ascii="仿宋_GB2312" w:eastAsia="仿宋_GB2312"/>
          <w:sz w:val="32"/>
          <w:szCs w:val="32"/>
        </w:rPr>
      </w:pPr>
      <w:r>
        <w:rPr>
          <w:rFonts w:ascii="仿宋_GB2312" w:eastAsia="仿宋_GB2312"/>
          <w:b w:val="0"/>
          <w:sz w:val="32"/>
          <w:szCs w:val="32"/>
        </w:rPr>
        <w:t>一般公共服务支出（类）统战事务（款）其他统战事务支出（项）：支出决算数为0.00万元，比上年决算减少5.08万元，下降100.00%，主要原因是：</w:t>
      </w:r>
      <w:r>
        <w:rPr>
          <w:rFonts w:hint="eastAsia" w:eastAsia="仿宋_GB2312" w:cs="Times New Roman"/>
          <w:color w:val="auto"/>
          <w:kern w:val="2"/>
          <w:sz w:val="32"/>
          <w:szCs w:val="32"/>
          <w:highlight w:val="none"/>
          <w:lang w:val="en-US" w:eastAsia="zh-CN" w:bidi="ar-SA"/>
        </w:rPr>
        <w:t>管委会人员撤回原202年未安排统战事务项目。</w:t>
      </w:r>
    </w:p>
    <w:p>
      <w:pPr>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left="0" w:leftChars="0" w:firstLine="640" w:firstLineChars="0"/>
        <w:textAlignment w:val="auto"/>
        <w:rPr>
          <w:rFonts w:ascii="仿宋_GB2312" w:eastAsia="仿宋_GB2312"/>
          <w:sz w:val="32"/>
          <w:szCs w:val="32"/>
        </w:rPr>
      </w:pPr>
      <w:r>
        <w:rPr>
          <w:rFonts w:ascii="仿宋_GB2312" w:eastAsia="仿宋_GB2312"/>
          <w:b w:val="0"/>
          <w:sz w:val="32"/>
          <w:szCs w:val="32"/>
        </w:rPr>
        <w:t>教育支出（类）进修及培训（款）培训支出（项）：支出决算数为1.91万元，比上年决算增加1.58万元，增长478.79%，主要原因是：</w:t>
      </w:r>
      <w:r>
        <w:rPr>
          <w:rFonts w:hint="eastAsia" w:ascii="仿宋_GB2312" w:eastAsia="仿宋_GB2312"/>
          <w:b w:val="0"/>
          <w:sz w:val="32"/>
          <w:szCs w:val="32"/>
          <w:lang w:eastAsia="zh-CN"/>
        </w:rPr>
        <w:t>组织部门安排乡村两级干部河北培训。</w:t>
      </w:r>
    </w:p>
    <w:p>
      <w:pPr>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left="0" w:leftChars="0" w:firstLine="640" w:firstLineChars="0"/>
        <w:textAlignment w:val="auto"/>
        <w:rPr>
          <w:rFonts w:ascii="仿宋_GB2312" w:eastAsia="仿宋_GB2312"/>
          <w:sz w:val="32"/>
          <w:szCs w:val="32"/>
        </w:rPr>
      </w:pPr>
      <w:r>
        <w:rPr>
          <w:rFonts w:ascii="仿宋_GB2312" w:eastAsia="仿宋_GB2312"/>
          <w:b w:val="0"/>
          <w:sz w:val="32"/>
          <w:szCs w:val="32"/>
        </w:rPr>
        <w:t>科学技术支出（类）科学技术普及（款）科普活动（项）：支出决算数为2.00万元，比上年决算减少2.20万元，下降52.38%，主要原因是：</w:t>
      </w:r>
      <w:r>
        <w:rPr>
          <w:rFonts w:hint="eastAsia" w:ascii="仿宋_GB2312" w:eastAsia="仿宋_GB2312"/>
          <w:b w:val="0"/>
          <w:sz w:val="32"/>
          <w:szCs w:val="32"/>
          <w:lang w:val="en-US" w:eastAsia="zh-CN"/>
        </w:rPr>
        <w:t>2024年上级只安排哈赞其村科普馆经费2万元，2024年科普馆经费减少。</w:t>
      </w:r>
    </w:p>
    <w:p>
      <w:pPr>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left="0" w:leftChars="0" w:firstLine="640" w:firstLineChars="0"/>
        <w:textAlignment w:val="auto"/>
        <w:rPr>
          <w:rFonts w:ascii="仿宋_GB2312" w:eastAsia="仿宋_GB2312"/>
          <w:sz w:val="32"/>
          <w:szCs w:val="32"/>
        </w:rPr>
      </w:pPr>
      <w:r>
        <w:rPr>
          <w:rFonts w:ascii="仿宋_GB2312" w:eastAsia="仿宋_GB2312"/>
          <w:b w:val="0"/>
          <w:sz w:val="32"/>
          <w:szCs w:val="32"/>
        </w:rPr>
        <w:t>文化旅游体育与传媒支出（类）文化和旅游（款）其他文化和旅游支出（项）：支出决算数为6.38万元，比上年决算增加4.00万元，增长168.07%，主要原因是：</w:t>
      </w:r>
      <w:r>
        <w:rPr>
          <w:rFonts w:hint="eastAsia" w:ascii="仿宋_GB2312" w:eastAsia="仿宋_GB2312"/>
          <w:b w:val="0"/>
          <w:sz w:val="32"/>
          <w:szCs w:val="32"/>
          <w:lang w:val="en-US" w:eastAsia="zh-CN"/>
        </w:rPr>
        <w:t>2024年公共文化项目增加原因支出决算数比上年决算增加。</w:t>
      </w:r>
    </w:p>
    <w:p>
      <w:pPr>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left="0" w:leftChars="0" w:firstLine="640" w:firstLineChars="0"/>
        <w:textAlignment w:val="auto"/>
        <w:rPr>
          <w:rFonts w:ascii="仿宋_GB2312" w:eastAsia="仿宋_GB2312"/>
          <w:sz w:val="32"/>
          <w:szCs w:val="32"/>
        </w:rPr>
      </w:pPr>
      <w:r>
        <w:rPr>
          <w:rFonts w:ascii="仿宋_GB2312" w:eastAsia="仿宋_GB2312"/>
          <w:b w:val="0"/>
          <w:sz w:val="32"/>
          <w:szCs w:val="32"/>
        </w:rPr>
        <w:t>文化旅游体育与传媒支出（类）其他文化旅游体育与传媒支出（款）其他文化旅游体育与传媒支出（项）：支出决算数为9.00万元，比上年决算增加8.42万元，增长1,451.72%，主要原因是：</w:t>
      </w:r>
      <w:r>
        <w:rPr>
          <w:rFonts w:hint="eastAsia" w:ascii="仿宋_GB2312" w:eastAsia="仿宋_GB2312"/>
          <w:b w:val="0"/>
          <w:sz w:val="32"/>
          <w:szCs w:val="32"/>
          <w:lang w:val="en-US" w:eastAsia="zh-CN"/>
        </w:rPr>
        <w:t>2024年公共文化，免费开放补助资金增加。</w:t>
      </w:r>
    </w:p>
    <w:p>
      <w:pPr>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left="0" w:leftChars="0" w:firstLine="640" w:firstLineChars="0"/>
        <w:textAlignment w:val="auto"/>
        <w:rPr>
          <w:rFonts w:ascii="仿宋_GB2312" w:eastAsia="仿宋_GB2312"/>
          <w:sz w:val="32"/>
          <w:szCs w:val="32"/>
        </w:rPr>
      </w:pPr>
      <w:r>
        <w:rPr>
          <w:rFonts w:ascii="仿宋_GB2312" w:eastAsia="仿宋_GB2312"/>
          <w:b w:val="0"/>
          <w:sz w:val="32"/>
          <w:szCs w:val="32"/>
        </w:rPr>
        <w:t>社会保障和就业支出（类）行政事业单位养老支出（款）行政单位离退休（项）：支出决算数为72.30万元，比上年决算增加32.60万元，增长82.12%，主要原因是：</w:t>
      </w:r>
      <w:r>
        <w:rPr>
          <w:rFonts w:hint="eastAsia" w:ascii="仿宋_GB2312" w:eastAsia="仿宋_GB2312"/>
          <w:b w:val="0"/>
          <w:sz w:val="32"/>
          <w:szCs w:val="32"/>
          <w:lang w:val="en-US" w:eastAsia="zh-CN"/>
        </w:rPr>
        <w:t>2024年我单位增加退休人员7人。</w:t>
      </w:r>
    </w:p>
    <w:p>
      <w:pPr>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left="0" w:leftChars="0" w:firstLine="640" w:firstLineChars="0"/>
        <w:textAlignment w:val="auto"/>
        <w:rPr>
          <w:rFonts w:ascii="仿宋_GB2312" w:eastAsia="仿宋_GB2312"/>
          <w:sz w:val="32"/>
          <w:szCs w:val="32"/>
        </w:rPr>
      </w:pPr>
      <w:r>
        <w:rPr>
          <w:rFonts w:ascii="仿宋_GB2312" w:eastAsia="仿宋_GB2312"/>
          <w:b w:val="0"/>
          <w:sz w:val="32"/>
          <w:szCs w:val="32"/>
        </w:rPr>
        <w:t>社会保障和就业支出（类）行政事业单位养老支出（款）机关事业单位基本养老保险缴费支出（项）：支出决算数为140.37万元，比上年决算增加50.34万元，增长55.91%，主要原因是：</w:t>
      </w:r>
      <w:r>
        <w:rPr>
          <w:rFonts w:hint="eastAsia" w:ascii="仿宋_GB2312" w:eastAsia="仿宋_GB2312"/>
          <w:b w:val="0"/>
          <w:sz w:val="32"/>
          <w:szCs w:val="32"/>
          <w:lang w:eastAsia="zh-CN"/>
        </w:rPr>
        <w:t>养老保险基数调整</w:t>
      </w:r>
      <w:r>
        <w:rPr>
          <w:rFonts w:hint="eastAsia" w:ascii="仿宋_GB2312" w:eastAsia="仿宋_GB2312"/>
          <w:b w:val="0"/>
          <w:sz w:val="32"/>
          <w:szCs w:val="32"/>
          <w:lang w:val="en-US" w:eastAsia="zh-CN"/>
        </w:rPr>
        <w:t>决算数比上年决算增加</w:t>
      </w:r>
      <w:r>
        <w:rPr>
          <w:rFonts w:hint="eastAsia" w:ascii="仿宋_GB2312" w:eastAsia="仿宋_GB2312"/>
          <w:b w:val="0"/>
          <w:sz w:val="32"/>
          <w:szCs w:val="32"/>
          <w:lang w:eastAsia="zh-CN"/>
        </w:rPr>
        <w:t>。</w:t>
      </w:r>
    </w:p>
    <w:p>
      <w:pPr>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left="0" w:leftChars="0" w:firstLine="640" w:firstLineChars="0"/>
        <w:textAlignment w:val="auto"/>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社会保障和就业支出（类）行政事业单位养老支出（款）机关事业单位职业年金缴费支出（项）：支出决算数为44.59万元，比上年决算增加38.40万元，增长620.36%，主要原因是：</w:t>
      </w:r>
      <w:r>
        <w:rPr>
          <w:rFonts w:hint="eastAsia" w:ascii="仿宋_GB2312" w:eastAsia="仿宋_GB2312"/>
          <w:b w:val="0"/>
          <w:sz w:val="32"/>
          <w:szCs w:val="32"/>
          <w:lang w:val="en-US" w:eastAsia="zh-CN"/>
        </w:rPr>
        <w:t>2024年我单位增加退休人员7人原因相应的职业年金增加。</w:t>
      </w:r>
    </w:p>
    <w:p>
      <w:pPr>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left="0" w:leftChars="0" w:firstLine="640" w:firstLineChars="0"/>
        <w:textAlignment w:val="auto"/>
        <w:rPr>
          <w:rFonts w:ascii="仿宋_GB2312" w:eastAsia="仿宋_GB2312"/>
          <w:sz w:val="32"/>
          <w:szCs w:val="32"/>
        </w:rPr>
      </w:pPr>
      <w:r>
        <w:rPr>
          <w:rFonts w:ascii="仿宋_GB2312" w:eastAsia="仿宋_GB2312"/>
          <w:b w:val="0"/>
          <w:sz w:val="32"/>
          <w:szCs w:val="32"/>
        </w:rPr>
        <w:t>社会保障和就业支出（类）就业补助（款）公益性岗位补贴（项）：支出决算数为0.00万元，比上年决算减少20.56万元，下降100.00%，主要原因是：</w:t>
      </w:r>
      <w:r>
        <w:rPr>
          <w:rFonts w:hint="eastAsia" w:ascii="仿宋_GB2312" w:eastAsia="仿宋_GB2312"/>
          <w:b w:val="0"/>
          <w:sz w:val="32"/>
          <w:szCs w:val="32"/>
          <w:lang w:val="en-US" w:eastAsia="zh-CN"/>
        </w:rPr>
        <w:t>2024年年末我单位解除公益性岗位人员合同。</w:t>
      </w:r>
    </w:p>
    <w:p>
      <w:pPr>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left="0" w:leftChars="0" w:firstLine="640" w:firstLineChars="0"/>
        <w:textAlignment w:val="auto"/>
        <w:rPr>
          <w:rFonts w:ascii="仿宋_GB2312" w:eastAsia="仿宋_GB2312"/>
          <w:sz w:val="32"/>
          <w:szCs w:val="32"/>
        </w:rPr>
      </w:pPr>
      <w:r>
        <w:rPr>
          <w:rFonts w:ascii="仿宋_GB2312" w:eastAsia="仿宋_GB2312"/>
          <w:b w:val="0"/>
          <w:sz w:val="32"/>
          <w:szCs w:val="32"/>
        </w:rPr>
        <w:t>社会保障和就业支出（类）抚恤（款）死亡抚恤（项）：支出决算数为0.00万元，比上年决算减少26.27万元，下降100.00%，主要原因是：</w:t>
      </w:r>
      <w:r>
        <w:rPr>
          <w:rFonts w:hint="eastAsia" w:ascii="仿宋_GB2312" w:eastAsia="仿宋_GB2312"/>
          <w:b w:val="0"/>
          <w:sz w:val="32"/>
          <w:szCs w:val="32"/>
          <w:lang w:val="en-US" w:eastAsia="zh-CN"/>
        </w:rPr>
        <w:t>2024年我单位退休干部去世1人。</w:t>
      </w:r>
    </w:p>
    <w:p>
      <w:pPr>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left="0" w:leftChars="0" w:firstLine="640" w:firstLineChars="0"/>
        <w:textAlignment w:val="auto"/>
        <w:rPr>
          <w:rFonts w:hint="eastAsia" w:ascii="Times New Roman" w:hAnsi="Times New Roman" w:eastAsia="仿宋_GB2312" w:cs="Times New Roman"/>
          <w:color w:val="auto"/>
          <w:kern w:val="2"/>
          <w:sz w:val="32"/>
          <w:szCs w:val="32"/>
          <w:highlight w:val="none"/>
          <w:lang w:val="zh-CN" w:eastAsia="zh-CN" w:bidi="ar-SA"/>
        </w:rPr>
      </w:pPr>
      <w:r>
        <w:rPr>
          <w:rFonts w:ascii="仿宋_GB2312" w:eastAsia="仿宋_GB2312"/>
          <w:b w:val="0"/>
          <w:sz w:val="32"/>
          <w:szCs w:val="32"/>
        </w:rPr>
        <w:t>卫生健康支出（类）公共卫生（款）突发公共卫生事件应急处置（项）：支出决算数为0.00万元，比上年决算减少39.72万元，下降100.00%，主要原因是：</w:t>
      </w:r>
      <w:r>
        <w:rPr>
          <w:rFonts w:hint="eastAsia" w:ascii="仿宋_GB2312" w:eastAsia="仿宋_GB2312"/>
          <w:b w:val="0"/>
          <w:sz w:val="32"/>
          <w:szCs w:val="32"/>
          <w:lang w:val="en-US" w:eastAsia="zh-CN"/>
        </w:rPr>
        <w:t>2024年未安排</w:t>
      </w:r>
      <w:r>
        <w:rPr>
          <w:rFonts w:hint="eastAsia" w:ascii="Times New Roman"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zh-CN" w:eastAsia="zh-CN" w:bidi="ar-SA"/>
        </w:rPr>
        <w:t>家俱产业园集中医学观察点”</w:t>
      </w:r>
      <w:r>
        <w:rPr>
          <w:rFonts w:hint="eastAsia" w:ascii="Times New Roman" w:hAnsi="Times New Roman" w:eastAsia="仿宋_GB2312" w:cs="Times New Roman"/>
          <w:color w:val="auto"/>
          <w:kern w:val="2"/>
          <w:sz w:val="32"/>
          <w:szCs w:val="32"/>
          <w:highlight w:val="none"/>
          <w:lang w:val="en-US" w:eastAsia="zh-CN" w:bidi="ar-SA"/>
        </w:rPr>
        <w:t>的</w:t>
      </w:r>
      <w:r>
        <w:rPr>
          <w:rFonts w:hint="eastAsia" w:ascii="Times New Roman" w:hAnsi="Times New Roman" w:eastAsia="仿宋_GB2312" w:cs="Times New Roman"/>
          <w:color w:val="auto"/>
          <w:kern w:val="2"/>
          <w:sz w:val="32"/>
          <w:szCs w:val="32"/>
          <w:highlight w:val="none"/>
          <w:lang w:val="zh-CN" w:eastAsia="zh-CN" w:bidi="ar-SA"/>
        </w:rPr>
        <w:t>水、电、网络费及维修费用。</w:t>
      </w:r>
    </w:p>
    <w:p>
      <w:pPr>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left="0" w:leftChars="0" w:firstLine="640" w:firstLineChars="0"/>
        <w:textAlignment w:val="auto"/>
        <w:rPr>
          <w:rFonts w:ascii="仿宋_GB2312" w:eastAsia="仿宋_GB2312"/>
          <w:sz w:val="32"/>
          <w:szCs w:val="32"/>
          <w:highlight w:val="none"/>
        </w:rPr>
      </w:pPr>
      <w:r>
        <w:rPr>
          <w:rFonts w:ascii="仿宋_GB2312" w:eastAsia="仿宋_GB2312"/>
          <w:b w:val="0"/>
          <w:sz w:val="32"/>
          <w:szCs w:val="32"/>
          <w:highlight w:val="none"/>
        </w:rPr>
        <w:t>卫生健康支出（类）行政事业单位医疗（款）行政单位医疗（项）：支出决算数为94.11万元，比上年决算减少8.18万元，下降8.00%，主要原因是：</w:t>
      </w:r>
      <w:r>
        <w:rPr>
          <w:rFonts w:hint="eastAsia" w:ascii="仿宋_GB2312" w:eastAsia="仿宋_GB2312"/>
          <w:b w:val="0"/>
          <w:sz w:val="32"/>
          <w:szCs w:val="32"/>
          <w:highlight w:val="none"/>
          <w:lang w:val="en-US" w:eastAsia="zh-CN"/>
        </w:rPr>
        <w:t>2024年我单位在职在编人员减少8人，相应的</w:t>
      </w:r>
      <w:r>
        <w:rPr>
          <w:rFonts w:ascii="仿宋_GB2312" w:eastAsia="仿宋_GB2312"/>
          <w:b w:val="0"/>
          <w:sz w:val="32"/>
          <w:szCs w:val="32"/>
          <w:highlight w:val="none"/>
        </w:rPr>
        <w:t>行政事业单位医疗</w:t>
      </w:r>
      <w:r>
        <w:rPr>
          <w:rFonts w:hint="eastAsia" w:ascii="仿宋_GB2312" w:eastAsia="仿宋_GB2312"/>
          <w:b w:val="0"/>
          <w:sz w:val="32"/>
          <w:szCs w:val="32"/>
          <w:highlight w:val="none"/>
          <w:lang w:eastAsia="zh-CN"/>
        </w:rPr>
        <w:t>减少。</w:t>
      </w:r>
    </w:p>
    <w:p>
      <w:pPr>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left="0" w:leftChars="0" w:firstLine="640" w:firstLineChars="0"/>
        <w:textAlignment w:val="auto"/>
        <w:rPr>
          <w:rFonts w:ascii="仿宋_GB2312" w:eastAsia="仿宋_GB2312"/>
          <w:sz w:val="32"/>
          <w:szCs w:val="32"/>
          <w:highlight w:val="none"/>
        </w:rPr>
      </w:pPr>
      <w:r>
        <w:rPr>
          <w:rFonts w:ascii="仿宋_GB2312" w:eastAsia="仿宋_GB2312"/>
          <w:b w:val="0"/>
          <w:sz w:val="32"/>
          <w:szCs w:val="32"/>
          <w:highlight w:val="none"/>
        </w:rPr>
        <w:t>卫生健康支出（类）行政事业单位医疗（款）公务员医疗补助（项）：支出决算数为10.90万元，比上年决算增加1.14万元，增长11.68%，主要原因是：</w:t>
      </w:r>
      <w:r>
        <w:rPr>
          <w:rFonts w:hint="eastAsia" w:ascii="仿宋_GB2312" w:eastAsia="仿宋_GB2312"/>
          <w:b w:val="0"/>
          <w:sz w:val="32"/>
          <w:szCs w:val="32"/>
          <w:highlight w:val="none"/>
          <w:lang w:val="en-US" w:eastAsia="zh-CN"/>
        </w:rPr>
        <w:t>2024年我单位调入公务员2名。</w:t>
      </w:r>
    </w:p>
    <w:p>
      <w:pPr>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left="0" w:leftChars="0" w:firstLine="640" w:firstLineChars="0"/>
        <w:textAlignment w:val="auto"/>
        <w:rPr>
          <w:rFonts w:ascii="仿宋_GB2312" w:eastAsia="仿宋_GB2312"/>
          <w:color w:val="auto"/>
          <w:sz w:val="32"/>
          <w:szCs w:val="32"/>
        </w:rPr>
      </w:pPr>
      <w:r>
        <w:rPr>
          <w:rFonts w:ascii="仿宋_GB2312" w:eastAsia="仿宋_GB2312"/>
          <w:b w:val="0"/>
          <w:color w:val="auto"/>
          <w:sz w:val="32"/>
          <w:szCs w:val="32"/>
          <w:highlight w:val="none"/>
        </w:rPr>
        <w:t>农林水支出（类）巩固脱贫攻坚成果衔接乡村振兴（款）生产发展（项）：支出决算数为533.47万元，比上年决算增加358.30万元，增长204.54%，主要</w:t>
      </w:r>
      <w:r>
        <w:rPr>
          <w:rFonts w:ascii="仿宋_GB2312" w:eastAsia="仿宋_GB2312"/>
          <w:b w:val="0"/>
          <w:color w:val="auto"/>
          <w:sz w:val="32"/>
          <w:szCs w:val="32"/>
        </w:rPr>
        <w:t>原因是：</w:t>
      </w:r>
      <w:r>
        <w:rPr>
          <w:rFonts w:hint="eastAsia" w:ascii="仿宋_GB2312" w:eastAsia="仿宋_GB2312"/>
          <w:b w:val="0"/>
          <w:color w:val="auto"/>
          <w:sz w:val="32"/>
          <w:szCs w:val="32"/>
          <w:lang w:val="en-US" w:eastAsia="zh-CN"/>
        </w:rPr>
        <w:t>2024年新增乡村振兴下阔什巴格村新建农村道路项目，环境整治项目，污水管网项目。</w:t>
      </w:r>
    </w:p>
    <w:p>
      <w:pPr>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left="0" w:leftChars="0" w:firstLine="640" w:firstLineChars="0"/>
        <w:textAlignment w:val="auto"/>
        <w:rPr>
          <w:color w:val="auto"/>
        </w:rPr>
      </w:pPr>
      <w:r>
        <w:rPr>
          <w:rFonts w:ascii="仿宋_GB2312" w:eastAsia="仿宋_GB2312"/>
          <w:b w:val="0"/>
          <w:color w:val="auto"/>
          <w:sz w:val="32"/>
          <w:szCs w:val="32"/>
        </w:rPr>
        <w:t>农林水支出（类）巩固脱贫攻坚成果衔接乡村振兴（款）其他巩固脱贫攻坚成果衔接乡村振兴支出（项）：支出决算数为148.85万元，比上年决算增加105.42万元，增长242.74%，主要原因是：</w:t>
      </w:r>
      <w:r>
        <w:rPr>
          <w:rFonts w:hint="eastAsia" w:ascii="仿宋_GB2312" w:eastAsia="仿宋_GB2312"/>
          <w:b w:val="0"/>
          <w:color w:val="auto"/>
          <w:sz w:val="32"/>
          <w:szCs w:val="32"/>
          <w:lang w:val="en-US" w:eastAsia="zh-CN"/>
        </w:rPr>
        <w:t>2024年支付了乡村振兴专干补助，新增了上阔什巴格村自来水改造工程。</w:t>
      </w:r>
    </w:p>
    <w:p>
      <w:pPr>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left="0" w:leftChars="0" w:firstLine="640" w:firstLineChars="0"/>
        <w:textAlignment w:val="auto"/>
        <w:rPr>
          <w:color w:val="auto"/>
        </w:rPr>
      </w:pPr>
      <w:r>
        <w:rPr>
          <w:rFonts w:ascii="仿宋_GB2312" w:eastAsia="仿宋_GB2312"/>
          <w:b w:val="0"/>
          <w:color w:val="auto"/>
          <w:sz w:val="32"/>
          <w:szCs w:val="32"/>
        </w:rPr>
        <w:t>农林水支出（类）农村综合改革（款）对村级公益事业建设的补助（项）：支出决算数为0.00万元，比上年决算减少5.80万元，下降100.00%，主要原因是：</w:t>
      </w:r>
      <w:r>
        <w:rPr>
          <w:rFonts w:hint="eastAsia" w:ascii="仿宋_GB2312" w:eastAsia="仿宋_GB2312"/>
          <w:b w:val="0"/>
          <w:color w:val="auto"/>
          <w:sz w:val="32"/>
          <w:szCs w:val="32"/>
          <w:lang w:val="en-US" w:eastAsia="zh-CN"/>
        </w:rPr>
        <w:t>2023年下阔什巴格村美化量化工程款全部支付完毕，2024年无此项目。</w:t>
      </w:r>
    </w:p>
    <w:p>
      <w:pPr>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left="0" w:leftChars="0" w:firstLine="640" w:firstLineChars="0"/>
        <w:textAlignment w:val="auto"/>
        <w:rPr>
          <w:color w:val="auto"/>
        </w:rPr>
      </w:pPr>
      <w:r>
        <w:rPr>
          <w:rFonts w:ascii="仿宋_GB2312" w:eastAsia="仿宋_GB2312"/>
          <w:b w:val="0"/>
          <w:color w:val="auto"/>
          <w:sz w:val="32"/>
          <w:szCs w:val="32"/>
        </w:rPr>
        <w:t>农林水支出（类）农村综合改革（款）对村民委员会和村党支部的补助（项）：支出决算数为80.24万元，比上年决算减少152.08万元，下降65.46%，主要原因是：</w:t>
      </w:r>
      <w:r>
        <w:rPr>
          <w:rFonts w:hint="eastAsia" w:ascii="仿宋_GB2312" w:eastAsia="仿宋_GB2312"/>
          <w:b w:val="0"/>
          <w:color w:val="auto"/>
          <w:sz w:val="32"/>
          <w:szCs w:val="32"/>
        </w:rPr>
        <w:t>2024年1月开始村干部、村民组长工资报酬统一在一卡通系统发放原因相应的村干部、村民组长工资报酬减少</w:t>
      </w:r>
      <w:r>
        <w:rPr>
          <w:rFonts w:hint="eastAsia" w:ascii="仿宋_GB2312" w:eastAsia="仿宋_GB2312"/>
          <w:b w:val="0"/>
          <w:color w:val="auto"/>
          <w:sz w:val="32"/>
          <w:szCs w:val="32"/>
          <w:lang w:eastAsia="zh-CN"/>
        </w:rPr>
        <w:t>。</w:t>
      </w:r>
    </w:p>
    <w:p>
      <w:pPr>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left="0" w:leftChars="0" w:firstLine="640" w:firstLineChars="0"/>
        <w:textAlignment w:val="auto"/>
        <w:rPr>
          <w:rFonts w:ascii="仿宋_GB2312" w:eastAsia="仿宋_GB2312"/>
          <w:color w:val="auto"/>
          <w:sz w:val="32"/>
          <w:szCs w:val="32"/>
        </w:rPr>
      </w:pPr>
      <w:r>
        <w:rPr>
          <w:rFonts w:ascii="仿宋_GB2312" w:eastAsia="仿宋_GB2312"/>
          <w:b w:val="0"/>
          <w:color w:val="auto"/>
          <w:sz w:val="32"/>
          <w:szCs w:val="32"/>
        </w:rPr>
        <w:t>农林水支出（类）目标价格补贴（款）棉花目标价格补贴（项）：支出决算数为0.00万元，比上年决算减少4.96万元，下降100.00%，主要原因是：</w:t>
      </w:r>
      <w:r>
        <w:rPr>
          <w:rFonts w:hint="eastAsia" w:ascii="仿宋_GB2312" w:eastAsia="仿宋_GB2312"/>
          <w:b w:val="0"/>
          <w:color w:val="auto"/>
          <w:sz w:val="32"/>
          <w:szCs w:val="32"/>
          <w:lang w:val="en-US" w:eastAsia="zh-CN"/>
        </w:rPr>
        <w:t>2024年棉花补贴一卡通系统发放。</w:t>
      </w:r>
    </w:p>
    <w:p>
      <w:pPr>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left="0" w:leftChars="0" w:firstLine="640" w:firstLineChars="0"/>
        <w:textAlignment w:val="auto"/>
        <w:rPr>
          <w:rFonts w:hint="eastAsia" w:ascii="Times New Roman" w:hAnsi="Times New Roman" w:eastAsia="仿宋_GB2312" w:cs="Times New Roman"/>
          <w:color w:val="auto"/>
          <w:kern w:val="2"/>
          <w:sz w:val="32"/>
          <w:szCs w:val="32"/>
          <w:highlight w:val="none"/>
          <w:lang w:val="zh-CN" w:eastAsia="zh-CN" w:bidi="ar-SA"/>
        </w:rPr>
      </w:pPr>
      <w:r>
        <w:rPr>
          <w:rFonts w:ascii="仿宋_GB2312" w:eastAsia="仿宋_GB2312"/>
          <w:b w:val="0"/>
          <w:sz w:val="32"/>
          <w:szCs w:val="32"/>
        </w:rPr>
        <w:t>住房保障支出（类）住房改革支出（款）住房公积金（项）：支出决算数为103.98万元，比上年决算增加5.38万元，增长5.46%，主要原因是：住房保障支出（类）住房改革支出（款）住房公积金（项）：支出决算数为103.98万元，比上年决算增加5.38万元，增长5.46%，主要原因是：</w:t>
      </w:r>
      <w:r>
        <w:rPr>
          <w:rFonts w:hint="eastAsia" w:eastAsia="仿宋_GB2312" w:cs="Times New Roman"/>
          <w:color w:val="auto"/>
          <w:kern w:val="2"/>
          <w:sz w:val="32"/>
          <w:szCs w:val="32"/>
          <w:highlight w:val="none"/>
          <w:lang w:val="en-US" w:eastAsia="zh-CN" w:bidi="ar-SA"/>
        </w:rPr>
        <w:t>住房公积金基数调整原因</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auto"/>
          <w:kern w:val="2"/>
          <w:sz w:val="32"/>
          <w:szCs w:val="32"/>
          <w:highlight w:val="none"/>
          <w:lang w:val="zh-CN" w:eastAsia="zh-CN" w:bidi="ar-SA"/>
        </w:rPr>
        <w:t>。</w:t>
      </w:r>
    </w:p>
    <w:p>
      <w:pPr>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left="0" w:leftChars="0" w:firstLine="640" w:firstLineChars="0"/>
        <w:textAlignment w:val="auto"/>
        <w:rPr>
          <w:rFonts w:ascii="仿宋_GB2312" w:eastAsia="仿宋_GB2312"/>
          <w:b w:val="0"/>
          <w:sz w:val="32"/>
          <w:szCs w:val="32"/>
        </w:rPr>
      </w:pPr>
      <w:r>
        <w:rPr>
          <w:rFonts w:ascii="仿宋_GB2312" w:eastAsia="仿宋_GB2312"/>
          <w:b w:val="0"/>
          <w:sz w:val="32"/>
          <w:szCs w:val="32"/>
        </w:rPr>
        <w:t>其他支出（类）其他支出（款）其他支出（项）：支出决算数为60.05万元，比上年决算减少209.31万元，下降77.71%，主要原因是：</w:t>
      </w:r>
      <w:r>
        <w:rPr>
          <w:rFonts w:hint="eastAsia" w:ascii="仿宋_GB2312" w:eastAsia="仿宋_GB2312"/>
          <w:b w:val="0"/>
          <w:sz w:val="32"/>
          <w:szCs w:val="32"/>
          <w:lang w:val="en-US" w:eastAsia="zh-CN"/>
        </w:rPr>
        <w:t>2021年村级活动场所项目工程款2023已支付完毕，2024年无此项目。</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2,030.81万元，其中：人员经费1,883.14万元，包括：基本工资、津贴补贴、奖金、机关事业单位基本养老保险缴费、职业年金缴费、职工基本医疗保险缴费、公务员医疗补助缴费、其他社会保障缴费、住房公积金、其他工资福利支出、退休费、抚恤金、生活补助、救济费和奖励金。</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公用经费147.67万元，包括：办公费、印刷费、水费、电费、邮电费、取暖费、差旅费、维修（护）费、租赁费、培训费、工会经费、福利费和公务用车运行维护费。</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2024年度政府性基金预算财政拨款收入总计1,178.97万元，其中：年初结转和结余0.00万元，本年收入1,178.97万元。政府性基金预算财政拨款支出总计1,178.97万元，其中：年末结转和结余0.00万元，本年支出1,178.97万元。</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政府性基金预算财政拨款收入支出总体与上年相比，增加484.97万元，增长69.88%，主要原因是：</w:t>
      </w:r>
      <w:r>
        <w:rPr>
          <w:rFonts w:hint="eastAsia" w:ascii="仿宋_GB2312" w:eastAsia="仿宋_GB2312"/>
          <w:b w:val="0"/>
          <w:sz w:val="32"/>
          <w:szCs w:val="32"/>
          <w:lang w:val="en-US" w:eastAsia="zh-CN"/>
        </w:rPr>
        <w:t>2024年中央，自治区基建投资项目用此科目反应</w:t>
      </w:r>
      <w:r>
        <w:rPr>
          <w:rFonts w:ascii="仿宋_GB2312" w:eastAsia="仿宋_GB2312"/>
          <w:b w:val="0"/>
          <w:sz w:val="32"/>
          <w:szCs w:val="32"/>
        </w:rPr>
        <w:t>。与年初预算相比，年初预算数1,673.39万元，决算数1,178.97万元，预决算差异率-29.55%，主要原因是：</w:t>
      </w:r>
      <w:r>
        <w:rPr>
          <w:rFonts w:hint="eastAsia" w:ascii="仿宋_GB2312" w:eastAsia="仿宋_GB2312"/>
          <w:b w:val="0"/>
          <w:sz w:val="32"/>
          <w:szCs w:val="32"/>
          <w:lang w:val="en-US" w:eastAsia="zh-CN"/>
        </w:rPr>
        <w:t>2024年中央，自治区基建投资项目用此科目反应</w:t>
      </w:r>
      <w:r>
        <w:rPr>
          <w:rFonts w:ascii="仿宋_GB2312" w:eastAsia="仿宋_GB2312"/>
          <w:b w:val="0"/>
          <w:sz w:val="32"/>
          <w:szCs w:val="32"/>
        </w:rPr>
        <w:t>。</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政府性基金预算财政拨款支出1,178.97万元。</w:t>
      </w:r>
    </w:p>
    <w:p>
      <w:pPr>
        <w:pageBreakBefore w:val="0"/>
        <w:widowControl/>
        <w:numPr>
          <w:ilvl w:val="0"/>
          <w:numId w:val="2"/>
        </w:numPr>
        <w:kinsoku/>
        <w:wordWrap/>
        <w:overflowPunct/>
        <w:topLinePunct w:val="0"/>
        <w:autoSpaceDE/>
        <w:autoSpaceDN/>
        <w:bidi w:val="0"/>
        <w:adjustRightInd/>
        <w:snapToGrid/>
        <w:spacing w:before="0" w:beforeAutospacing="0" w:after="0" w:afterAutospacing="0" w:line="560" w:lineRule="exact"/>
        <w:ind w:left="0" w:firstLine="640" w:firstLineChars="200"/>
        <w:textAlignment w:val="auto"/>
        <w:rPr>
          <w:rFonts w:ascii="仿宋_GB2312" w:eastAsia="仿宋_GB2312"/>
          <w:sz w:val="32"/>
          <w:szCs w:val="32"/>
        </w:rPr>
      </w:pPr>
      <w:r>
        <w:rPr>
          <w:rFonts w:ascii="仿宋_GB2312" w:eastAsia="仿宋_GB2312"/>
          <w:b w:val="0"/>
          <w:sz w:val="32"/>
          <w:szCs w:val="32"/>
        </w:rPr>
        <w:t>城乡社区支出（类）国有土地使用权出让收入安排的支出（款）征地和拆迁补偿支出（项）：支出决算数为830.14万元，比上年决算增加154.14万元，增长22.80%，主要原因是：</w:t>
      </w:r>
      <w:r>
        <w:rPr>
          <w:rFonts w:hint="eastAsia" w:ascii="仿宋_GB2312" w:eastAsia="仿宋_GB2312"/>
          <w:b w:val="0"/>
          <w:sz w:val="32"/>
          <w:szCs w:val="32"/>
        </w:rPr>
        <w:t>自拆统建88号永安商业街项目土地征收补偿款</w:t>
      </w:r>
      <w:r>
        <w:rPr>
          <w:rFonts w:hint="eastAsia" w:ascii="仿宋_GB2312" w:eastAsia="仿宋_GB2312"/>
          <w:b w:val="0"/>
          <w:sz w:val="32"/>
          <w:szCs w:val="32"/>
          <w:lang w:eastAsia="zh-CN"/>
        </w:rPr>
        <w:t>增加。</w:t>
      </w:r>
    </w:p>
    <w:p>
      <w:pPr>
        <w:pageBreakBefore w:val="0"/>
        <w:widowControl/>
        <w:numPr>
          <w:ilvl w:val="0"/>
          <w:numId w:val="2"/>
        </w:numPr>
        <w:kinsoku/>
        <w:wordWrap/>
        <w:overflowPunct/>
        <w:topLinePunct w:val="0"/>
        <w:autoSpaceDE/>
        <w:autoSpaceDN/>
        <w:bidi w:val="0"/>
        <w:adjustRightInd/>
        <w:snapToGrid/>
        <w:spacing w:before="0" w:beforeAutospacing="0" w:after="0" w:afterAutospacing="0" w:line="560" w:lineRule="exact"/>
        <w:ind w:left="0" w:firstLine="640" w:firstLineChars="200"/>
        <w:textAlignment w:val="auto"/>
        <w:rPr>
          <w:rFonts w:ascii="仿宋_GB2312" w:eastAsia="仿宋_GB2312"/>
          <w:sz w:val="32"/>
          <w:szCs w:val="32"/>
        </w:rPr>
      </w:pPr>
      <w:r>
        <w:rPr>
          <w:rFonts w:ascii="仿宋_GB2312" w:eastAsia="仿宋_GB2312"/>
          <w:b w:val="0"/>
          <w:sz w:val="32"/>
          <w:szCs w:val="32"/>
        </w:rPr>
        <w:t>城乡社区支出（类）国有土地使用权出让收入安排的支出（款）农村基础设施建设支出（项）：支出决算数为331.44万元，比上年决算增加331.44万元，增长100.00%，主要原因是：</w:t>
      </w:r>
      <w:r>
        <w:rPr>
          <w:rFonts w:hint="eastAsia" w:ascii="仿宋_GB2312" w:eastAsia="仿宋_GB2312"/>
          <w:b w:val="0"/>
          <w:sz w:val="32"/>
          <w:szCs w:val="32"/>
        </w:rPr>
        <w:t>2022年自治区基层组织建设资金（下阔村委会建设）</w:t>
      </w:r>
      <w:r>
        <w:rPr>
          <w:rFonts w:hint="eastAsia" w:ascii="仿宋_GB2312" w:eastAsia="仿宋_GB2312"/>
          <w:b w:val="0"/>
          <w:sz w:val="32"/>
          <w:szCs w:val="32"/>
          <w:lang w:eastAsia="zh-CN"/>
        </w:rPr>
        <w:t>，2022年新疆专项[第一批]中央基建投资预算（周转房），2021年第三批新疆专项中央基建投资预算（下阔及沙村活动场所）项目使用此科目。</w:t>
      </w:r>
    </w:p>
    <w:p>
      <w:pPr>
        <w:pageBreakBefore w:val="0"/>
        <w:widowControl/>
        <w:numPr>
          <w:ilvl w:val="0"/>
          <w:numId w:val="2"/>
        </w:numPr>
        <w:kinsoku/>
        <w:wordWrap/>
        <w:overflowPunct/>
        <w:topLinePunct w:val="0"/>
        <w:autoSpaceDE/>
        <w:autoSpaceDN/>
        <w:bidi w:val="0"/>
        <w:adjustRightInd/>
        <w:snapToGrid/>
        <w:spacing w:before="0" w:beforeAutospacing="0" w:after="0" w:afterAutospacing="0" w:line="560" w:lineRule="exact"/>
        <w:ind w:left="0" w:firstLine="640" w:firstLineChars="200"/>
        <w:textAlignment w:val="auto"/>
        <w:rPr>
          <w:rFonts w:ascii="仿宋_GB2312" w:eastAsia="仿宋_GB2312"/>
          <w:sz w:val="32"/>
          <w:szCs w:val="32"/>
        </w:rPr>
      </w:pPr>
      <w:r>
        <w:rPr>
          <w:rFonts w:ascii="仿宋_GB2312" w:eastAsia="仿宋_GB2312"/>
          <w:b w:val="0"/>
          <w:sz w:val="32"/>
          <w:szCs w:val="32"/>
        </w:rPr>
        <w:t>城乡社区支出（类）国有土地使用权出让收入安排的支出（款）其他国有土地使用权出让收入安排的支出（项）：支出决算数为0.00万元，比上年决算减少18.00万元，下降100.00%，主要原因是：</w:t>
      </w:r>
      <w:r>
        <w:rPr>
          <w:rFonts w:hint="eastAsia" w:ascii="仿宋_GB2312" w:eastAsia="仿宋_GB2312"/>
          <w:b w:val="0"/>
          <w:sz w:val="32"/>
          <w:szCs w:val="32"/>
          <w:lang w:val="en-US" w:eastAsia="zh-CN"/>
        </w:rPr>
        <w:t>2024年未安排春节前农民工工资项目。</w:t>
      </w:r>
    </w:p>
    <w:p>
      <w:pPr>
        <w:pageBreakBefore w:val="0"/>
        <w:widowControl/>
        <w:numPr>
          <w:ilvl w:val="0"/>
          <w:numId w:val="2"/>
        </w:numPr>
        <w:kinsoku/>
        <w:wordWrap/>
        <w:overflowPunct/>
        <w:topLinePunct w:val="0"/>
        <w:autoSpaceDE/>
        <w:autoSpaceDN/>
        <w:bidi w:val="0"/>
        <w:adjustRightInd/>
        <w:snapToGrid/>
        <w:spacing w:before="0" w:beforeAutospacing="0" w:after="0" w:afterAutospacing="0" w:line="560" w:lineRule="exact"/>
        <w:ind w:left="0" w:firstLine="640" w:firstLineChars="200"/>
        <w:textAlignment w:val="auto"/>
        <w:rPr>
          <w:rFonts w:ascii="仿宋_GB2312" w:eastAsia="仿宋_GB2312"/>
          <w:sz w:val="32"/>
          <w:szCs w:val="32"/>
        </w:rPr>
      </w:pPr>
      <w:r>
        <w:rPr>
          <w:rFonts w:ascii="仿宋_GB2312" w:eastAsia="仿宋_GB2312"/>
          <w:b w:val="0"/>
          <w:sz w:val="32"/>
          <w:szCs w:val="32"/>
        </w:rPr>
        <w:t>其他支出（类）彩票公益金安排的支出（款）用于巩固脱贫攻坚成果衔接乡村振兴的彩票公益金支出（项）：支出决算数为17.39万元，比上年决算增加17.39万元，增长100.00%，主要原因是：</w:t>
      </w:r>
      <w:r>
        <w:rPr>
          <w:rFonts w:hint="eastAsia" w:ascii="仿宋_GB2312" w:eastAsia="仿宋_GB2312"/>
          <w:b w:val="0"/>
          <w:sz w:val="32"/>
          <w:szCs w:val="32"/>
          <w:lang w:val="en-US" w:eastAsia="zh-CN"/>
        </w:rPr>
        <w:t>2024年新增上阔什巴格村自来水改造项目。</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2024年度国有资本经营预算财政拨款收入总计0.03万元，其中：年初结转和结余0.00万元，本年收入0.03万元。国有资本经营预算财政拨款支出总计0.03万元，其中：年末结转和结余0.00万元，本年支出0.03万元。</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国有资本经营预算财政拨款收入支出总体与上年相比，减少0.02万元，下降40.00%，主要原因是：</w:t>
      </w:r>
      <w:r>
        <w:rPr>
          <w:rFonts w:hint="eastAsia" w:ascii="仿宋_GB2312" w:eastAsia="仿宋_GB2312"/>
          <w:b w:val="0"/>
          <w:sz w:val="32"/>
          <w:szCs w:val="32"/>
          <w:lang w:val="en-US" w:eastAsia="zh-CN"/>
        </w:rPr>
        <w:t>2024年只安排1名国有企业退休人员管理费</w:t>
      </w:r>
      <w:r>
        <w:rPr>
          <w:rFonts w:ascii="仿宋_GB2312" w:eastAsia="仿宋_GB2312"/>
          <w:b w:val="0"/>
          <w:sz w:val="32"/>
          <w:szCs w:val="32"/>
        </w:rPr>
        <w:t>。与年初预算相比，年初预算数0.00万元，决算数0.03万元，预决算差异率100%，主要原因是：</w:t>
      </w:r>
      <w:r>
        <w:rPr>
          <w:rFonts w:hint="eastAsia" w:ascii="仿宋_GB2312" w:eastAsia="仿宋_GB2312"/>
          <w:b w:val="0"/>
          <w:sz w:val="32"/>
          <w:szCs w:val="32"/>
          <w:lang w:eastAsia="zh-CN"/>
        </w:rPr>
        <w:t>年终调整</w:t>
      </w:r>
      <w:r>
        <w:rPr>
          <w:rFonts w:hint="eastAsia" w:ascii="仿宋_GB2312" w:eastAsia="仿宋_GB2312"/>
          <w:b w:val="0"/>
          <w:sz w:val="32"/>
          <w:szCs w:val="32"/>
          <w:lang w:val="en-US" w:eastAsia="zh-CN"/>
        </w:rPr>
        <w:t>2024年1名国有企业退休人员管理费</w:t>
      </w:r>
      <w:r>
        <w:rPr>
          <w:rFonts w:ascii="仿宋_GB2312" w:eastAsia="仿宋_GB2312"/>
          <w:b w:val="0"/>
          <w:sz w:val="32"/>
          <w:szCs w:val="32"/>
        </w:rPr>
        <w:t>。</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国有资本经营预算财政拨款支出0.03万元。</w:t>
      </w:r>
    </w:p>
    <w:p>
      <w:pPr>
        <w:pageBreakBefore w:val="0"/>
        <w:widowControl/>
        <w:numPr>
          <w:ilvl w:val="0"/>
          <w:numId w:val="3"/>
        </w:numPr>
        <w:kinsoku/>
        <w:wordWrap/>
        <w:overflowPunct/>
        <w:topLinePunct w:val="0"/>
        <w:autoSpaceDE/>
        <w:autoSpaceDN/>
        <w:bidi w:val="0"/>
        <w:adjustRightInd/>
        <w:snapToGrid/>
        <w:spacing w:before="0" w:beforeAutospacing="0" w:after="0" w:afterAutospacing="0" w:line="560" w:lineRule="exact"/>
        <w:ind w:left="0" w:firstLine="640" w:firstLineChars="200"/>
        <w:textAlignment w:val="auto"/>
        <w:rPr>
          <w:rFonts w:ascii="仿宋_GB2312" w:eastAsia="仿宋_GB2312"/>
          <w:sz w:val="32"/>
          <w:szCs w:val="32"/>
        </w:rPr>
      </w:pPr>
      <w:r>
        <w:rPr>
          <w:rFonts w:ascii="仿宋_GB2312" w:eastAsia="仿宋_GB2312"/>
          <w:b w:val="0"/>
          <w:sz w:val="32"/>
          <w:szCs w:val="32"/>
        </w:rPr>
        <w:t>国有资本经营预算支出（类）解决历史遗留问题及改革成本支出（款）国有企业退休人员社会化管理补助支（项）：支出决算数为0.03万元，比上年决算减少0.02万元，下降40.00%，主要原因是：</w:t>
      </w:r>
      <w:r>
        <w:rPr>
          <w:rFonts w:hint="eastAsia" w:ascii="仿宋_GB2312" w:eastAsia="仿宋_GB2312"/>
          <w:b w:val="0"/>
          <w:sz w:val="32"/>
          <w:szCs w:val="32"/>
          <w:lang w:val="en-US" w:eastAsia="zh-CN"/>
        </w:rPr>
        <w:t>2024年只安排1名国有企业退休人员管理费。</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2024年度财政拨款“三公”经费支出8.49万元，比上年减少4.31万元，下降33.67%，主要原因是：</w:t>
      </w:r>
      <w:r>
        <w:rPr>
          <w:rFonts w:hint="eastAsia" w:ascii="仿宋_GB2312" w:eastAsia="仿宋_GB2312"/>
          <w:color w:val="auto"/>
          <w:sz w:val="32"/>
          <w:szCs w:val="32"/>
          <w:highlight w:val="none"/>
          <w:lang w:val="en-US" w:eastAsia="zh-CN"/>
        </w:rPr>
        <w:t>认真贯彻落实中央八项规定精神和厉行节约要求，从严控制“三公”经费开支，全年实际支出和预算比有所节约</w:t>
      </w:r>
      <w:r>
        <w:rPr>
          <w:rFonts w:ascii="仿宋_GB2312" w:eastAsia="仿宋_GB2312"/>
          <w:b w:val="0"/>
          <w:sz w:val="32"/>
          <w:szCs w:val="32"/>
        </w:rPr>
        <w:t>。其中：因公出国（境）费支出0.00万元,占0.00%，与上年相比无变化，主要原因是：</w:t>
      </w:r>
      <w:r>
        <w:rPr>
          <w:rFonts w:hint="eastAsia" w:ascii="仿宋_GB2312" w:eastAsia="仿宋_GB2312"/>
          <w:sz w:val="32"/>
          <w:szCs w:val="32"/>
        </w:rPr>
        <w:t>本年无因公出国（境）费支出，与上年相比无变动</w:t>
      </w:r>
      <w:r>
        <w:rPr>
          <w:rFonts w:ascii="仿宋_GB2312" w:eastAsia="仿宋_GB2312"/>
          <w:b w:val="0"/>
          <w:sz w:val="32"/>
          <w:szCs w:val="32"/>
        </w:rPr>
        <w:t>；公务用车购置及运行维护费支出8.49万元，占100.00%，比上年减少4.31万元，下降33.67%，主要原因是</w:t>
      </w:r>
      <w:r>
        <w:rPr>
          <w:rFonts w:hint="eastAsia" w:ascii="仿宋_GB2312" w:eastAsia="仿宋_GB2312"/>
          <w:b w:val="0"/>
          <w:sz w:val="32"/>
          <w:szCs w:val="32"/>
          <w:lang w:eastAsia="zh-CN"/>
        </w:rPr>
        <w:t>：</w:t>
      </w:r>
      <w:r>
        <w:rPr>
          <w:rFonts w:hint="eastAsia" w:ascii="仿宋_GB2312" w:eastAsia="仿宋_GB2312"/>
          <w:color w:val="auto"/>
          <w:sz w:val="32"/>
          <w:szCs w:val="32"/>
          <w:highlight w:val="none"/>
          <w:lang w:val="en-US" w:eastAsia="zh-CN"/>
        </w:rPr>
        <w:t>认真贯彻落实中央八项规定精神和厉行节约要求，从严控制“三公”经费开支，全年实际支出和预算比有所节约</w:t>
      </w:r>
      <w:r>
        <w:rPr>
          <w:rFonts w:ascii="仿宋_GB2312" w:eastAsia="仿宋_GB2312"/>
          <w:b w:val="0"/>
          <w:sz w:val="32"/>
          <w:szCs w:val="32"/>
        </w:rPr>
        <w:t>；公务接待费支出0.00万元，占0.00%，与上年相比无变化，主要原因是</w:t>
      </w:r>
      <w:r>
        <w:rPr>
          <w:rFonts w:hint="eastAsia" w:ascii="仿宋_GB2312" w:eastAsia="仿宋_GB2312"/>
          <w:b w:val="0"/>
          <w:sz w:val="32"/>
          <w:szCs w:val="32"/>
          <w:lang w:eastAsia="zh-CN"/>
        </w:rPr>
        <w:t>：</w:t>
      </w:r>
      <w:r>
        <w:rPr>
          <w:rFonts w:hint="eastAsia" w:ascii="仿宋_GB2312" w:eastAsia="仿宋_GB2312"/>
          <w:sz w:val="32"/>
          <w:szCs w:val="32"/>
        </w:rPr>
        <w:t>公务接待费无变动</w:t>
      </w:r>
      <w:r>
        <w:rPr>
          <w:rFonts w:ascii="仿宋_GB2312" w:eastAsia="仿宋_GB2312"/>
          <w:b w:val="0"/>
          <w:sz w:val="32"/>
          <w:szCs w:val="32"/>
        </w:rPr>
        <w:t>。</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left"/>
        <w:textAlignment w:val="auto"/>
        <w:rPr>
          <w:rFonts w:ascii="仿宋_GB2312" w:eastAsia="仿宋_GB2312"/>
          <w:sz w:val="32"/>
          <w:szCs w:val="32"/>
        </w:rPr>
      </w:pPr>
      <w:r>
        <w:rPr>
          <w:rFonts w:ascii="仿宋_GB2312" w:eastAsia="仿宋_GB2312"/>
          <w:b w:val="0"/>
          <w:sz w:val="32"/>
          <w:szCs w:val="32"/>
        </w:rPr>
        <w:t>具体情况如下：</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8.49万元，其中：公务用车购置费0.00万元，公务用车运行维护费8.49万元。公务用车运行维护费开支内容包括。公务用车购置数0辆，公务用车保有量6辆。国有资产占用情况中固定资产车辆17辆，与公务用车保有量差异原因是：</w:t>
      </w:r>
      <w:r>
        <w:rPr>
          <w:rFonts w:hint="eastAsia" w:ascii="仿宋_GB2312" w:eastAsia="仿宋_GB2312"/>
          <w:color w:val="auto"/>
          <w:sz w:val="32"/>
          <w:szCs w:val="32"/>
          <w:highlight w:val="none"/>
          <w:lang w:val="zh-CN" w:eastAsia="zh-CN"/>
        </w:rPr>
        <w:t>我单位有</w:t>
      </w:r>
      <w:r>
        <w:rPr>
          <w:rFonts w:hint="eastAsia" w:ascii="仿宋_GB2312" w:eastAsia="仿宋_GB2312"/>
          <w:color w:val="auto"/>
          <w:sz w:val="32"/>
          <w:szCs w:val="32"/>
          <w:highlight w:val="none"/>
          <w:lang w:val="en-US" w:eastAsia="zh-CN"/>
        </w:rPr>
        <w:t>9辆巡逻车，2024年乡村振兴项目购买两辆吸污车和洒水车，今年移交村委会</w:t>
      </w:r>
      <w:r>
        <w:rPr>
          <w:rFonts w:ascii="仿宋_GB2312" w:eastAsia="仿宋_GB2312"/>
          <w:b w:val="0"/>
          <w:sz w:val="32"/>
          <w:szCs w:val="32"/>
        </w:rPr>
        <w:t>。</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与全年预算相比，财政拨款“三公”经费支出全年预算数8.49万元，决算数8.49万元，预决算差异率0.00%，主要原因是：</w:t>
      </w:r>
      <w:r>
        <w:rPr>
          <w:rFonts w:hint="eastAsia" w:ascii="仿宋_GB2312" w:eastAsia="仿宋_GB2312"/>
          <w:color w:val="auto"/>
          <w:sz w:val="32"/>
          <w:szCs w:val="32"/>
          <w:highlight w:val="none"/>
          <w:lang w:val="en-US" w:eastAsia="zh-CN"/>
        </w:rPr>
        <w:t>认真贯彻落实中央八项规定精神和厉行节约要求，从严控制“三公”经费开支，全年实际支出和预算比有所节约</w:t>
      </w:r>
      <w:r>
        <w:rPr>
          <w:rFonts w:ascii="仿宋_GB2312" w:eastAsia="仿宋_GB2312"/>
          <w:b w:val="0"/>
          <w:sz w:val="32"/>
          <w:szCs w:val="32"/>
        </w:rPr>
        <w:t>。其中：因公出国（境）费全年预算数0.00万元，决算数0.00万元，预决算差异率0.00%，主要原因是：</w:t>
      </w:r>
      <w:r>
        <w:rPr>
          <w:rFonts w:hint="eastAsia" w:ascii="仿宋_GB2312" w:hAnsi="Times New Roman" w:eastAsia="仿宋_GB2312" w:cs="Times New Roman"/>
          <w:color w:val="auto"/>
          <w:sz w:val="32"/>
          <w:szCs w:val="32"/>
          <w:highlight w:val="none"/>
          <w:lang w:val="zh-CN" w:eastAsia="zh-CN"/>
        </w:rPr>
        <w:t>我单位无因公出国（境）费</w:t>
      </w:r>
      <w:r>
        <w:rPr>
          <w:rFonts w:hint="eastAsia" w:ascii="仿宋_GB2312" w:eastAsia="仿宋_GB2312"/>
          <w:color w:val="auto"/>
          <w:sz w:val="32"/>
          <w:szCs w:val="32"/>
          <w:highlight w:val="none"/>
          <w:lang w:val="zh-CN" w:eastAsia="zh-CN"/>
        </w:rPr>
        <w:t>支出</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color w:val="auto"/>
          <w:sz w:val="32"/>
          <w:szCs w:val="32"/>
          <w:highlight w:val="none"/>
          <w:lang w:val="zh-CN" w:eastAsia="zh-CN"/>
        </w:rPr>
        <w:t>我单位无公务用车运行费用</w:t>
      </w:r>
      <w:r>
        <w:rPr>
          <w:rFonts w:ascii="仿宋_GB2312" w:eastAsia="仿宋_GB2312"/>
          <w:b w:val="0"/>
          <w:sz w:val="32"/>
          <w:szCs w:val="32"/>
        </w:rPr>
        <w:t>。公务用车运行维护费全年预算数8.49万元，决算数8.49万元，预决算差异率0.00%，主要原因是：</w:t>
      </w:r>
      <w:r>
        <w:rPr>
          <w:rFonts w:hint="eastAsia" w:ascii="仿宋_GB2312" w:eastAsia="仿宋_GB2312"/>
          <w:color w:val="auto"/>
          <w:sz w:val="32"/>
          <w:szCs w:val="32"/>
          <w:highlight w:val="none"/>
          <w:lang w:val="en-US" w:eastAsia="zh-CN"/>
        </w:rPr>
        <w:t>认真贯彻落实中央八项规定</w:t>
      </w:r>
      <w:bookmarkStart w:id="0" w:name="_GoBack"/>
      <w:bookmarkEnd w:id="0"/>
      <w:r>
        <w:rPr>
          <w:rFonts w:hint="eastAsia" w:ascii="仿宋_GB2312" w:eastAsia="仿宋_GB2312"/>
          <w:color w:val="auto"/>
          <w:sz w:val="32"/>
          <w:szCs w:val="32"/>
          <w:highlight w:val="none"/>
          <w:lang w:val="en-US" w:eastAsia="zh-CN"/>
        </w:rPr>
        <w:t>精神和厉行节约要求，从严控制“三公”经费开支，全年实际支出和预算比有所节约</w:t>
      </w:r>
      <w:r>
        <w:rPr>
          <w:rFonts w:ascii="仿宋_GB2312" w:eastAsia="仿宋_GB2312"/>
          <w:b w:val="0"/>
          <w:sz w:val="32"/>
          <w:szCs w:val="32"/>
        </w:rPr>
        <w:t>。公务接待费全年预算数0.00万元，决算数0.00万元，预决算差异率0.00%，主要原因是：</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val="zh-CN" w:eastAsia="zh-CN"/>
        </w:rPr>
        <w:t>公务接待费支出</w:t>
      </w:r>
      <w:r>
        <w:rPr>
          <w:rFonts w:ascii="仿宋_GB2312" w:eastAsia="仿宋_GB2312"/>
          <w:b w:val="0"/>
          <w:sz w:val="32"/>
          <w:szCs w:val="32"/>
        </w:rPr>
        <w:t>。</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outlineLvl w:val="1"/>
        <w:rPr>
          <w:rFonts w:ascii="黑体" w:eastAsia="黑体"/>
          <w:sz w:val="32"/>
          <w:szCs w:val="32"/>
        </w:rPr>
      </w:pPr>
      <w:r>
        <w:rPr>
          <w:rFonts w:ascii="黑体" w:eastAsia="黑体"/>
          <w:b w:val="0"/>
          <w:sz w:val="32"/>
          <w:szCs w:val="32"/>
        </w:rPr>
        <w:t>十、其他重要事项的情况说明</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outlineLvl w:val="2"/>
        <w:rPr>
          <w:rFonts w:ascii="仿宋_GB2312" w:eastAsia="仿宋_GB2312"/>
          <w:sz w:val="32"/>
          <w:szCs w:val="32"/>
        </w:rPr>
      </w:pPr>
      <w:r>
        <w:rPr>
          <w:rFonts w:ascii="仿宋_GB2312" w:eastAsia="仿宋_GB2312"/>
          <w:b/>
          <w:sz w:val="32"/>
          <w:szCs w:val="32"/>
        </w:rPr>
        <w:t>（一）机关运行经费及公用经费支出情况</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2024年度库尔勒市恰尔巴格乡人民政府单位机关运行经费支出147.67万元，比上年增加7.45万元，增长5.31%，主要原因是</w:t>
      </w:r>
      <w:r>
        <w:rPr>
          <w:rFonts w:hint="eastAsia" w:ascii="仿宋_GB2312" w:eastAsia="仿宋_GB2312"/>
          <w:b w:val="0"/>
          <w:sz w:val="32"/>
          <w:szCs w:val="32"/>
          <w:lang w:eastAsia="zh-CN"/>
        </w:rPr>
        <w:t>：化解理念部分欠款原因增加机关运行经费</w:t>
      </w:r>
      <w:r>
        <w:rPr>
          <w:rFonts w:ascii="仿宋_GB2312" w:eastAsia="仿宋_GB2312"/>
          <w:b w:val="0"/>
          <w:sz w:val="32"/>
          <w:szCs w:val="32"/>
        </w:rPr>
        <w:t>。</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outlineLvl w:val="2"/>
        <w:rPr>
          <w:rFonts w:ascii="仿宋_GB2312" w:eastAsia="仿宋_GB2312"/>
          <w:sz w:val="32"/>
          <w:szCs w:val="32"/>
        </w:rPr>
      </w:pPr>
      <w:r>
        <w:rPr>
          <w:rFonts w:ascii="仿宋_GB2312" w:eastAsia="仿宋_GB2312"/>
          <w:b/>
          <w:sz w:val="32"/>
          <w:szCs w:val="32"/>
        </w:rPr>
        <w:t>（二）政府采购情况</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2024年度政府采购支出总额520.95万元，其中：政府采购货物支出66.19万元、政府采购工程支出450.25万元、政府采购服务支出4.51万元。</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授予中小企业合同金额520.95万元，占政府采购支出总额的100.00%，其中：授予小微企业合同金额520.95万元，占政府采购支出总额的100.00%。</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outlineLvl w:val="2"/>
        <w:rPr>
          <w:rFonts w:ascii="仿宋_GB2312" w:eastAsia="仿宋_GB2312"/>
          <w:sz w:val="32"/>
          <w:szCs w:val="32"/>
        </w:rPr>
      </w:pPr>
      <w:r>
        <w:rPr>
          <w:rFonts w:ascii="仿宋_GB2312" w:eastAsia="仿宋_GB2312"/>
          <w:b/>
          <w:sz w:val="32"/>
          <w:szCs w:val="32"/>
        </w:rPr>
        <w:t>（三）国有资产占用情况说明</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7,678.76平方米，价值986.62万元。车辆17辆，价值109.73万元，其中：副部（省）级及以上领导用车0辆、主要负责人用车0辆、机要通信用车0辆、应急保障用车0辆、执法执勤用车9辆、特种专业技术用车0辆、离退休干部服务用车0辆、其他用车8辆，其他用车主要是：</w:t>
      </w:r>
      <w:r>
        <w:rPr>
          <w:rFonts w:hint="eastAsia" w:ascii="仿宋_GB2312" w:eastAsia="仿宋_GB2312"/>
          <w:sz w:val="32"/>
          <w:szCs w:val="32"/>
          <w:lang w:eastAsia="zh-CN"/>
        </w:rPr>
        <w:t>党委、政府、综治中心、纪检等公务用车</w:t>
      </w:r>
      <w:r>
        <w:rPr>
          <w:rFonts w:ascii="仿宋_GB2312" w:eastAsia="仿宋_GB2312"/>
          <w:b w:val="0"/>
          <w:sz w:val="32"/>
          <w:szCs w:val="32"/>
        </w:rPr>
        <w:t>;单价100万元（含）以上设备（不含车辆）0台（套）。</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after="0" w:line="560" w:lineRule="exact"/>
        <w:ind w:left="0" w:firstLine="640" w:firstLineChars="200"/>
        <w:textAlignment w:val="auto"/>
        <w:rPr>
          <w:rFonts w:hint="eastAsia" w:ascii="仿宋_GB2312" w:hAnsi="Times New Roman" w:eastAsia="仿宋_GB2312" w:cs="Times New Roman"/>
          <w:b w:val="0"/>
          <w:kern w:val="0"/>
          <w:sz w:val="32"/>
          <w:szCs w:val="32"/>
          <w:lang w:val="en-US" w:eastAsia="en-US" w:bidi="ar-SA"/>
        </w:rPr>
      </w:pPr>
      <w:r>
        <w:rPr>
          <w:rFonts w:ascii="仿宋_GB2312" w:hAnsi="Times New Roman" w:eastAsia="仿宋_GB2312" w:cs="Times New Roman"/>
          <w:b w:val="0"/>
          <w:kern w:val="0"/>
          <w:sz w:val="32"/>
          <w:szCs w:val="32"/>
          <w:lang w:val="en-US" w:eastAsia="en-US" w:bidi="ar-SA"/>
        </w:rPr>
        <w:t>根据预算绩效管理要求，本单位2024年度预算绩效管理形成整体支出绩效自评表1个，全年预算总额</w:t>
      </w:r>
      <w:r>
        <w:rPr>
          <w:rFonts w:hint="eastAsia" w:ascii="仿宋_GB2312" w:hAnsi="Times New Roman" w:eastAsia="仿宋_GB2312" w:cs="Times New Roman"/>
          <w:b w:val="0"/>
          <w:kern w:val="0"/>
          <w:sz w:val="32"/>
          <w:szCs w:val="32"/>
          <w:lang w:val="en-US" w:eastAsia="zh-CN" w:bidi="ar-SA"/>
        </w:rPr>
        <w:t>4113.19</w:t>
      </w:r>
      <w:r>
        <w:rPr>
          <w:rFonts w:ascii="仿宋_GB2312" w:hAnsi="Times New Roman" w:eastAsia="仿宋_GB2312" w:cs="Times New Roman"/>
          <w:b w:val="0"/>
          <w:kern w:val="0"/>
          <w:sz w:val="32"/>
          <w:szCs w:val="32"/>
          <w:lang w:val="en-US" w:eastAsia="en-US" w:bidi="ar-SA"/>
        </w:rPr>
        <w:t>万元，实际执行总额</w:t>
      </w:r>
      <w:r>
        <w:rPr>
          <w:rFonts w:hint="eastAsia" w:ascii="仿宋_GB2312" w:hAnsi="Times New Roman" w:eastAsia="仿宋_GB2312" w:cs="Times New Roman"/>
          <w:b w:val="0"/>
          <w:kern w:val="0"/>
          <w:sz w:val="32"/>
          <w:szCs w:val="32"/>
          <w:lang w:val="en-US" w:eastAsia="zh-CN" w:bidi="ar-SA"/>
        </w:rPr>
        <w:t>4113.19</w:t>
      </w:r>
      <w:r>
        <w:rPr>
          <w:rFonts w:ascii="仿宋_GB2312" w:hAnsi="Times New Roman" w:eastAsia="仿宋_GB2312" w:cs="Times New Roman"/>
          <w:b w:val="0"/>
          <w:kern w:val="0"/>
          <w:sz w:val="32"/>
          <w:szCs w:val="32"/>
          <w:lang w:val="en-US" w:eastAsia="en-US" w:bidi="ar-SA"/>
        </w:rPr>
        <w:t>万元；预算绩效评价项目</w:t>
      </w:r>
      <w:r>
        <w:rPr>
          <w:rFonts w:hint="eastAsia" w:ascii="仿宋_GB2312" w:hAnsi="Times New Roman" w:eastAsia="仿宋_GB2312" w:cs="Times New Roman"/>
          <w:b w:val="0"/>
          <w:kern w:val="0"/>
          <w:sz w:val="32"/>
          <w:szCs w:val="32"/>
          <w:lang w:val="en-US" w:eastAsia="zh-CN" w:bidi="ar-SA"/>
        </w:rPr>
        <w:t>10</w:t>
      </w:r>
      <w:r>
        <w:rPr>
          <w:rFonts w:ascii="仿宋_GB2312" w:hAnsi="Times New Roman" w:eastAsia="仿宋_GB2312" w:cs="Times New Roman"/>
          <w:b w:val="0"/>
          <w:kern w:val="0"/>
          <w:sz w:val="32"/>
          <w:szCs w:val="32"/>
          <w:lang w:val="en-US" w:eastAsia="en-US" w:bidi="ar-SA"/>
        </w:rPr>
        <w:t>个，全年预算数</w:t>
      </w:r>
      <w:r>
        <w:rPr>
          <w:rFonts w:hint="eastAsia" w:ascii="仿宋_GB2312" w:hAnsi="Times New Roman" w:eastAsia="仿宋_GB2312" w:cs="Times New Roman"/>
          <w:b w:val="0"/>
          <w:kern w:val="0"/>
          <w:sz w:val="32"/>
          <w:szCs w:val="32"/>
          <w:lang w:val="en-US" w:eastAsia="zh-CN" w:bidi="ar-SA"/>
        </w:rPr>
        <w:t>234.19</w:t>
      </w:r>
      <w:r>
        <w:rPr>
          <w:rFonts w:ascii="仿宋_GB2312" w:hAnsi="Times New Roman" w:eastAsia="仿宋_GB2312" w:cs="Times New Roman"/>
          <w:b w:val="0"/>
          <w:kern w:val="0"/>
          <w:sz w:val="32"/>
          <w:szCs w:val="32"/>
          <w:lang w:val="en-US" w:eastAsia="en-US" w:bidi="ar-SA"/>
        </w:rPr>
        <w:t>万元，全年执行数</w:t>
      </w:r>
      <w:r>
        <w:rPr>
          <w:rFonts w:hint="eastAsia" w:ascii="仿宋_GB2312" w:hAnsi="Times New Roman" w:eastAsia="仿宋_GB2312" w:cs="Times New Roman"/>
          <w:b w:val="0"/>
          <w:kern w:val="0"/>
          <w:sz w:val="32"/>
          <w:szCs w:val="32"/>
          <w:lang w:val="en-US" w:eastAsia="zh-CN" w:bidi="ar-SA"/>
        </w:rPr>
        <w:t>149.97</w:t>
      </w:r>
      <w:r>
        <w:rPr>
          <w:rFonts w:ascii="仿宋_GB2312" w:hAnsi="Times New Roman" w:eastAsia="仿宋_GB2312" w:cs="Times New Roman"/>
          <w:b w:val="0"/>
          <w:kern w:val="0"/>
          <w:sz w:val="32"/>
          <w:szCs w:val="32"/>
          <w:lang w:val="en-US" w:eastAsia="en-US" w:bidi="ar-SA"/>
        </w:rPr>
        <w:t>万元。预算绩效管理取得的成效</w:t>
      </w:r>
      <w:r>
        <w:rPr>
          <w:rFonts w:hint="eastAsia" w:ascii="仿宋_GB2312" w:hAnsi="Times New Roman" w:eastAsia="仿宋_GB2312" w:cs="Times New Roman"/>
          <w:b w:val="0"/>
          <w:kern w:val="0"/>
          <w:sz w:val="32"/>
          <w:szCs w:val="32"/>
          <w:lang w:val="en-US" w:eastAsia="zh-CN" w:bidi="ar-SA"/>
        </w:rPr>
        <w:t>一是我单位严格按照年初预算以及单位年度工作计划执行预算，严格按照相关规定进行资金管理，做到专款专用、科学管理，每笔开支都有相关经办人员签字，做到程序规范，开支合理，勤俭节约，最大限度的提高项目经费的使用效率，保证了项目的顺利进行；二是我单位通过对绩效的进展和效果进行持续的监控，发现并纠正绩效目标实现过程中的各种偏差，以确保本单位绩效目标实现。对单位年初所确定的整体绩效指标、年度预期目标进行3个不同时期，3个不同阶段地监控，对部门整体前期、中期、后期都有清晰地了解</w:t>
      </w:r>
      <w:r>
        <w:rPr>
          <w:rFonts w:ascii="仿宋_GB2312" w:hAnsi="Times New Roman" w:eastAsia="仿宋_GB2312" w:cs="Times New Roman"/>
          <w:b w:val="0"/>
          <w:kern w:val="0"/>
          <w:sz w:val="32"/>
          <w:szCs w:val="32"/>
          <w:lang w:val="en-US" w:eastAsia="en-US" w:bidi="ar-SA"/>
        </w:rPr>
        <w:t>。发现的问题及原因：</w:t>
      </w:r>
      <w:r>
        <w:rPr>
          <w:rFonts w:hint="eastAsia" w:ascii="仿宋_GB2312" w:hAnsi="Times New Roman" w:eastAsia="仿宋_GB2312" w:cs="Times New Roman"/>
          <w:b w:val="0"/>
          <w:kern w:val="0"/>
          <w:sz w:val="32"/>
          <w:szCs w:val="32"/>
          <w:lang w:val="en-US" w:eastAsia="zh-CN" w:bidi="ar-SA"/>
        </w:rPr>
        <w:t>一是项目绩效目标完成情况与项目资金支出进度存在脱节情况；二是填报内容过于简单，对绩效目标偏差问题缺乏有效分析，无法监控绩效目标的实现程度，还有待进一步提升预算单位整体绩效管理理念</w:t>
      </w:r>
      <w:r>
        <w:rPr>
          <w:rFonts w:hint="eastAsia" w:ascii="仿宋_GB2312" w:hAnsi="Times New Roman" w:eastAsia="仿宋_GB2312" w:cs="Times New Roman"/>
          <w:b w:val="0"/>
          <w:kern w:val="0"/>
          <w:sz w:val="32"/>
          <w:szCs w:val="32"/>
          <w:lang w:val="en-US" w:eastAsia="en-US" w:bidi="ar-SA"/>
        </w:rPr>
        <w:t>。</w:t>
      </w:r>
    </w:p>
    <w:p>
      <w:pPr>
        <w:pStyle w:val="24"/>
        <w:keepNext w:val="0"/>
        <w:keepLines w:val="0"/>
        <w:pageBreakBefore w:val="0"/>
        <w:widowControl/>
        <w:kinsoku/>
        <w:wordWrap/>
        <w:overflowPunct/>
        <w:topLinePunct w:val="0"/>
        <w:autoSpaceDE/>
        <w:autoSpaceDN/>
        <w:bidi w:val="0"/>
        <w:adjustRightInd/>
        <w:snapToGrid/>
        <w:spacing w:after="0" w:line="560" w:lineRule="exact"/>
        <w:ind w:left="0" w:firstLine="561"/>
        <w:textAlignment w:val="auto"/>
        <w:rPr>
          <w:rFonts w:hint="eastAsia" w:ascii="仿宋_GB2312" w:hAnsi="Times New Roman" w:eastAsia="仿宋_GB2312" w:cs="Times New Roman"/>
          <w:b w:val="0"/>
          <w:kern w:val="0"/>
          <w:sz w:val="32"/>
          <w:szCs w:val="32"/>
          <w:lang w:val="en-US" w:eastAsia="en-US" w:bidi="ar-SA"/>
        </w:rPr>
      </w:pPr>
      <w:r>
        <w:rPr>
          <w:rFonts w:ascii="仿宋_GB2312" w:hAnsi="Times New Roman" w:eastAsia="仿宋_GB2312" w:cs="Times New Roman"/>
          <w:b w:val="0"/>
          <w:kern w:val="0"/>
          <w:sz w:val="32"/>
          <w:szCs w:val="32"/>
          <w:lang w:val="en-US" w:eastAsia="en-US" w:bidi="ar-SA"/>
        </w:rPr>
        <w:t>下一步改进措施：</w:t>
      </w:r>
      <w:r>
        <w:rPr>
          <w:rFonts w:hint="eastAsia" w:ascii="仿宋_GB2312" w:hAnsi="Times New Roman" w:eastAsia="仿宋_GB2312" w:cs="Times New Roman"/>
          <w:b w:val="0"/>
          <w:kern w:val="0"/>
          <w:sz w:val="32"/>
          <w:szCs w:val="32"/>
          <w:lang w:val="en-US" w:eastAsia="zh-CN" w:bidi="ar-SA"/>
        </w:rPr>
        <w:t>一是强化项目单位对资金绩效实现情况的责任约束，对专项资金偏离预算绩效目标的支出，及时采取有效措施予以纠正，让资金管理人、使用人皆知“自家的钱怎么花的，花得怎么样，存在什么责任，进一步规范专项资金使用绩效；二是加强财政资金使用效益跟踪“回头看”，针对资金绩效运行状况，及时预控、查找资金使用和管理过程中的薄弱环节，提出纠偏措施；通过预算绩效监控管理，根据每季度的预算绩效监控结果，及时调整项目预算，收回闲置资金，尽量减少财政资金沉淀闲置。进一步加强财政资金统筹安排，提高财政资金使用效益，实现财政支出的科学化精细化管理，</w:t>
      </w:r>
      <w:r>
        <w:rPr>
          <w:rFonts w:hint="eastAsia" w:ascii="仿宋_GB2312" w:hAnsi="Times New Roman" w:eastAsia="仿宋_GB2312" w:cs="Times New Roman"/>
          <w:b w:val="0"/>
          <w:kern w:val="0"/>
          <w:sz w:val="32"/>
          <w:szCs w:val="32"/>
          <w:lang w:val="en-US" w:eastAsia="en-US" w:bidi="ar-SA"/>
        </w:rPr>
        <w:t>具体项目自评情况附项目支出绩效自评表。</w:t>
      </w:r>
    </w:p>
    <w:p>
      <w:pPr>
        <w:pStyle w:val="24"/>
        <w:pageBreakBefore w:val="0"/>
        <w:widowControl/>
        <w:kinsoku/>
        <w:wordWrap/>
        <w:overflowPunct/>
        <w:topLinePunct w:val="0"/>
        <w:autoSpaceDE/>
        <w:autoSpaceDN/>
        <w:bidi w:val="0"/>
        <w:adjustRightInd/>
        <w:snapToGrid/>
        <w:spacing w:line="560" w:lineRule="exact"/>
        <w:ind w:left="0" w:firstLine="560"/>
        <w:textAlignment w:val="auto"/>
        <w:rPr>
          <w:rFonts w:ascii="仿宋_GB2312" w:hAnsi="Times New Roman" w:eastAsia="仿宋_GB2312" w:cs="Times New Roman"/>
          <w:b w:val="0"/>
          <w:kern w:val="0"/>
          <w:sz w:val="32"/>
          <w:szCs w:val="32"/>
          <w:lang w:val="en-US" w:eastAsia="en-US" w:bidi="ar-SA"/>
        </w:rPr>
      </w:pPr>
      <w:r>
        <w:rPr>
          <w:rFonts w:ascii="仿宋_GB2312" w:hAnsi="Times New Roman" w:eastAsia="仿宋_GB2312" w:cs="Times New Roman"/>
          <w:b w:val="0"/>
          <w:kern w:val="0"/>
          <w:sz w:val="32"/>
          <w:szCs w:val="32"/>
          <w:lang w:val="en-US" w:eastAsia="en-US" w:bidi="ar-SA"/>
        </w:rPr>
        <w:t>具体附部门整体支出绩效自评表，项目支出绩效自评表和部门评价报告。</w:t>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left"/>
        <w:textAlignment w:val="auto"/>
        <w:outlineLvl w:val="1"/>
        <w:rPr>
          <w:rFonts w:ascii="黑体" w:eastAsia="黑体"/>
          <w:sz w:val="32"/>
          <w:szCs w:val="32"/>
        </w:rPr>
      </w:pPr>
      <w:r>
        <w:rPr>
          <w:rFonts w:ascii="黑体" w:eastAsia="黑体"/>
          <w:b w:val="0"/>
          <w:sz w:val="32"/>
          <w:szCs w:val="32"/>
        </w:rPr>
        <w:t>十二、其他需说明的事项</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left"/>
        <w:textAlignment w:val="auto"/>
        <w:rPr>
          <w:rFonts w:ascii="仿宋_GB2312" w:eastAsia="仿宋_GB2312"/>
          <w:sz w:val="32"/>
          <w:szCs w:val="32"/>
        </w:rPr>
      </w:pPr>
    </w:p>
    <w:p>
      <w:pPr>
        <w:pageBreakBefore w:val="0"/>
        <w:widowControl/>
        <w:kinsoku/>
        <w:wordWrap/>
        <w:overflowPunct/>
        <w:topLinePunct w:val="0"/>
        <w:autoSpaceDE/>
        <w:autoSpaceDN/>
        <w:bidi w:val="0"/>
        <w:adjustRightInd/>
        <w:snapToGrid/>
        <w:spacing w:line="560" w:lineRule="exact"/>
        <w:ind w:left="0"/>
        <w:textAlignment w:val="auto"/>
      </w:pPr>
      <w:r>
        <w:rPr>
          <w:b w:val="0"/>
          <w:sz w:val="0"/>
          <w:szCs w:val="0"/>
        </w:rPr>
        <w:br w:type="page"/>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center"/>
        <w:textAlignment w:val="auto"/>
        <w:outlineLvl w:val="0"/>
        <w:rPr>
          <w:rFonts w:ascii="黑体" w:eastAsia="黑体"/>
          <w:sz w:val="32"/>
          <w:szCs w:val="32"/>
        </w:rPr>
      </w:pPr>
      <w:r>
        <w:rPr>
          <w:rFonts w:ascii="黑体" w:eastAsia="黑体"/>
          <w:b w:val="0"/>
          <w:sz w:val="32"/>
          <w:szCs w:val="32"/>
        </w:rPr>
        <w:t>第三部分</w:t>
      </w:r>
      <w:r>
        <w:rPr>
          <w:rFonts w:hint="eastAsia" w:ascii="黑体" w:eastAsia="黑体"/>
          <w:b w:val="0"/>
          <w:sz w:val="32"/>
          <w:szCs w:val="32"/>
          <w:lang w:val="en-US" w:eastAsia="zh-CN"/>
        </w:rPr>
        <w:t xml:space="preserve"> </w:t>
      </w:r>
      <w:r>
        <w:rPr>
          <w:rFonts w:ascii="黑体" w:eastAsia="黑体"/>
          <w:b w:val="0"/>
          <w:sz w:val="32"/>
          <w:szCs w:val="32"/>
        </w:rPr>
        <w:t>专业名词解释</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3"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pageBreakBefore w:val="0"/>
        <w:widowControl/>
        <w:kinsoku/>
        <w:wordWrap/>
        <w:overflowPunct/>
        <w:topLinePunct w:val="0"/>
        <w:autoSpaceDE/>
        <w:autoSpaceDN/>
        <w:bidi w:val="0"/>
        <w:adjustRightInd/>
        <w:snapToGrid/>
        <w:spacing w:before="0" w:beforeAutospacing="0" w:after="0" w:afterAutospacing="0" w:line="560" w:lineRule="exact"/>
        <w:ind w:left="0"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pageBreakBefore w:val="0"/>
        <w:widowControl/>
        <w:kinsoku/>
        <w:wordWrap/>
        <w:overflowPunct/>
        <w:topLinePunct w:val="0"/>
        <w:autoSpaceDE/>
        <w:autoSpaceDN/>
        <w:bidi w:val="0"/>
        <w:adjustRightInd/>
        <w:snapToGrid/>
        <w:spacing w:line="560" w:lineRule="exact"/>
        <w:ind w:left="0"/>
        <w:textAlignment w:val="auto"/>
      </w:pPr>
      <w:r>
        <w:rPr>
          <w:b w:val="0"/>
          <w:sz w:val="0"/>
          <w:szCs w:val="0"/>
        </w:rPr>
        <w:br w:type="page"/>
      </w:r>
    </w:p>
    <w:p>
      <w:pPr>
        <w:pageBreakBefore w:val="0"/>
        <w:widowControl/>
        <w:kinsoku/>
        <w:wordWrap/>
        <w:overflowPunct/>
        <w:topLinePunct w:val="0"/>
        <w:autoSpaceDE/>
        <w:autoSpaceDN/>
        <w:bidi w:val="0"/>
        <w:adjustRightInd/>
        <w:snapToGrid/>
        <w:spacing w:before="0" w:beforeAutospacing="0" w:after="0" w:afterAutospacing="0" w:line="560" w:lineRule="exact"/>
        <w:ind w:left="0"/>
        <w:jc w:val="center"/>
        <w:textAlignment w:val="auto"/>
        <w:outlineLvl w:val="0"/>
        <w:rPr>
          <w:rFonts w:ascii="黑体" w:eastAsia="黑体"/>
          <w:sz w:val="32"/>
          <w:szCs w:val="32"/>
        </w:rPr>
      </w:pPr>
      <w:r>
        <w:rPr>
          <w:rFonts w:ascii="黑体" w:eastAsia="黑体"/>
          <w:b w:val="0"/>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firstLine="0" w:firstLineChars="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firstLine="0" w:firstLineChars="0"/>
        <w:jc w:val="left"/>
        <w:textAlignment w:val="auto"/>
        <w:outlineLvl w:val="1"/>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firstLine="0" w:firstLineChars="0"/>
        <w:jc w:val="left"/>
        <w:textAlignment w:val="auto"/>
        <w:outlineLvl w:val="1"/>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firstLine="0" w:firstLineChars="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firstLine="0" w:firstLineChars="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firstLine="0" w:firstLineChars="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firstLine="0" w:firstLineChars="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firstLine="0" w:firstLineChars="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firstLine="0" w:firstLineChars="0"/>
        <w:jc w:val="left"/>
        <w:textAlignment w:val="auto"/>
        <w:outlineLvl w:val="1"/>
        <w:rPr>
          <w:rFonts w:ascii="仿宋_GB2312" w:eastAsia="仿宋_GB2312"/>
          <w:b w:val="0"/>
          <w:sz w:val="32"/>
          <w:szCs w:val="32"/>
        </w:rPr>
      </w:pPr>
      <w:r>
        <w:rPr>
          <w:rFonts w:ascii="仿宋_GB2312" w:eastAsia="仿宋_GB2312"/>
          <w:b w:val="0"/>
          <w:sz w:val="32"/>
          <w:szCs w:val="32"/>
        </w:rPr>
        <w:t>九、《财政拨款“三公”经费支出决算表》</w:t>
      </w:r>
    </w:p>
    <w:p>
      <w:pPr>
        <w:pStyle w:val="2"/>
        <w:pageBreakBefore w:val="0"/>
        <w:widowControl/>
        <w:kinsoku/>
        <w:wordWrap/>
        <w:overflowPunct/>
        <w:topLinePunct w:val="0"/>
        <w:autoSpaceDE/>
        <w:autoSpaceDN/>
        <w:bidi w:val="0"/>
        <w:adjustRightInd/>
        <w:snapToGrid/>
        <w:spacing w:line="560" w:lineRule="exact"/>
        <w:ind w:left="0"/>
        <w:textAlignment w:val="auto"/>
        <w:rPr>
          <w:rFonts w:ascii="仿宋_GB2312" w:eastAsia="仿宋_GB2312"/>
          <w:b w:val="0"/>
          <w:sz w:val="32"/>
          <w:szCs w:val="32"/>
        </w:rPr>
      </w:pPr>
    </w:p>
    <w:p>
      <w:pPr>
        <w:pageBreakBefore w:val="0"/>
        <w:widowControl/>
        <w:kinsoku/>
        <w:wordWrap/>
        <w:overflowPunct/>
        <w:topLinePunct w:val="0"/>
        <w:autoSpaceDE/>
        <w:autoSpaceDN/>
        <w:bidi w:val="0"/>
        <w:adjustRightInd/>
        <w:snapToGrid/>
        <w:spacing w:line="560" w:lineRule="exact"/>
        <w:ind w:left="0"/>
        <w:textAlignment w:val="auto"/>
        <w:rPr>
          <w:rFonts w:ascii="仿宋_GB2312" w:eastAsia="仿宋_GB2312"/>
          <w:b w:val="0"/>
          <w:sz w:val="32"/>
          <w:szCs w:val="32"/>
        </w:rPr>
      </w:pPr>
    </w:p>
    <w:p>
      <w:pPr>
        <w:pStyle w:val="2"/>
        <w:pageBreakBefore w:val="0"/>
        <w:widowControl/>
        <w:kinsoku/>
        <w:wordWrap/>
        <w:overflowPunct/>
        <w:topLinePunct w:val="0"/>
        <w:autoSpaceDE/>
        <w:autoSpaceDN/>
        <w:bidi w:val="0"/>
        <w:adjustRightInd/>
        <w:snapToGrid/>
        <w:spacing w:line="560" w:lineRule="exact"/>
        <w:ind w:left="0"/>
        <w:textAlignment w:val="auto"/>
        <w:rPr>
          <w:rFonts w:ascii="仿宋_GB2312" w:eastAsia="仿宋_GB2312"/>
          <w:b w:val="0"/>
          <w:sz w:val="32"/>
          <w:szCs w:val="32"/>
        </w:rPr>
      </w:pPr>
    </w:p>
    <w:p>
      <w:pPr>
        <w:pageBreakBefore w:val="0"/>
        <w:widowControl/>
        <w:kinsoku/>
        <w:wordWrap/>
        <w:overflowPunct/>
        <w:topLinePunct w:val="0"/>
        <w:autoSpaceDE/>
        <w:autoSpaceDN/>
        <w:bidi w:val="0"/>
        <w:adjustRightInd/>
        <w:snapToGrid/>
        <w:spacing w:line="560" w:lineRule="exact"/>
        <w:ind w:left="0"/>
        <w:textAlignment w:val="auto"/>
        <w:rPr>
          <w:rFonts w:ascii="仿宋_GB2312" w:eastAsia="仿宋_GB2312"/>
          <w:b w:val="0"/>
          <w:sz w:val="32"/>
          <w:szCs w:val="32"/>
        </w:rPr>
      </w:pPr>
    </w:p>
    <w:p>
      <w:pPr>
        <w:pStyle w:val="2"/>
        <w:pageBreakBefore w:val="0"/>
        <w:widowControl/>
        <w:kinsoku/>
        <w:wordWrap/>
        <w:overflowPunct/>
        <w:topLinePunct w:val="0"/>
        <w:autoSpaceDE/>
        <w:autoSpaceDN/>
        <w:bidi w:val="0"/>
        <w:adjustRightInd/>
        <w:snapToGrid/>
        <w:spacing w:line="560" w:lineRule="exact"/>
        <w:ind w:left="0"/>
        <w:textAlignment w:val="auto"/>
        <w:rPr>
          <w:rFonts w:ascii="仿宋_GB2312" w:eastAsia="仿宋_GB2312"/>
          <w:b w:val="0"/>
          <w:sz w:val="32"/>
          <w:szCs w:val="32"/>
        </w:rPr>
      </w:pPr>
    </w:p>
    <w:p>
      <w:pPr>
        <w:pageBreakBefore w:val="0"/>
        <w:widowControl/>
        <w:kinsoku/>
        <w:wordWrap/>
        <w:overflowPunct/>
        <w:topLinePunct w:val="0"/>
        <w:autoSpaceDE/>
        <w:autoSpaceDN/>
        <w:bidi w:val="0"/>
        <w:adjustRightInd/>
        <w:snapToGrid/>
        <w:spacing w:line="560" w:lineRule="exact"/>
        <w:ind w:left="0"/>
        <w:textAlignment w:val="auto"/>
        <w:rPr>
          <w:rFonts w:ascii="仿宋_GB2312" w:eastAsia="仿宋_GB2312"/>
          <w:b w:val="0"/>
          <w:sz w:val="32"/>
          <w:szCs w:val="32"/>
        </w:rPr>
      </w:pPr>
    </w:p>
    <w:p>
      <w:pPr>
        <w:pStyle w:val="2"/>
        <w:pageBreakBefore w:val="0"/>
        <w:widowControl/>
        <w:kinsoku/>
        <w:wordWrap/>
        <w:overflowPunct/>
        <w:topLinePunct w:val="0"/>
        <w:autoSpaceDE/>
        <w:autoSpaceDN/>
        <w:bidi w:val="0"/>
        <w:adjustRightInd/>
        <w:snapToGrid/>
        <w:spacing w:line="560" w:lineRule="exact"/>
        <w:ind w:left="0"/>
        <w:textAlignment w:val="auto"/>
        <w:rPr>
          <w:rFonts w:ascii="仿宋_GB2312" w:eastAsia="仿宋_GB2312"/>
          <w:b w:val="0"/>
          <w:sz w:val="32"/>
          <w:szCs w:val="32"/>
        </w:rPr>
      </w:pPr>
    </w:p>
    <w:p>
      <w:pPr>
        <w:pageBreakBefore w:val="0"/>
        <w:widowControl/>
        <w:kinsoku/>
        <w:wordWrap/>
        <w:overflowPunct/>
        <w:topLinePunct w:val="0"/>
        <w:autoSpaceDE/>
        <w:autoSpaceDN/>
        <w:bidi w:val="0"/>
        <w:adjustRightInd/>
        <w:snapToGrid/>
        <w:spacing w:line="560" w:lineRule="exact"/>
        <w:ind w:left="0"/>
        <w:textAlignment w:val="auto"/>
        <w:rPr>
          <w:rFonts w:ascii="仿宋_GB2312" w:eastAsia="仿宋_GB2312"/>
          <w:b w:val="0"/>
          <w:sz w:val="32"/>
          <w:szCs w:val="32"/>
        </w:rPr>
      </w:pPr>
    </w:p>
    <w:p>
      <w:pPr>
        <w:pStyle w:val="2"/>
        <w:pageBreakBefore w:val="0"/>
        <w:widowControl/>
        <w:kinsoku/>
        <w:wordWrap/>
        <w:overflowPunct/>
        <w:topLinePunct w:val="0"/>
        <w:autoSpaceDE/>
        <w:autoSpaceDN/>
        <w:bidi w:val="0"/>
        <w:adjustRightInd/>
        <w:snapToGrid/>
        <w:spacing w:line="560" w:lineRule="exact"/>
        <w:ind w:left="0"/>
        <w:textAlignment w:val="auto"/>
        <w:rPr>
          <w:rFonts w:ascii="仿宋_GB2312" w:eastAsia="仿宋_GB2312"/>
          <w:b w:val="0"/>
          <w:sz w:val="32"/>
          <w:szCs w:val="32"/>
        </w:rPr>
      </w:pPr>
      <w:r>
        <w:drawing>
          <wp:anchor distT="0" distB="0" distL="114300" distR="114300" simplePos="0" relativeHeight="251659264" behindDoc="0" locked="0" layoutInCell="1" allowOverlap="1">
            <wp:simplePos x="0" y="0"/>
            <wp:positionH relativeFrom="column">
              <wp:posOffset>-31750</wp:posOffset>
            </wp:positionH>
            <wp:positionV relativeFrom="paragraph">
              <wp:posOffset>-742950</wp:posOffset>
            </wp:positionV>
            <wp:extent cx="5479415" cy="8048625"/>
            <wp:effectExtent l="0" t="0" r="6985" b="952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479415" cy="8048625"/>
                    </a:xfrm>
                    <a:prstGeom prst="rect">
                      <a:avLst/>
                    </a:prstGeom>
                    <a:noFill/>
                    <a:ln>
                      <a:noFill/>
                    </a:ln>
                  </pic:spPr>
                </pic:pic>
              </a:graphicData>
            </a:graphic>
          </wp:anchor>
        </w:drawing>
      </w:r>
    </w:p>
    <w:p>
      <w:pPr>
        <w:pageBreakBefore w:val="0"/>
        <w:widowControl/>
        <w:kinsoku/>
        <w:wordWrap/>
        <w:overflowPunct/>
        <w:topLinePunct w:val="0"/>
        <w:autoSpaceDE/>
        <w:autoSpaceDN/>
        <w:bidi w:val="0"/>
        <w:adjustRightInd/>
        <w:snapToGrid/>
        <w:spacing w:line="560" w:lineRule="exact"/>
        <w:ind w:left="0"/>
        <w:textAlignment w:val="auto"/>
        <w:rPr>
          <w:rFonts w:ascii="仿宋_GB2312" w:eastAsia="仿宋_GB2312"/>
          <w:b w:val="0"/>
          <w:sz w:val="32"/>
          <w:szCs w:val="32"/>
        </w:rPr>
      </w:pPr>
    </w:p>
    <w:p>
      <w:pPr>
        <w:pStyle w:val="2"/>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Pr>
        <w:pageBreakBefore w:val="0"/>
        <w:widowControl/>
        <w:kinsoku/>
        <w:wordWrap/>
        <w:overflowPunct/>
        <w:topLinePunct w:val="0"/>
        <w:autoSpaceDE/>
        <w:autoSpaceDN/>
        <w:bidi w:val="0"/>
        <w:adjustRightInd/>
        <w:snapToGrid/>
        <w:spacing w:line="560" w:lineRule="exact"/>
        <w:ind w:left="0"/>
        <w:textAlignment w:val="auto"/>
      </w:pPr>
    </w:p>
    <w:p>
      <w:pPr>
        <w:pageBreakBefore w:val="0"/>
        <w:widowControl/>
        <w:kinsoku/>
        <w:wordWrap/>
        <w:overflowPunct/>
        <w:topLinePunct w:val="0"/>
        <w:autoSpaceDE/>
        <w:autoSpaceDN/>
        <w:bidi w:val="0"/>
        <w:adjustRightInd/>
        <w:snapToGrid/>
        <w:spacing w:line="560" w:lineRule="exact"/>
        <w:ind w:left="0"/>
        <w:textAlignment w:val="auto"/>
      </w:pPr>
    </w:p>
    <w:p>
      <w:pPr>
        <w:pageBreakBefore w:val="0"/>
        <w:widowControl/>
        <w:kinsoku/>
        <w:wordWrap/>
        <w:overflowPunct/>
        <w:topLinePunct w:val="0"/>
        <w:autoSpaceDE/>
        <w:autoSpaceDN/>
        <w:bidi w:val="0"/>
        <w:adjustRightInd/>
        <w:snapToGrid/>
        <w:spacing w:line="560" w:lineRule="exact"/>
        <w:ind w:left="0"/>
        <w:textAlignment w:val="auto"/>
      </w:pPr>
    </w:p>
    <w:p>
      <w:pPr>
        <w:pageBreakBefore w:val="0"/>
        <w:widowControl/>
        <w:kinsoku/>
        <w:wordWrap/>
        <w:overflowPunct/>
        <w:topLinePunct w:val="0"/>
        <w:autoSpaceDE/>
        <w:autoSpaceDN/>
        <w:bidi w:val="0"/>
        <w:adjustRightInd/>
        <w:snapToGrid/>
        <w:spacing w:line="560" w:lineRule="exact"/>
        <w:ind w:left="0"/>
        <w:textAlignment w:val="auto"/>
      </w:pPr>
    </w:p>
    <w:p>
      <w:pPr>
        <w:pageBreakBefore w:val="0"/>
        <w:widowControl/>
        <w:kinsoku/>
        <w:wordWrap/>
        <w:overflowPunct/>
        <w:topLinePunct w:val="0"/>
        <w:autoSpaceDE/>
        <w:autoSpaceDN/>
        <w:bidi w:val="0"/>
        <w:adjustRightInd/>
        <w:snapToGrid/>
        <w:spacing w:line="560" w:lineRule="exact"/>
        <w:ind w:left="0"/>
        <w:textAlignment w:val="auto"/>
      </w:pPr>
    </w:p>
    <w:p>
      <w:pPr>
        <w:pageBreakBefore w:val="0"/>
        <w:widowControl/>
        <w:kinsoku/>
        <w:wordWrap/>
        <w:overflowPunct/>
        <w:topLinePunct w:val="0"/>
        <w:autoSpaceDE/>
        <w:autoSpaceDN/>
        <w:bidi w:val="0"/>
        <w:adjustRightInd/>
        <w:snapToGrid/>
        <w:spacing w:line="560" w:lineRule="exact"/>
        <w:ind w:left="0"/>
        <w:textAlignment w:val="auto"/>
      </w:pPr>
    </w:p>
    <w:p>
      <w:pPr>
        <w:pageBreakBefore w:val="0"/>
        <w:widowControl/>
        <w:kinsoku/>
        <w:wordWrap/>
        <w:overflowPunct/>
        <w:topLinePunct w:val="0"/>
        <w:autoSpaceDE/>
        <w:autoSpaceDN/>
        <w:bidi w:val="0"/>
        <w:adjustRightInd/>
        <w:snapToGrid/>
        <w:spacing w:line="560" w:lineRule="exact"/>
        <w:ind w:left="0"/>
        <w:textAlignment w:val="auto"/>
      </w:pPr>
    </w:p>
    <w:p>
      <w:pPr>
        <w:pStyle w:val="2"/>
      </w:pPr>
      <w:r>
        <w:drawing>
          <wp:anchor distT="0" distB="0" distL="114300" distR="114300" simplePos="0" relativeHeight="251660288" behindDoc="0" locked="0" layoutInCell="1" allowOverlap="1">
            <wp:simplePos x="0" y="0"/>
            <wp:positionH relativeFrom="column">
              <wp:posOffset>48260</wp:posOffset>
            </wp:positionH>
            <wp:positionV relativeFrom="paragraph">
              <wp:posOffset>-470535</wp:posOffset>
            </wp:positionV>
            <wp:extent cx="5477510" cy="8152765"/>
            <wp:effectExtent l="0" t="0" r="8890" b="635"/>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grayscl/>
                    </a:blip>
                    <a:stretch>
                      <a:fillRect/>
                    </a:stretch>
                  </pic:blipFill>
                  <pic:spPr>
                    <a:xfrm>
                      <a:off x="0" y="0"/>
                      <a:ext cx="5477510" cy="8152765"/>
                    </a:xfrm>
                    <a:prstGeom prst="rect">
                      <a:avLst/>
                    </a:prstGeom>
                    <a:noFill/>
                    <a:ln>
                      <a:noFill/>
                    </a:ln>
                  </pic:spPr>
                </pic:pic>
              </a:graphicData>
            </a:graphic>
          </wp:anchor>
        </w:drawing>
      </w:r>
    </w:p>
    <w:p>
      <w:pPr>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
      <w:pPr>
        <w:pStyle w:val="2"/>
      </w:pPr>
    </w:p>
    <w:p/>
    <w:p>
      <w:pPr>
        <w:pStyle w:val="2"/>
      </w:pPr>
    </w:p>
    <w:p/>
    <w:p>
      <w:pPr>
        <w:pStyle w:val="2"/>
      </w:pPr>
    </w:p>
    <w:p/>
    <w:p>
      <w:pPr>
        <w:pStyle w:val="2"/>
      </w:pPr>
    </w:p>
    <w:p/>
    <w:p>
      <w:pPr>
        <w:pStyle w:val="2"/>
      </w:pPr>
    </w:p>
    <w:p/>
    <w:p>
      <w:pPr>
        <w:pStyle w:val="2"/>
      </w:pPr>
      <w:r>
        <w:drawing>
          <wp:anchor distT="0" distB="0" distL="114300" distR="114300" simplePos="0" relativeHeight="251661312" behindDoc="0" locked="0" layoutInCell="1" allowOverlap="1">
            <wp:simplePos x="0" y="0"/>
            <wp:positionH relativeFrom="column">
              <wp:posOffset>86995</wp:posOffset>
            </wp:positionH>
            <wp:positionV relativeFrom="paragraph">
              <wp:posOffset>38100</wp:posOffset>
            </wp:positionV>
            <wp:extent cx="5483225" cy="8077200"/>
            <wp:effectExtent l="0" t="0" r="3175"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grayscl/>
                    </a:blip>
                    <a:stretch>
                      <a:fillRect/>
                    </a:stretch>
                  </pic:blipFill>
                  <pic:spPr>
                    <a:xfrm>
                      <a:off x="0" y="0"/>
                      <a:ext cx="5483225" cy="8077200"/>
                    </a:xfrm>
                    <a:prstGeom prst="rect">
                      <a:avLst/>
                    </a:prstGeom>
                    <a:noFill/>
                    <a:ln>
                      <a:noFill/>
                    </a:ln>
                  </pic:spPr>
                </pic:pic>
              </a:graphicData>
            </a:graphic>
          </wp:anchor>
        </w:drawing>
      </w:r>
    </w:p>
    <w:p>
      <w:pPr>
        <w:pStyle w:val="2"/>
        <w:pageBreakBefore w:val="0"/>
        <w:widowControl/>
        <w:kinsoku/>
        <w:wordWrap/>
        <w:overflowPunct/>
        <w:topLinePunct w:val="0"/>
        <w:autoSpaceDE/>
        <w:autoSpaceDN/>
        <w:bidi w:val="0"/>
        <w:adjustRightInd/>
        <w:snapToGrid/>
        <w:spacing w:line="560" w:lineRule="exact"/>
        <w:ind w:left="0"/>
        <w:textAlignment w:val="auto"/>
      </w:pPr>
    </w:p>
    <w:p>
      <w:pPr>
        <w:pageBreakBefore w:val="0"/>
        <w:widowControl/>
        <w:kinsoku/>
        <w:wordWrap/>
        <w:overflowPunct/>
        <w:topLinePunct w:val="0"/>
        <w:autoSpaceDE/>
        <w:autoSpaceDN/>
        <w:bidi w:val="0"/>
        <w:adjustRightInd/>
        <w:snapToGrid/>
        <w:spacing w:line="560" w:lineRule="exact"/>
        <w:ind w:left="0"/>
        <w:textAlignment w:val="auto"/>
      </w:pPr>
    </w:p>
    <w:p>
      <w:pPr>
        <w:pageBreakBefore w:val="0"/>
        <w:widowControl/>
        <w:kinsoku/>
        <w:wordWrap/>
        <w:overflowPunct/>
        <w:topLinePunct w:val="0"/>
        <w:autoSpaceDE/>
        <w:autoSpaceDN/>
        <w:bidi w:val="0"/>
        <w:adjustRightInd/>
        <w:snapToGrid/>
        <w:spacing w:line="560" w:lineRule="exact"/>
        <w:ind w:left="0"/>
        <w:textAlignment w:val="auto"/>
      </w:pPr>
    </w:p>
    <w:p>
      <w:pPr>
        <w:pageBreakBefore w:val="0"/>
        <w:widowControl/>
        <w:kinsoku/>
        <w:wordWrap/>
        <w:overflowPunct/>
        <w:topLinePunct w:val="0"/>
        <w:autoSpaceDE/>
        <w:autoSpaceDN/>
        <w:bidi w:val="0"/>
        <w:adjustRightInd/>
        <w:snapToGrid/>
        <w:spacing w:line="560" w:lineRule="exact"/>
        <w:ind w:left="0"/>
        <w:textAlignment w:val="auto"/>
      </w:pPr>
    </w:p>
    <w:p>
      <w:pPr>
        <w:pageBreakBefore w:val="0"/>
        <w:widowControl/>
        <w:kinsoku/>
        <w:wordWrap/>
        <w:overflowPunct/>
        <w:topLinePunct w:val="0"/>
        <w:autoSpaceDE/>
        <w:autoSpaceDN/>
        <w:bidi w:val="0"/>
        <w:adjustRightInd/>
        <w:snapToGrid/>
        <w:spacing w:line="560" w:lineRule="exact"/>
        <w:ind w:left="0"/>
        <w:textAlignment w:val="auto"/>
      </w:pPr>
    </w:p>
    <w:p>
      <w:pPr>
        <w:pageBreakBefore w:val="0"/>
        <w:widowControl/>
        <w:kinsoku/>
        <w:wordWrap/>
        <w:overflowPunct/>
        <w:topLinePunct w:val="0"/>
        <w:autoSpaceDE/>
        <w:autoSpaceDN/>
        <w:bidi w:val="0"/>
        <w:adjustRightInd/>
        <w:snapToGrid/>
        <w:spacing w:line="560" w:lineRule="exact"/>
        <w:ind w:left="0"/>
        <w:textAlignment w:val="auto"/>
      </w:pPr>
    </w:p>
    <w:p>
      <w:pPr>
        <w:pageBreakBefore w:val="0"/>
        <w:widowControl/>
        <w:kinsoku/>
        <w:wordWrap/>
        <w:overflowPunct/>
        <w:topLinePunct w:val="0"/>
        <w:autoSpaceDE/>
        <w:autoSpaceDN/>
        <w:bidi w:val="0"/>
        <w:adjustRightInd/>
        <w:snapToGrid/>
        <w:spacing w:line="560" w:lineRule="exact"/>
        <w:ind w:left="0"/>
        <w:textAlignment w:val="auto"/>
      </w:pPr>
    </w:p>
    <w:p>
      <w:pPr>
        <w:pageBreakBefore w:val="0"/>
        <w:widowControl/>
        <w:kinsoku/>
        <w:wordWrap/>
        <w:overflowPunct/>
        <w:topLinePunct w:val="0"/>
        <w:autoSpaceDE/>
        <w:autoSpaceDN/>
        <w:bidi w:val="0"/>
        <w:adjustRightInd/>
        <w:snapToGrid/>
        <w:spacing w:line="560" w:lineRule="exact"/>
        <w:ind w:left="0"/>
        <w:textAlignment w:val="auto"/>
      </w:pPr>
    </w:p>
    <w:p>
      <w:pPr>
        <w:pageBreakBefore w:val="0"/>
        <w:widowControl/>
        <w:kinsoku/>
        <w:wordWrap/>
        <w:overflowPunct/>
        <w:topLinePunct w:val="0"/>
        <w:autoSpaceDE/>
        <w:autoSpaceDN/>
        <w:bidi w:val="0"/>
        <w:adjustRightInd/>
        <w:snapToGrid/>
        <w:spacing w:line="560" w:lineRule="exact"/>
        <w:ind w:left="0"/>
        <w:textAlignment w:val="auto"/>
      </w:pPr>
    </w:p>
    <w:p>
      <w:pPr>
        <w:pageBreakBefore w:val="0"/>
        <w:widowControl/>
        <w:kinsoku/>
        <w:wordWrap/>
        <w:overflowPunct/>
        <w:topLinePunct w:val="0"/>
        <w:autoSpaceDE/>
        <w:autoSpaceDN/>
        <w:bidi w:val="0"/>
        <w:adjustRightInd/>
        <w:snapToGrid/>
        <w:spacing w:line="560" w:lineRule="exact"/>
        <w:ind w:left="0"/>
        <w:textAlignment w:val="auto"/>
      </w:pPr>
    </w:p>
    <w:p>
      <w:pPr>
        <w:pStyle w:val="2"/>
      </w:pPr>
    </w:p>
    <w:p/>
    <w:p>
      <w:pPr>
        <w:pStyle w:val="2"/>
      </w:pPr>
    </w:p>
    <w:p/>
    <w:p>
      <w:pPr>
        <w:pStyle w:val="2"/>
      </w:pPr>
    </w:p>
    <w:p/>
    <w:p>
      <w:pPr>
        <w:pageBreakBefore w:val="0"/>
        <w:widowControl/>
        <w:kinsoku/>
        <w:wordWrap/>
        <w:overflowPunct/>
        <w:topLinePunct w:val="0"/>
        <w:autoSpaceDE/>
        <w:autoSpaceDN/>
        <w:bidi w:val="0"/>
        <w:adjustRightInd/>
        <w:snapToGrid/>
        <w:spacing w:line="560" w:lineRule="exact"/>
        <w:ind w:left="0"/>
        <w:textAlignment w:val="auto"/>
      </w:pPr>
      <w:r>
        <w:drawing>
          <wp:anchor distT="0" distB="0" distL="114300" distR="114300" simplePos="0" relativeHeight="251662336" behindDoc="0" locked="0" layoutInCell="1" allowOverlap="1">
            <wp:simplePos x="0" y="0"/>
            <wp:positionH relativeFrom="column">
              <wp:posOffset>95250</wp:posOffset>
            </wp:positionH>
            <wp:positionV relativeFrom="paragraph">
              <wp:posOffset>4445</wp:posOffset>
            </wp:positionV>
            <wp:extent cx="5485130" cy="6674485"/>
            <wp:effectExtent l="0" t="0" r="1270" b="12065"/>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5485130" cy="6674485"/>
                    </a:xfrm>
                    <a:prstGeom prst="rect">
                      <a:avLst/>
                    </a:prstGeom>
                    <a:noFill/>
                    <a:ln>
                      <a:noFill/>
                    </a:ln>
                  </pic:spPr>
                </pic:pic>
              </a:graphicData>
            </a:graphic>
          </wp:anchor>
        </w:drawing>
      </w:r>
    </w:p>
    <w:p>
      <w:pPr>
        <w:pageBreakBefore w:val="0"/>
        <w:widowControl/>
        <w:kinsoku/>
        <w:wordWrap/>
        <w:overflowPunct/>
        <w:topLinePunct w:val="0"/>
        <w:autoSpaceDE/>
        <w:autoSpaceDN/>
        <w:bidi w:val="0"/>
        <w:adjustRightInd/>
        <w:snapToGrid/>
        <w:spacing w:line="560" w:lineRule="exact"/>
        <w:ind w:left="0"/>
        <w:textAlignment w:val="auto"/>
      </w:pPr>
    </w:p>
    <w:p>
      <w:pPr>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Pr>
        <w:pageBreakBefore w:val="0"/>
        <w:widowControl/>
        <w:kinsoku/>
        <w:wordWrap/>
        <w:overflowPunct/>
        <w:topLinePunct w:val="0"/>
        <w:autoSpaceDE/>
        <w:autoSpaceDN/>
        <w:bidi w:val="0"/>
        <w:adjustRightInd/>
        <w:snapToGrid/>
        <w:spacing w:line="560" w:lineRule="exact"/>
        <w:ind w:left="0"/>
        <w:textAlignment w:val="auto"/>
      </w:pPr>
    </w:p>
    <w:p>
      <w:pPr>
        <w:pageBreakBefore w:val="0"/>
        <w:widowControl/>
        <w:kinsoku/>
        <w:wordWrap/>
        <w:overflowPunct/>
        <w:topLinePunct w:val="0"/>
        <w:autoSpaceDE/>
        <w:autoSpaceDN/>
        <w:bidi w:val="0"/>
        <w:adjustRightInd/>
        <w:snapToGrid/>
        <w:spacing w:line="560" w:lineRule="exact"/>
        <w:ind w:left="0"/>
        <w:textAlignment w:val="auto"/>
      </w:pPr>
    </w:p>
    <w:p>
      <w:pPr>
        <w:pStyle w:val="2"/>
      </w:pPr>
    </w:p>
    <w:p/>
    <w:p>
      <w:pPr>
        <w:pStyle w:val="2"/>
      </w:pPr>
      <w:r>
        <w:drawing>
          <wp:anchor distT="0" distB="0" distL="114300" distR="114300" simplePos="0" relativeHeight="251667456" behindDoc="0" locked="0" layoutInCell="1" allowOverlap="1">
            <wp:simplePos x="0" y="0"/>
            <wp:positionH relativeFrom="column">
              <wp:posOffset>-87630</wp:posOffset>
            </wp:positionH>
            <wp:positionV relativeFrom="paragraph">
              <wp:posOffset>-163195</wp:posOffset>
            </wp:positionV>
            <wp:extent cx="5479415" cy="8178165"/>
            <wp:effectExtent l="0" t="0" r="6985" b="13335"/>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grayscl/>
                    </a:blip>
                    <a:stretch>
                      <a:fillRect/>
                    </a:stretch>
                  </pic:blipFill>
                  <pic:spPr>
                    <a:xfrm>
                      <a:off x="0" y="0"/>
                      <a:ext cx="5479415" cy="8178165"/>
                    </a:xfrm>
                    <a:prstGeom prst="rect">
                      <a:avLst/>
                    </a:prstGeom>
                    <a:noFill/>
                    <a:ln>
                      <a:noFill/>
                    </a:ln>
                  </pic:spPr>
                </pic:pic>
              </a:graphicData>
            </a:graphic>
          </wp:anchor>
        </w:drawing>
      </w:r>
    </w:p>
    <w:p/>
    <w:p>
      <w:pPr>
        <w:pStyle w:val="2"/>
      </w:pPr>
    </w:p>
    <w:p/>
    <w:p>
      <w:pPr>
        <w:pStyle w:val="2"/>
      </w:pPr>
    </w:p>
    <w:p/>
    <w:p>
      <w:pPr>
        <w:pStyle w:val="2"/>
      </w:pPr>
    </w:p>
    <w:p/>
    <w:p>
      <w:pPr>
        <w:pStyle w:val="2"/>
      </w:pPr>
    </w:p>
    <w:p/>
    <w:p>
      <w:pPr>
        <w:pStyle w:val="2"/>
      </w:pPr>
    </w:p>
    <w:p/>
    <w:p>
      <w:pPr>
        <w:pStyle w:val="2"/>
      </w:pPr>
    </w:p>
    <w:p/>
    <w:p>
      <w:pPr>
        <w:pStyle w:val="2"/>
      </w:pPr>
    </w:p>
    <w:p/>
    <w:p/>
    <w:p>
      <w:pPr>
        <w:pStyle w:val="2"/>
      </w:pPr>
    </w:p>
    <w:p/>
    <w:p>
      <w:pPr>
        <w:pageBreakBefore w:val="0"/>
        <w:widowControl/>
        <w:kinsoku/>
        <w:wordWrap/>
        <w:overflowPunct/>
        <w:topLinePunct w:val="0"/>
        <w:autoSpaceDE/>
        <w:autoSpaceDN/>
        <w:bidi w:val="0"/>
        <w:adjustRightInd/>
        <w:snapToGrid/>
        <w:spacing w:line="560" w:lineRule="exact"/>
        <w:ind w:left="0"/>
        <w:textAlignment w:val="auto"/>
      </w:pPr>
      <w:r>
        <w:drawing>
          <wp:anchor distT="0" distB="0" distL="114300" distR="114300" simplePos="0" relativeHeight="251663360" behindDoc="0" locked="0" layoutInCell="1" allowOverlap="1">
            <wp:simplePos x="0" y="0"/>
            <wp:positionH relativeFrom="column">
              <wp:posOffset>-40005</wp:posOffset>
            </wp:positionH>
            <wp:positionV relativeFrom="paragraph">
              <wp:posOffset>-135255</wp:posOffset>
            </wp:positionV>
            <wp:extent cx="5479415" cy="8072755"/>
            <wp:effectExtent l="0" t="0" r="6985" b="4445"/>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1"/>
                    <a:stretch>
                      <a:fillRect/>
                    </a:stretch>
                  </pic:blipFill>
                  <pic:spPr>
                    <a:xfrm>
                      <a:off x="0" y="0"/>
                      <a:ext cx="5479415" cy="8072755"/>
                    </a:xfrm>
                    <a:prstGeom prst="rect">
                      <a:avLst/>
                    </a:prstGeom>
                    <a:noFill/>
                    <a:ln>
                      <a:noFill/>
                    </a:ln>
                  </pic:spPr>
                </pic:pic>
              </a:graphicData>
            </a:graphic>
          </wp:anchor>
        </w:drawing>
      </w:r>
    </w:p>
    <w:p>
      <w:pPr>
        <w:pStyle w:val="2"/>
      </w:pPr>
    </w:p>
    <w:p/>
    <w:p>
      <w:pPr>
        <w:pStyle w:val="2"/>
      </w:pPr>
    </w:p>
    <w:p/>
    <w:p>
      <w:pPr>
        <w:pStyle w:val="2"/>
      </w:pPr>
    </w:p>
    <w:p/>
    <w:p>
      <w:pPr>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r>
        <w:drawing>
          <wp:anchor distT="0" distB="0" distL="114300" distR="114300" simplePos="0" relativeHeight="251664384" behindDoc="0" locked="0" layoutInCell="1" allowOverlap="1">
            <wp:simplePos x="0" y="0"/>
            <wp:positionH relativeFrom="column">
              <wp:posOffset>31750</wp:posOffset>
            </wp:positionH>
            <wp:positionV relativeFrom="paragraph">
              <wp:posOffset>70485</wp:posOffset>
            </wp:positionV>
            <wp:extent cx="5479415" cy="2571750"/>
            <wp:effectExtent l="0" t="0" r="6985"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a:grayscl/>
                    </a:blip>
                    <a:stretch>
                      <a:fillRect/>
                    </a:stretch>
                  </pic:blipFill>
                  <pic:spPr>
                    <a:xfrm>
                      <a:off x="0" y="0"/>
                      <a:ext cx="5479415" cy="2571750"/>
                    </a:xfrm>
                    <a:prstGeom prst="rect">
                      <a:avLst/>
                    </a:prstGeom>
                    <a:noFill/>
                    <a:ln>
                      <a:noFill/>
                    </a:ln>
                  </pic:spPr>
                </pic:pic>
              </a:graphicData>
            </a:graphic>
          </wp:anchor>
        </w:drawing>
      </w:r>
    </w:p>
    <w:p>
      <w:pPr>
        <w:pStyle w:val="2"/>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Pr>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Pr>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r>
        <w:drawing>
          <wp:anchor distT="0" distB="0" distL="114300" distR="114300" simplePos="0" relativeHeight="251665408" behindDoc="0" locked="0" layoutInCell="1" allowOverlap="1">
            <wp:simplePos x="0" y="0"/>
            <wp:positionH relativeFrom="column">
              <wp:posOffset>0</wp:posOffset>
            </wp:positionH>
            <wp:positionV relativeFrom="paragraph">
              <wp:posOffset>440055</wp:posOffset>
            </wp:positionV>
            <wp:extent cx="5482590" cy="2012315"/>
            <wp:effectExtent l="0" t="0" r="3810" b="6985"/>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3">
                      <a:grayscl/>
                    </a:blip>
                    <a:stretch>
                      <a:fillRect/>
                    </a:stretch>
                  </pic:blipFill>
                  <pic:spPr>
                    <a:xfrm>
                      <a:off x="0" y="0"/>
                      <a:ext cx="5482590" cy="2012315"/>
                    </a:xfrm>
                    <a:prstGeom prst="rect">
                      <a:avLst/>
                    </a:prstGeom>
                    <a:noFill/>
                    <a:ln>
                      <a:noFill/>
                    </a:ln>
                  </pic:spPr>
                </pic:pic>
              </a:graphicData>
            </a:graphic>
          </wp:anchor>
        </w:drawing>
      </w:r>
    </w:p>
    <w:p>
      <w:pPr>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Pr>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Pr>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Pr>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Pr>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Pr>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Pr>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r>
        <w:drawing>
          <wp:anchor distT="0" distB="0" distL="114300" distR="114300" simplePos="0" relativeHeight="251666432" behindDoc="0" locked="0" layoutInCell="1" allowOverlap="1">
            <wp:simplePos x="0" y="0"/>
            <wp:positionH relativeFrom="column">
              <wp:posOffset>47625</wp:posOffset>
            </wp:positionH>
            <wp:positionV relativeFrom="paragraph">
              <wp:posOffset>381000</wp:posOffset>
            </wp:positionV>
            <wp:extent cx="5476240" cy="2214245"/>
            <wp:effectExtent l="0" t="0" r="10160" b="14605"/>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4">
                      <a:grayscl/>
                    </a:blip>
                    <a:stretch>
                      <a:fillRect/>
                    </a:stretch>
                  </pic:blipFill>
                  <pic:spPr>
                    <a:xfrm>
                      <a:off x="0" y="0"/>
                      <a:ext cx="5476240" cy="2214245"/>
                    </a:xfrm>
                    <a:prstGeom prst="rect">
                      <a:avLst/>
                    </a:prstGeom>
                    <a:noFill/>
                    <a:ln>
                      <a:noFill/>
                    </a:ln>
                  </pic:spPr>
                </pic:pic>
              </a:graphicData>
            </a:graphic>
          </wp:anchor>
        </w:drawing>
      </w:r>
    </w:p>
    <w:p>
      <w:pPr>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Pr>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Pr>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Pr>
        <w:pageBreakBefore w:val="0"/>
        <w:widowControl/>
        <w:kinsoku/>
        <w:wordWrap/>
        <w:overflowPunct/>
        <w:topLinePunct w:val="0"/>
        <w:autoSpaceDE/>
        <w:autoSpaceDN/>
        <w:bidi w:val="0"/>
        <w:adjustRightInd/>
        <w:snapToGrid/>
        <w:spacing w:line="560" w:lineRule="exact"/>
        <w:ind w:left="0"/>
        <w:textAlignment w:val="auto"/>
      </w:pPr>
    </w:p>
    <w:p>
      <w:pPr>
        <w:pStyle w:val="2"/>
        <w:pageBreakBefore w:val="0"/>
        <w:widowControl/>
        <w:kinsoku/>
        <w:wordWrap/>
        <w:overflowPunct/>
        <w:topLinePunct w:val="0"/>
        <w:autoSpaceDE/>
        <w:autoSpaceDN/>
        <w:bidi w:val="0"/>
        <w:adjustRightInd/>
        <w:snapToGrid/>
        <w:spacing w:line="560" w:lineRule="exact"/>
        <w:ind w:left="0"/>
        <w:textAlignment w:val="auto"/>
      </w:pPr>
    </w:p>
    <w:p>
      <w:pPr>
        <w:pageBreakBefore w:val="0"/>
        <w:widowControl/>
        <w:kinsoku/>
        <w:wordWrap/>
        <w:overflowPunct/>
        <w:topLinePunct w:val="0"/>
        <w:autoSpaceDE/>
        <w:autoSpaceDN/>
        <w:bidi w:val="0"/>
        <w:adjustRightInd/>
        <w:snapToGrid/>
        <w:spacing w:line="560" w:lineRule="exact"/>
        <w:ind w:left="0"/>
        <w:textAlignment w:val="auto"/>
      </w:pP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abstractNum>
  <w:abstractNum w:abstractNumId="1">
    <w:nsid w:val="0053208E"/>
    <w:multiLevelType w:val="multilevel"/>
    <w:tmpl w:val="0053208E"/>
    <w:lvl w:ilvl="0" w:tentative="0">
      <w:start w:val="1"/>
      <w:numFmt w:val="decimal"/>
      <w:suff w:val="nothing"/>
      <w:lvlText w:val="%1."/>
      <w:lvlJc w:val="left"/>
      <w:pPr>
        <w:spacing w:before="0" w:beforeLines="0" w:beforeAutospacing="0" w:line="240" w:lineRule="auto"/>
        <w:ind w:left="20" w:firstLine="640" w:firstLineChars="200"/>
      </w:pPr>
      <w:rPr>
        <w:rFonts w:hint="default"/>
        <w:b w:val="0"/>
        <w:bCs w:val="0"/>
        <w:sz w:val="28"/>
        <w:szCs w:val="28"/>
      </w:r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abstractNum>
  <w:abstractNum w:abstractNumId="2">
    <w:nsid w:val="59ADCABA"/>
    <w:multiLevelType w:val="multilevel"/>
    <w:tmpl w:val="59ADCABA"/>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84CE9"/>
    <w:rsid w:val="015F254D"/>
    <w:rsid w:val="02E92054"/>
    <w:rsid w:val="046C12F6"/>
    <w:rsid w:val="0619570F"/>
    <w:rsid w:val="06721621"/>
    <w:rsid w:val="07572B98"/>
    <w:rsid w:val="075D3281"/>
    <w:rsid w:val="08973524"/>
    <w:rsid w:val="0F7A4A71"/>
    <w:rsid w:val="11911854"/>
    <w:rsid w:val="12041F1C"/>
    <w:rsid w:val="12D2386F"/>
    <w:rsid w:val="155532C6"/>
    <w:rsid w:val="16787375"/>
    <w:rsid w:val="16E704A1"/>
    <w:rsid w:val="18997E67"/>
    <w:rsid w:val="1CE34147"/>
    <w:rsid w:val="202D3756"/>
    <w:rsid w:val="21C32001"/>
    <w:rsid w:val="21F8754A"/>
    <w:rsid w:val="249F6523"/>
    <w:rsid w:val="26AD2A00"/>
    <w:rsid w:val="29B11D74"/>
    <w:rsid w:val="29C42F93"/>
    <w:rsid w:val="2B2A3CEF"/>
    <w:rsid w:val="2C3147A9"/>
    <w:rsid w:val="2E06778F"/>
    <w:rsid w:val="2E136AA5"/>
    <w:rsid w:val="2E932876"/>
    <w:rsid w:val="2EA94A1A"/>
    <w:rsid w:val="30C90297"/>
    <w:rsid w:val="34430B82"/>
    <w:rsid w:val="34881F3C"/>
    <w:rsid w:val="3598397D"/>
    <w:rsid w:val="36286165"/>
    <w:rsid w:val="39A43E9E"/>
    <w:rsid w:val="39F374A0"/>
    <w:rsid w:val="3A047D68"/>
    <w:rsid w:val="3BB4167F"/>
    <w:rsid w:val="3D2C346A"/>
    <w:rsid w:val="3E7B5A11"/>
    <w:rsid w:val="3F235B23"/>
    <w:rsid w:val="3F897D04"/>
    <w:rsid w:val="41624E72"/>
    <w:rsid w:val="42467560"/>
    <w:rsid w:val="446A634B"/>
    <w:rsid w:val="44FA23B6"/>
    <w:rsid w:val="450C3955"/>
    <w:rsid w:val="456E0177"/>
    <w:rsid w:val="464F2CE8"/>
    <w:rsid w:val="48CC307C"/>
    <w:rsid w:val="499F3FF8"/>
    <w:rsid w:val="4FB07E4C"/>
    <w:rsid w:val="527F162F"/>
    <w:rsid w:val="558D65E8"/>
    <w:rsid w:val="55A77192"/>
    <w:rsid w:val="55C754C8"/>
    <w:rsid w:val="55F65D29"/>
    <w:rsid w:val="56C03BC2"/>
    <w:rsid w:val="56D0597B"/>
    <w:rsid w:val="598D0372"/>
    <w:rsid w:val="5ACF2987"/>
    <w:rsid w:val="5BEB1E5A"/>
    <w:rsid w:val="5F600208"/>
    <w:rsid w:val="605260A3"/>
    <w:rsid w:val="608102DF"/>
    <w:rsid w:val="608F2E78"/>
    <w:rsid w:val="60B707B9"/>
    <w:rsid w:val="61122F77"/>
    <w:rsid w:val="64A864B1"/>
    <w:rsid w:val="681306CB"/>
    <w:rsid w:val="683C1890"/>
    <w:rsid w:val="6A465168"/>
    <w:rsid w:val="6AAB290E"/>
    <w:rsid w:val="6BA73AAA"/>
    <w:rsid w:val="6C3C1DA0"/>
    <w:rsid w:val="6C953733"/>
    <w:rsid w:val="6D891A42"/>
    <w:rsid w:val="6DA65016"/>
    <w:rsid w:val="6EC95C51"/>
    <w:rsid w:val="6F7123E9"/>
    <w:rsid w:val="6FA73FBA"/>
    <w:rsid w:val="700C3CDF"/>
    <w:rsid w:val="701B1D7B"/>
    <w:rsid w:val="71876A4E"/>
    <w:rsid w:val="73A50FC7"/>
    <w:rsid w:val="741B228B"/>
    <w:rsid w:val="751D5331"/>
    <w:rsid w:val="76D95090"/>
    <w:rsid w:val="78333CB1"/>
    <w:rsid w:val="788D17D5"/>
    <w:rsid w:val="7C8B67E2"/>
    <w:rsid w:val="7D861EFD"/>
    <w:rsid w:val="7FA4233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2">
    <w:name w:val="Title Char"/>
    <w:basedOn w:val="13"/>
    <w:link w:val="10"/>
    <w:qFormat/>
    <w:uiPriority w:val="10"/>
    <w:rPr>
      <w:rFonts w:asciiTheme="majorHAnsi" w:hAnsiTheme="majorHAnsi" w:eastAsiaTheme="majorEastAsia" w:cstheme="majorBidi"/>
      <w:color w:val="17375E" w:themeColor="text2" w:themeShade="BF"/>
      <w:spacing w:val="5"/>
      <w:kern w:val="28"/>
      <w:sz w:val="52"/>
      <w:szCs w:val="52"/>
    </w:rPr>
  </w:style>
  <w:style w:type="paragraph" w:customStyle="1" w:styleId="23">
    <w:name w:val="List Paragraph"/>
    <w:basedOn w:val="1"/>
    <w:qFormat/>
    <w:uiPriority w:val="0"/>
    <w:pPr>
      <w:ind w:firstLine="420" w:firstLineChars="200"/>
    </w:pPr>
  </w:style>
  <w:style w:type="paragraph" w:customStyle="1" w:styleId="24">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2025-08-13T12:04:00Z</dcterms:created>
  <dc:creator>Administrator</dc:creator>
  <cp:lastModifiedBy>lenovo</cp:lastModifiedBy>
  <dcterms:modified xsi:type="dcterms:W3CDTF">2025-09-02T08:13:22Z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C38FB696B54347EC892FDA487D769A6C</vt:lpwstr>
  </property>
</Properties>
</file>