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0" w:beforeLines="0" w:beforeAutospacing="0" w:after="0" w:afterLines="0" w:afterAutospacing="0" w:line="240" w:lineRule="auto"/>
        <w:jc w:val="left"/>
        <w:rPr>
          <w:rFonts w:ascii="宋体" w:eastAsia="宋体"/>
          <w:sz w:val="32"/>
          <w:szCs w:val="32"/>
        </w:rPr>
      </w:pPr>
    </w:p>
    <w:p>
      <w:pPr>
        <w:widowControl/>
        <w:spacing w:before="0" w:beforeLines="0" w:beforeAutospacing="0" w:after="0" w:afterLines="0" w:afterAutospacing="0" w:line="240" w:lineRule="auto"/>
        <w:jc w:val="left"/>
        <w:rPr>
          <w:rFonts w:ascii="宋体" w:eastAsia="宋体"/>
          <w:sz w:val="44"/>
          <w:szCs w:val="44"/>
        </w:rPr>
      </w:pPr>
    </w:p>
    <w:p>
      <w:pPr>
        <w:widowControl/>
        <w:spacing w:before="0" w:beforeLines="0" w:beforeAutospacing="0" w:after="0" w:afterLines="0" w:afterAutospacing="0" w:line="240" w:lineRule="auto"/>
        <w:jc w:val="left"/>
        <w:rPr>
          <w:rFonts w:ascii="宋体" w:eastAsia="宋体"/>
          <w:sz w:val="44"/>
          <w:szCs w:val="44"/>
        </w:rPr>
      </w:pPr>
    </w:p>
    <w:p>
      <w:pPr>
        <w:widowControl/>
        <w:spacing w:before="0" w:beforeLines="0" w:beforeAutospacing="0" w:after="0" w:afterLines="0" w:afterAutospacing="0" w:line="240" w:lineRule="auto"/>
        <w:jc w:val="left"/>
        <w:rPr>
          <w:rFonts w:ascii="宋体" w:eastAsia="宋体"/>
          <w:sz w:val="44"/>
          <w:szCs w:val="44"/>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Times New Roman" w:hAnsi="Times New Roman" w:eastAsia="方正小标宋_GBK" w:cs="Times New Roman"/>
          <w:color w:val="auto"/>
          <w:kern w:val="2"/>
          <w:sz w:val="40"/>
          <w:szCs w:val="40"/>
          <w:highlight w:val="none"/>
          <w:lang w:val="en-US" w:eastAsia="zh-CN" w:bidi="ar-SA"/>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Times New Roman" w:hAnsi="Times New Roman" w:eastAsia="方正小标宋_GBK" w:cs="Times New Roman"/>
          <w:color w:val="auto"/>
          <w:kern w:val="2"/>
          <w:sz w:val="40"/>
          <w:szCs w:val="40"/>
          <w:highlight w:val="none"/>
          <w:lang w:val="en-US" w:eastAsia="zh-CN" w:bidi="ar-SA"/>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Times New Roman" w:hAnsi="Times New Roman" w:eastAsia="方正小标宋_GBK" w:cs="Times New Roman"/>
          <w:color w:val="auto"/>
          <w:kern w:val="2"/>
          <w:sz w:val="40"/>
          <w:szCs w:val="40"/>
          <w:highlight w:val="none"/>
          <w:lang w:val="en-US" w:eastAsia="zh-CN" w:bidi="ar-SA"/>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Times New Roman" w:hAnsi="Times New Roman" w:eastAsia="方正小标宋_GBK" w:cs="Times New Roman"/>
          <w:color w:val="auto"/>
          <w:kern w:val="2"/>
          <w:sz w:val="40"/>
          <w:szCs w:val="40"/>
          <w:highlight w:val="none"/>
          <w:lang w:val="en-US" w:eastAsia="zh-CN" w:bidi="ar-SA"/>
        </w:rPr>
      </w:pPr>
    </w:p>
    <w:p>
      <w:pPr>
        <w:keepNext w:val="0"/>
        <w:keepLines w:val="0"/>
        <w:pageBreakBefore w:val="0"/>
        <w:widowControl w:val="0"/>
        <w:kinsoku/>
        <w:wordWrap/>
        <w:overflowPunct/>
        <w:topLinePunct w:val="0"/>
        <w:autoSpaceDE/>
        <w:autoSpaceDN/>
        <w:bidi w:val="0"/>
        <w:adjustRightInd/>
        <w:snapToGrid/>
        <w:spacing w:after="0" w:line="560" w:lineRule="exact"/>
        <w:jc w:val="center"/>
        <w:textAlignment w:val="auto"/>
        <w:rPr>
          <w:rFonts w:hint="default" w:ascii="Times New Roman" w:hAnsi="Times New Roman" w:eastAsia="方正小标宋_GBK" w:cs="Times New Roman"/>
          <w:kern w:val="2"/>
          <w:sz w:val="40"/>
          <w:szCs w:val="40"/>
          <w:highlight w:val="none"/>
          <w:lang w:val="en-US" w:eastAsia="zh-CN" w:bidi="ar-SA"/>
        </w:rPr>
      </w:pPr>
      <w:r>
        <w:rPr>
          <w:rFonts w:hint="default" w:ascii="Times New Roman" w:hAnsi="Times New Roman" w:eastAsia="方正小标宋_GBK" w:cs="Times New Roman"/>
          <w:kern w:val="2"/>
          <w:sz w:val="40"/>
          <w:szCs w:val="40"/>
          <w:highlight w:val="none"/>
          <w:lang w:val="en-US" w:eastAsia="zh-CN" w:bidi="ar-SA"/>
        </w:rPr>
        <w:t>库尔勒市建设街道办事处2024年度</w:t>
      </w:r>
    </w:p>
    <w:p>
      <w:pPr>
        <w:keepNext w:val="0"/>
        <w:keepLines w:val="0"/>
        <w:pageBreakBefore w:val="0"/>
        <w:widowControl w:val="0"/>
        <w:kinsoku/>
        <w:wordWrap/>
        <w:overflowPunct/>
        <w:topLinePunct w:val="0"/>
        <w:autoSpaceDE/>
        <w:autoSpaceDN/>
        <w:bidi w:val="0"/>
        <w:adjustRightInd/>
        <w:snapToGrid/>
        <w:spacing w:after="0" w:line="560" w:lineRule="exact"/>
        <w:jc w:val="center"/>
        <w:textAlignment w:val="auto"/>
        <w:rPr>
          <w:rFonts w:hint="default" w:ascii="Times New Roman" w:hAnsi="Times New Roman" w:eastAsia="方正小标宋_GBK" w:cs="Times New Roman"/>
          <w:kern w:val="2"/>
          <w:sz w:val="40"/>
          <w:szCs w:val="40"/>
          <w:highlight w:val="none"/>
          <w:lang w:val="en-US" w:eastAsia="zh-CN" w:bidi="ar-SA"/>
        </w:rPr>
      </w:pPr>
      <w:r>
        <w:rPr>
          <w:rFonts w:hint="default" w:ascii="Times New Roman" w:hAnsi="Times New Roman" w:eastAsia="方正小标宋_GBK" w:cs="Times New Roman"/>
          <w:kern w:val="2"/>
          <w:sz w:val="40"/>
          <w:szCs w:val="40"/>
          <w:highlight w:val="none"/>
          <w:lang w:val="en-US" w:eastAsia="zh-CN" w:bidi="ar-SA"/>
        </w:rPr>
        <w:t>部门决算公开说明</w:t>
      </w:r>
    </w:p>
    <w:p>
      <w:pPr>
        <w:keepNext w:val="0"/>
        <w:keepLines w:val="0"/>
        <w:pageBreakBefore w:val="0"/>
        <w:widowControl w:val="0"/>
        <w:kinsoku/>
        <w:wordWrap/>
        <w:overflowPunct/>
        <w:topLinePunct w:val="0"/>
        <w:autoSpaceDE/>
        <w:autoSpaceDN/>
        <w:bidi w:val="0"/>
        <w:adjustRightInd/>
        <w:snapToGrid/>
        <w:spacing w:after="0" w:line="560" w:lineRule="exact"/>
        <w:jc w:val="center"/>
        <w:textAlignment w:val="auto"/>
        <w:rPr>
          <w:rFonts w:hint="eastAsia" w:ascii="Times New Roman" w:hAnsi="Times New Roman" w:eastAsia="方正小标宋_GBK" w:cs="Times New Roman"/>
          <w:kern w:val="2"/>
          <w:sz w:val="40"/>
          <w:szCs w:val="40"/>
          <w:highlight w:val="none"/>
          <w:lang w:val="en-US" w:eastAsia="zh-CN" w:bidi="ar-SA"/>
        </w:rPr>
      </w:pPr>
      <w:r>
        <w:rPr>
          <w:rFonts w:hint="eastAsia" w:ascii="Times New Roman" w:hAnsi="Times New Roman" w:eastAsia="方正小标宋_GBK" w:cs="Times New Roman"/>
          <w:kern w:val="2"/>
          <w:sz w:val="40"/>
          <w:szCs w:val="40"/>
          <w:highlight w:val="none"/>
          <w:lang w:val="en-US" w:eastAsia="zh-CN" w:bidi="ar-SA"/>
        </w:rPr>
        <w:br w:type="page"/>
      </w:r>
    </w:p>
    <w:p>
      <w:pPr>
        <w:widowControl/>
        <w:spacing w:before="0" w:beforeLines="0" w:beforeAutospacing="0" w:after="0" w:afterLines="0" w:afterAutospacing="0" w:line="240" w:lineRule="auto"/>
        <w:jc w:val="center"/>
        <w:rPr>
          <w:rFonts w:hint="eastAsia" w:ascii="Times New Roman" w:hAnsi="Times New Roman" w:eastAsia="方正黑体_GBK" w:cstheme="minorBidi"/>
          <w:b w:val="0"/>
          <w:sz w:val="31"/>
          <w:szCs w:val="32"/>
          <w:lang w:val="en-US" w:eastAsia="zh-CN" w:bidi="ar-SA"/>
        </w:rPr>
      </w:pPr>
      <w:r>
        <w:rPr>
          <w:rFonts w:hint="eastAsia" w:ascii="Times New Roman" w:hAnsi="Times New Roman" w:eastAsia="方正黑体_GBK" w:cstheme="minorBidi"/>
          <w:b w:val="0"/>
          <w:sz w:val="31"/>
          <w:szCs w:val="32"/>
          <w:lang w:val="en-US" w:eastAsia="zh-CN" w:bidi="ar-SA"/>
        </w:rPr>
        <w:t>目录</w:t>
      </w:r>
    </w:p>
    <w:p>
      <w:pPr>
        <w:widowControl/>
        <w:spacing w:before="0" w:beforeLines="0" w:beforeAutospacing="0" w:after="0" w:afterLines="0" w:afterAutospacing="0" w:line="240" w:lineRule="auto"/>
        <w:jc w:val="left"/>
        <w:rPr>
          <w:rFonts w:hint="eastAsia" w:ascii="Times New Roman" w:hAnsi="Times New Roman" w:eastAsia="方正黑体_GBK" w:cstheme="minorBidi"/>
          <w:b w:val="0"/>
          <w:sz w:val="31"/>
          <w:szCs w:val="32"/>
          <w:lang w:val="en-US" w:eastAsia="zh-CN" w:bidi="ar-SA"/>
        </w:rPr>
      </w:pPr>
      <w:r>
        <w:rPr>
          <w:rFonts w:hint="eastAsia" w:ascii="Times New Roman" w:hAnsi="Times New Roman" w:eastAsia="方正黑体_GBK" w:cstheme="minorBidi"/>
          <w:b w:val="0"/>
          <w:sz w:val="31"/>
          <w:szCs w:val="32"/>
          <w:lang w:val="en-US" w:eastAsia="zh-CN" w:bidi="ar-SA"/>
        </w:rPr>
        <w:t>第一部分单位概况</w:t>
      </w:r>
    </w:p>
    <w:p>
      <w:pPr>
        <w:widowControl/>
        <w:spacing w:before="0" w:beforeLines="0" w:beforeAutospacing="0" w:after="0" w:afterLines="0" w:afterAutospacing="0" w:line="240" w:lineRule="auto"/>
        <w:jc w:val="left"/>
        <w:rPr>
          <w:rFonts w:hint="eastAsia" w:ascii="Times New Roman" w:hAnsi="Times New Roman" w:eastAsia="方正黑体_GBK" w:cstheme="minorBidi"/>
          <w:b w:val="0"/>
          <w:sz w:val="31"/>
          <w:szCs w:val="32"/>
          <w:lang w:val="en-US" w:eastAsia="en-US" w:bidi="ar-SA"/>
        </w:rPr>
      </w:pPr>
      <w:r>
        <w:rPr>
          <w:rFonts w:hint="eastAsia" w:ascii="Times New Roman" w:hAnsi="Times New Roman" w:eastAsia="方正黑体_GBK" w:cstheme="minorBidi"/>
          <w:b w:val="0"/>
          <w:sz w:val="31"/>
          <w:szCs w:val="32"/>
          <w:lang w:val="en-US" w:eastAsia="en-US" w:bidi="ar-SA"/>
        </w:rPr>
        <w:t>一、主要职能</w:t>
      </w:r>
    </w:p>
    <w:p>
      <w:pPr>
        <w:widowControl/>
        <w:spacing w:before="0" w:beforeLines="0" w:beforeAutospacing="0" w:after="0" w:afterLines="0" w:afterAutospacing="0" w:line="240" w:lineRule="auto"/>
        <w:jc w:val="left"/>
        <w:rPr>
          <w:rFonts w:hint="eastAsia" w:ascii="Times New Roman" w:hAnsi="Times New Roman" w:eastAsia="方正黑体_GBK" w:cstheme="minorBidi"/>
          <w:b w:val="0"/>
          <w:sz w:val="31"/>
          <w:szCs w:val="32"/>
          <w:lang w:val="en-US" w:eastAsia="en-US" w:bidi="ar-SA"/>
        </w:rPr>
      </w:pPr>
      <w:r>
        <w:rPr>
          <w:rFonts w:hint="eastAsia" w:ascii="Times New Roman" w:hAnsi="Times New Roman" w:eastAsia="方正黑体_GBK" w:cstheme="minorBidi"/>
          <w:b w:val="0"/>
          <w:sz w:val="31"/>
          <w:szCs w:val="32"/>
          <w:lang w:val="en-US" w:eastAsia="en-US" w:bidi="ar-SA"/>
        </w:rPr>
        <w:t>二、机构设置及人员情况</w:t>
      </w:r>
    </w:p>
    <w:p>
      <w:pPr>
        <w:widowControl/>
        <w:spacing w:before="0" w:beforeLines="0" w:beforeAutospacing="0" w:after="0" w:afterLines="0" w:afterAutospacing="0" w:line="240" w:lineRule="auto"/>
        <w:jc w:val="left"/>
        <w:rPr>
          <w:rFonts w:hint="eastAsia" w:ascii="Times New Roman" w:hAnsi="Times New Roman" w:eastAsia="方正黑体_GBK" w:cstheme="minorBidi"/>
          <w:b w:val="0"/>
          <w:sz w:val="31"/>
          <w:szCs w:val="32"/>
          <w:lang w:val="en-US" w:eastAsia="zh-CN" w:bidi="ar-SA"/>
        </w:rPr>
      </w:pPr>
      <w:r>
        <w:rPr>
          <w:rFonts w:hint="eastAsia" w:ascii="Times New Roman" w:hAnsi="Times New Roman" w:eastAsia="方正黑体_GBK" w:cstheme="minorBidi"/>
          <w:b w:val="0"/>
          <w:sz w:val="31"/>
          <w:szCs w:val="32"/>
          <w:lang w:val="en-US" w:eastAsia="zh-CN" w:bidi="ar-SA"/>
        </w:rPr>
        <w:t>第二部分部门决算情况说明</w:t>
      </w:r>
    </w:p>
    <w:p>
      <w:pPr>
        <w:widowControl/>
        <w:spacing w:before="0" w:beforeLines="0" w:beforeAutospacing="0" w:after="0" w:afterLines="0" w:afterAutospacing="0" w:line="240" w:lineRule="auto"/>
        <w:jc w:val="left"/>
        <w:rPr>
          <w:rFonts w:hint="eastAsia" w:ascii="Times New Roman" w:hAnsi="Times New Roman" w:eastAsia="方正黑体_GBK" w:cstheme="minorBidi"/>
          <w:b w:val="0"/>
          <w:sz w:val="31"/>
          <w:szCs w:val="32"/>
          <w:lang w:val="en-US" w:eastAsia="en-US" w:bidi="ar-SA"/>
        </w:rPr>
      </w:pPr>
      <w:r>
        <w:rPr>
          <w:rFonts w:hint="eastAsia" w:ascii="Times New Roman" w:hAnsi="Times New Roman" w:eastAsia="方正黑体_GBK" w:cstheme="minorBidi"/>
          <w:b w:val="0"/>
          <w:sz w:val="31"/>
          <w:szCs w:val="32"/>
          <w:lang w:val="en-US" w:eastAsia="en-US" w:bidi="ar-SA"/>
        </w:rPr>
        <w:t>一、收入支出决算总体情况说明</w:t>
      </w:r>
    </w:p>
    <w:p>
      <w:pPr>
        <w:widowControl/>
        <w:spacing w:before="0" w:beforeLines="0" w:beforeAutospacing="0" w:after="0" w:afterLines="0" w:afterAutospacing="0" w:line="240" w:lineRule="auto"/>
        <w:jc w:val="left"/>
        <w:rPr>
          <w:rFonts w:hint="eastAsia" w:ascii="Times New Roman" w:hAnsi="Times New Roman" w:eastAsia="方正黑体_GBK" w:cstheme="minorBidi"/>
          <w:b w:val="0"/>
          <w:sz w:val="31"/>
          <w:szCs w:val="32"/>
          <w:lang w:val="en-US" w:eastAsia="en-US" w:bidi="ar-SA"/>
        </w:rPr>
      </w:pPr>
      <w:r>
        <w:rPr>
          <w:rFonts w:hint="eastAsia" w:ascii="Times New Roman" w:hAnsi="Times New Roman" w:eastAsia="方正黑体_GBK" w:cstheme="minorBidi"/>
          <w:b w:val="0"/>
          <w:sz w:val="31"/>
          <w:szCs w:val="32"/>
          <w:lang w:val="en-US" w:eastAsia="en-US" w:bidi="ar-SA"/>
        </w:rPr>
        <w:t>二、收入决算情况说明</w:t>
      </w:r>
    </w:p>
    <w:p>
      <w:pPr>
        <w:widowControl/>
        <w:spacing w:before="0" w:beforeLines="0" w:beforeAutospacing="0" w:after="0" w:afterLines="0" w:afterAutospacing="0" w:line="240" w:lineRule="auto"/>
        <w:jc w:val="left"/>
        <w:rPr>
          <w:rFonts w:hint="eastAsia" w:ascii="Times New Roman" w:hAnsi="Times New Roman" w:eastAsia="方正黑体_GBK" w:cstheme="minorBidi"/>
          <w:b w:val="0"/>
          <w:sz w:val="31"/>
          <w:szCs w:val="32"/>
          <w:lang w:val="en-US" w:eastAsia="en-US" w:bidi="ar-SA"/>
        </w:rPr>
      </w:pPr>
      <w:r>
        <w:rPr>
          <w:rFonts w:hint="eastAsia" w:ascii="Times New Roman" w:hAnsi="Times New Roman" w:eastAsia="方正黑体_GBK" w:cstheme="minorBidi"/>
          <w:b w:val="0"/>
          <w:sz w:val="31"/>
          <w:szCs w:val="32"/>
          <w:lang w:val="en-US" w:eastAsia="en-US" w:bidi="ar-SA"/>
        </w:rPr>
        <w:t>三、支出决算情况说明</w:t>
      </w:r>
    </w:p>
    <w:p>
      <w:pPr>
        <w:widowControl/>
        <w:spacing w:before="0" w:beforeLines="0" w:beforeAutospacing="0" w:after="0" w:afterLines="0" w:afterAutospacing="0" w:line="240" w:lineRule="auto"/>
        <w:jc w:val="left"/>
        <w:rPr>
          <w:rFonts w:hint="eastAsia" w:ascii="Times New Roman" w:hAnsi="Times New Roman" w:eastAsia="方正黑体_GBK" w:cstheme="minorBidi"/>
          <w:b w:val="0"/>
          <w:sz w:val="31"/>
          <w:szCs w:val="32"/>
          <w:lang w:val="en-US" w:eastAsia="en-US" w:bidi="ar-SA"/>
        </w:rPr>
      </w:pPr>
      <w:r>
        <w:rPr>
          <w:rFonts w:hint="eastAsia" w:ascii="Times New Roman" w:hAnsi="Times New Roman" w:eastAsia="方正黑体_GBK" w:cstheme="minorBidi"/>
          <w:b w:val="0"/>
          <w:sz w:val="31"/>
          <w:szCs w:val="32"/>
          <w:lang w:val="en-US" w:eastAsia="en-US" w:bidi="ar-SA"/>
        </w:rPr>
        <w:t>四、财政拨款收入支出决算总体情况说明</w:t>
      </w:r>
    </w:p>
    <w:p>
      <w:pPr>
        <w:widowControl/>
        <w:spacing w:before="0" w:beforeLines="0" w:beforeAutospacing="0" w:after="0" w:afterLines="0" w:afterAutospacing="0" w:line="240" w:lineRule="auto"/>
        <w:jc w:val="left"/>
        <w:rPr>
          <w:rFonts w:hint="eastAsia" w:ascii="Times New Roman" w:hAnsi="Times New Roman" w:eastAsia="方正黑体_GBK" w:cstheme="minorBidi"/>
          <w:b w:val="0"/>
          <w:sz w:val="31"/>
          <w:szCs w:val="32"/>
          <w:lang w:val="en-US" w:eastAsia="en-US" w:bidi="ar-SA"/>
        </w:rPr>
      </w:pPr>
      <w:r>
        <w:rPr>
          <w:rFonts w:hint="eastAsia" w:ascii="Times New Roman" w:hAnsi="Times New Roman" w:eastAsia="方正黑体_GBK" w:cstheme="minorBidi"/>
          <w:b w:val="0"/>
          <w:sz w:val="31"/>
          <w:szCs w:val="32"/>
          <w:lang w:val="en-US" w:eastAsia="en-US" w:bidi="ar-SA"/>
        </w:rPr>
        <w:t>五、一般公共预算财政拨款支出决算情况说明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hint="eastAsia" w:ascii="方正楷体_GBK" w:hAnsi="方正楷体_GBK" w:eastAsia="方正楷体_GBK" w:cs="方正楷体_GBK"/>
          <w:b w:val="0"/>
          <w:sz w:val="31"/>
          <w:szCs w:val="31"/>
          <w:lang w:val="en-US" w:eastAsia="en-US" w:bidi="ar-SA"/>
        </w:rPr>
      </w:pPr>
      <w:r>
        <w:rPr>
          <w:rFonts w:hint="eastAsia" w:ascii="方正楷体_GBK" w:hAnsi="方正楷体_GBK" w:eastAsia="方正楷体_GBK" w:cs="方正楷体_GBK"/>
          <w:b w:val="0"/>
          <w:sz w:val="31"/>
          <w:szCs w:val="31"/>
          <w:lang w:val="en-US" w:eastAsia="en-US" w:bidi="ar-SA"/>
        </w:rPr>
        <w:t>（一）一般公共预算财政拨款支出决算总体情况</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hint="eastAsia" w:ascii="方正楷体_GBK" w:hAnsi="方正楷体_GBK" w:eastAsia="方正楷体_GBK" w:cs="方正楷体_GBK"/>
          <w:b w:val="0"/>
          <w:sz w:val="31"/>
          <w:szCs w:val="31"/>
          <w:lang w:val="en-US" w:eastAsia="en-US" w:bidi="ar-SA"/>
        </w:rPr>
      </w:pPr>
      <w:r>
        <w:rPr>
          <w:rFonts w:hint="eastAsia" w:ascii="方正楷体_GBK" w:hAnsi="方正楷体_GBK" w:eastAsia="方正楷体_GBK" w:cs="方正楷体_GBK"/>
          <w:b w:val="0"/>
          <w:sz w:val="31"/>
          <w:szCs w:val="31"/>
          <w:lang w:val="en-US" w:eastAsia="en-US" w:bidi="ar-SA"/>
        </w:rPr>
        <w:t>（二）一般公共预算财政拨款支出决算结构情况</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hint="eastAsia" w:ascii="方正楷体_GBK" w:hAnsi="方正楷体_GBK" w:eastAsia="方正楷体_GBK" w:cs="方正楷体_GBK"/>
          <w:b w:val="0"/>
          <w:sz w:val="31"/>
          <w:szCs w:val="31"/>
          <w:lang w:val="en-US" w:eastAsia="en-US" w:bidi="ar-SA"/>
        </w:rPr>
      </w:pPr>
      <w:r>
        <w:rPr>
          <w:rFonts w:hint="eastAsia" w:ascii="方正楷体_GBK" w:hAnsi="方正楷体_GBK" w:eastAsia="方正楷体_GBK" w:cs="方正楷体_GBK"/>
          <w:b w:val="0"/>
          <w:sz w:val="31"/>
          <w:szCs w:val="31"/>
          <w:lang w:val="en-US" w:eastAsia="en-US" w:bidi="ar-SA"/>
        </w:rPr>
        <w:t>（三）一般公共预算财政拨款支出决算具体情况</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hint="eastAsia" w:ascii="Times New Roman" w:hAnsi="Times New Roman" w:eastAsia="方正黑体_GBK" w:cs="方正仿宋_GBK"/>
          <w:b w:val="0"/>
          <w:bCs w:val="0"/>
          <w:sz w:val="31"/>
          <w:szCs w:val="31"/>
          <w:lang w:val="en-US" w:eastAsia="en-US" w:bidi="ar-SA"/>
        </w:rPr>
      </w:pPr>
      <w:r>
        <w:rPr>
          <w:rFonts w:hint="eastAsia" w:ascii="Times New Roman" w:hAnsi="Times New Roman" w:eastAsia="方正黑体_GBK" w:cs="方正仿宋_GBK"/>
          <w:b w:val="0"/>
          <w:bCs w:val="0"/>
          <w:sz w:val="31"/>
          <w:szCs w:val="31"/>
          <w:lang w:val="en-US" w:eastAsia="en-US" w:bidi="ar-SA"/>
        </w:rPr>
        <w:t>六、一般公共预算财政拨款基本支出决算情况说明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hint="eastAsia" w:ascii="Times New Roman" w:hAnsi="Times New Roman" w:eastAsia="方正黑体_GBK" w:cs="方正仿宋_GBK"/>
          <w:b w:val="0"/>
          <w:bCs w:val="0"/>
          <w:sz w:val="31"/>
          <w:szCs w:val="31"/>
          <w:lang w:val="en-US" w:eastAsia="en-US" w:bidi="ar-SA"/>
        </w:rPr>
      </w:pPr>
      <w:r>
        <w:rPr>
          <w:rFonts w:hint="eastAsia" w:ascii="Times New Roman" w:hAnsi="Times New Roman" w:eastAsia="方正黑体_GBK" w:cs="方正仿宋_GBK"/>
          <w:b w:val="0"/>
          <w:bCs w:val="0"/>
          <w:sz w:val="31"/>
          <w:szCs w:val="31"/>
          <w:lang w:val="en-US" w:eastAsia="en-US" w:bidi="ar-SA"/>
        </w:rPr>
        <w:t>七、政府性基金预算财政拨款收入支出决算情况说明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hint="eastAsia" w:ascii="Times New Roman" w:hAnsi="Times New Roman" w:eastAsia="方正黑体_GBK" w:cs="方正仿宋_GBK"/>
          <w:b w:val="0"/>
          <w:bCs w:val="0"/>
          <w:sz w:val="31"/>
          <w:szCs w:val="31"/>
          <w:lang w:val="en-US" w:eastAsia="en-US" w:bidi="ar-SA"/>
        </w:rPr>
      </w:pPr>
      <w:r>
        <w:rPr>
          <w:rFonts w:hint="eastAsia" w:ascii="Times New Roman" w:hAnsi="Times New Roman" w:eastAsia="方正黑体_GBK" w:cs="方正仿宋_GBK"/>
          <w:b w:val="0"/>
          <w:bCs w:val="0"/>
          <w:sz w:val="31"/>
          <w:szCs w:val="31"/>
          <w:lang w:val="en-US" w:eastAsia="en-US" w:bidi="ar-SA"/>
        </w:rPr>
        <w:t>八、国有资本经营预算财政拨款收入支出决算情况说明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hint="eastAsia" w:ascii="Times New Roman" w:hAnsi="Times New Roman" w:eastAsia="方正黑体_GBK" w:cs="方正仿宋_GBK"/>
          <w:b w:val="0"/>
          <w:bCs w:val="0"/>
          <w:sz w:val="31"/>
          <w:szCs w:val="31"/>
          <w:lang w:val="en-US" w:eastAsia="en-US" w:bidi="ar-SA"/>
        </w:rPr>
      </w:pPr>
      <w:r>
        <w:rPr>
          <w:rFonts w:hint="eastAsia" w:ascii="Times New Roman" w:hAnsi="Times New Roman" w:eastAsia="方正黑体_GBK" w:cs="方正仿宋_GBK"/>
          <w:b w:val="0"/>
          <w:bCs w:val="0"/>
          <w:sz w:val="31"/>
          <w:szCs w:val="31"/>
          <w:lang w:val="en-US" w:eastAsia="en-US" w:bidi="ar-SA"/>
        </w:rPr>
        <w:t>九、财政拨款“三公”经费支出决算情况说明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hint="eastAsia" w:ascii="Times New Roman" w:hAnsi="Times New Roman" w:eastAsia="方正黑体_GBK" w:cs="方正仿宋_GBK"/>
          <w:b w:val="0"/>
          <w:bCs w:val="0"/>
          <w:sz w:val="31"/>
          <w:szCs w:val="31"/>
          <w:lang w:val="en-US" w:eastAsia="en-US" w:bidi="ar-SA"/>
        </w:rPr>
      </w:pPr>
      <w:r>
        <w:rPr>
          <w:rFonts w:hint="eastAsia" w:ascii="Times New Roman" w:hAnsi="Times New Roman" w:eastAsia="方正黑体_GBK" w:cs="方正仿宋_GBK"/>
          <w:b w:val="0"/>
          <w:bCs w:val="0"/>
          <w:sz w:val="31"/>
          <w:szCs w:val="31"/>
          <w:lang w:val="en-US" w:eastAsia="en-US" w:bidi="ar-SA"/>
        </w:rPr>
        <w:t>十、其他重要事项的情况说明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hint="eastAsia" w:ascii="方正楷体_GBK" w:hAnsi="方正楷体_GBK" w:eastAsia="方正楷体_GBK" w:cs="方正楷体_GBK"/>
          <w:b w:val="0"/>
          <w:sz w:val="31"/>
          <w:szCs w:val="31"/>
          <w:lang w:val="en-US" w:eastAsia="en-US" w:bidi="ar-SA"/>
        </w:rPr>
      </w:pPr>
      <w:r>
        <w:rPr>
          <w:rFonts w:hint="eastAsia" w:ascii="方正楷体_GBK" w:hAnsi="方正楷体_GBK" w:eastAsia="方正楷体_GBK" w:cs="方正楷体_GBK"/>
          <w:b w:val="0"/>
          <w:sz w:val="31"/>
          <w:szCs w:val="31"/>
          <w:lang w:val="en-US" w:eastAsia="en-US" w:bidi="ar-SA"/>
        </w:rPr>
        <w:t>（一）机关运行经费及公用经费支出情况</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hint="eastAsia" w:ascii="方正楷体_GBK" w:hAnsi="方正楷体_GBK" w:eastAsia="方正楷体_GBK" w:cs="方正楷体_GBK"/>
          <w:b w:val="0"/>
          <w:sz w:val="31"/>
          <w:szCs w:val="31"/>
          <w:lang w:val="en-US" w:eastAsia="en-US" w:bidi="ar-SA"/>
        </w:rPr>
      </w:pPr>
      <w:r>
        <w:rPr>
          <w:rFonts w:hint="eastAsia" w:ascii="方正楷体_GBK" w:hAnsi="方正楷体_GBK" w:eastAsia="方正楷体_GBK" w:cs="方正楷体_GBK"/>
          <w:b w:val="0"/>
          <w:sz w:val="31"/>
          <w:szCs w:val="31"/>
          <w:lang w:val="en-US" w:eastAsia="en-US" w:bidi="ar-SA"/>
        </w:rPr>
        <w:t>（二）政府采购情况</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hint="eastAsia" w:ascii="方正楷体_GBK" w:hAnsi="方正楷体_GBK" w:eastAsia="方正楷体_GBK" w:cs="方正楷体_GBK"/>
          <w:b w:val="0"/>
          <w:sz w:val="31"/>
          <w:szCs w:val="31"/>
          <w:lang w:val="en-US" w:eastAsia="en-US" w:bidi="ar-SA"/>
        </w:rPr>
      </w:pPr>
      <w:r>
        <w:rPr>
          <w:rFonts w:hint="eastAsia" w:ascii="方正楷体_GBK" w:hAnsi="方正楷体_GBK" w:eastAsia="方正楷体_GBK" w:cs="方正楷体_GBK"/>
          <w:b w:val="0"/>
          <w:sz w:val="31"/>
          <w:szCs w:val="31"/>
          <w:lang w:val="en-US" w:eastAsia="en-US" w:bidi="ar-SA"/>
        </w:rPr>
        <w:t>（三）国有资产占用情况说明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hint="eastAsia" w:ascii="Times New Roman" w:hAnsi="Times New Roman" w:eastAsia="方正黑体_GBK" w:cs="方正仿宋_GBK"/>
          <w:b w:val="0"/>
          <w:bCs w:val="0"/>
          <w:sz w:val="31"/>
          <w:szCs w:val="31"/>
          <w:lang w:val="en-US" w:eastAsia="en-US" w:bidi="ar-SA"/>
        </w:rPr>
      </w:pPr>
      <w:r>
        <w:rPr>
          <w:rFonts w:hint="eastAsia" w:ascii="Times New Roman" w:hAnsi="Times New Roman" w:eastAsia="方正黑体_GBK" w:cs="方正仿宋_GBK"/>
          <w:b w:val="0"/>
          <w:bCs w:val="0"/>
          <w:sz w:val="31"/>
          <w:szCs w:val="31"/>
          <w:lang w:val="en-US" w:eastAsia="en-US" w:bidi="ar-SA"/>
        </w:rPr>
        <w:t>十一、预算绩效的情况说明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hint="eastAsia" w:ascii="Times New Roman" w:hAnsi="Times New Roman" w:eastAsia="方正黑体_GBK" w:cs="方正仿宋_GBK"/>
          <w:b w:val="0"/>
          <w:bCs w:val="0"/>
          <w:sz w:val="31"/>
          <w:szCs w:val="31"/>
          <w:lang w:val="en-US" w:eastAsia="en-US" w:bidi="ar-SA"/>
        </w:rPr>
      </w:pPr>
      <w:r>
        <w:rPr>
          <w:rFonts w:hint="eastAsia" w:ascii="Times New Roman" w:hAnsi="Times New Roman" w:eastAsia="方正黑体_GBK" w:cs="方正仿宋_GBK"/>
          <w:b w:val="0"/>
          <w:bCs w:val="0"/>
          <w:sz w:val="31"/>
          <w:szCs w:val="31"/>
          <w:lang w:val="en-US" w:eastAsia="en-US" w:bidi="ar-SA"/>
        </w:rPr>
        <w:t>十二、其他需说明的事项</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hint="eastAsia" w:ascii="Times New Roman" w:hAnsi="Times New Roman" w:eastAsia="方正黑体_GBK" w:cs="方正仿宋_GBK"/>
          <w:b w:val="0"/>
          <w:bCs w:val="0"/>
          <w:sz w:val="31"/>
          <w:szCs w:val="31"/>
          <w:lang w:val="en-US" w:eastAsia="zh-CN" w:bidi="ar-SA"/>
        </w:rPr>
      </w:pPr>
      <w:r>
        <w:rPr>
          <w:rFonts w:hint="eastAsia" w:ascii="Times New Roman" w:hAnsi="Times New Roman" w:eastAsia="方正黑体_GBK" w:cs="方正仿宋_GBK"/>
          <w:b w:val="0"/>
          <w:bCs w:val="0"/>
          <w:sz w:val="31"/>
          <w:szCs w:val="31"/>
          <w:lang w:val="en-US" w:eastAsia="zh-CN" w:bidi="ar-SA"/>
        </w:rPr>
        <w:t>第三部分专业名词解释</w:t>
      </w:r>
    </w:p>
    <w:p>
      <w:pPr>
        <w:widowControl/>
        <w:spacing w:before="0" w:beforeLines="0" w:beforeAutospacing="0" w:after="0" w:afterLines="0" w:afterAutospacing="0" w:line="240" w:lineRule="auto"/>
        <w:jc w:val="left"/>
        <w:rPr>
          <w:rFonts w:hint="eastAsia" w:ascii="Times New Roman" w:hAnsi="Times New Roman" w:eastAsia="方正黑体_GBK" w:cstheme="minorBidi"/>
          <w:b w:val="0"/>
          <w:sz w:val="31"/>
          <w:szCs w:val="32"/>
          <w:lang w:val="en-US" w:eastAsia="zh-CN" w:bidi="ar-SA"/>
        </w:rPr>
      </w:pPr>
      <w:r>
        <w:rPr>
          <w:rFonts w:hint="eastAsia" w:ascii="Times New Roman" w:hAnsi="Times New Roman" w:eastAsia="方正黑体_GBK" w:cstheme="minorBidi"/>
          <w:b w:val="0"/>
          <w:sz w:val="31"/>
          <w:szCs w:val="32"/>
          <w:lang w:val="en-US" w:eastAsia="zh-CN" w:bidi="ar-SA"/>
        </w:rPr>
        <w:t>第四部分部门决算报表（见附表）</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hint="eastAsia" w:ascii="Times New Roman" w:hAnsi="Times New Roman" w:eastAsia="方正黑体_GBK" w:cs="方正仿宋_GBK"/>
          <w:b w:val="0"/>
          <w:bCs w:val="0"/>
          <w:sz w:val="31"/>
          <w:szCs w:val="31"/>
          <w:lang w:val="en-US" w:eastAsia="en-US" w:bidi="ar-SA"/>
        </w:rPr>
      </w:pPr>
      <w:r>
        <w:rPr>
          <w:rFonts w:hint="eastAsia" w:ascii="Times New Roman" w:hAnsi="Times New Roman" w:eastAsia="方正黑体_GBK" w:cs="方正仿宋_GBK"/>
          <w:b w:val="0"/>
          <w:bCs w:val="0"/>
          <w:sz w:val="31"/>
          <w:szCs w:val="31"/>
          <w:lang w:val="en-US" w:eastAsia="en-US" w:bidi="ar-SA"/>
        </w:rPr>
        <w:t>一、《收入支出决算总表》</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hint="eastAsia" w:ascii="Times New Roman" w:hAnsi="Times New Roman" w:eastAsia="方正黑体_GBK" w:cs="方正仿宋_GBK"/>
          <w:b w:val="0"/>
          <w:bCs w:val="0"/>
          <w:sz w:val="31"/>
          <w:szCs w:val="31"/>
          <w:lang w:val="en-US" w:eastAsia="en-US" w:bidi="ar-SA"/>
        </w:rPr>
      </w:pPr>
      <w:r>
        <w:rPr>
          <w:rFonts w:hint="eastAsia" w:ascii="Times New Roman" w:hAnsi="Times New Roman" w:eastAsia="方正黑体_GBK" w:cs="方正仿宋_GBK"/>
          <w:b w:val="0"/>
          <w:bCs w:val="0"/>
          <w:sz w:val="31"/>
          <w:szCs w:val="31"/>
          <w:lang w:val="en-US" w:eastAsia="en-US" w:bidi="ar-SA"/>
        </w:rPr>
        <w:t>二、《收入决算表》</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hint="eastAsia" w:ascii="Times New Roman" w:hAnsi="Times New Roman" w:eastAsia="方正黑体_GBK" w:cs="方正仿宋_GBK"/>
          <w:b w:val="0"/>
          <w:bCs w:val="0"/>
          <w:sz w:val="31"/>
          <w:szCs w:val="31"/>
          <w:lang w:val="en-US" w:eastAsia="en-US" w:bidi="ar-SA"/>
        </w:rPr>
      </w:pPr>
      <w:r>
        <w:rPr>
          <w:rFonts w:hint="eastAsia" w:ascii="Times New Roman" w:hAnsi="Times New Roman" w:eastAsia="方正黑体_GBK" w:cs="方正仿宋_GBK"/>
          <w:b w:val="0"/>
          <w:bCs w:val="0"/>
          <w:sz w:val="31"/>
          <w:szCs w:val="31"/>
          <w:lang w:val="en-US" w:eastAsia="en-US" w:bidi="ar-SA"/>
        </w:rPr>
        <w:t>三、《支出决算表》</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hint="eastAsia" w:ascii="Times New Roman" w:hAnsi="Times New Roman" w:eastAsia="方正黑体_GBK" w:cs="方正仿宋_GBK"/>
          <w:b w:val="0"/>
          <w:bCs w:val="0"/>
          <w:sz w:val="31"/>
          <w:szCs w:val="31"/>
          <w:lang w:val="en-US" w:eastAsia="en-US" w:bidi="ar-SA"/>
        </w:rPr>
      </w:pPr>
      <w:r>
        <w:rPr>
          <w:rFonts w:hint="eastAsia" w:ascii="Times New Roman" w:hAnsi="Times New Roman" w:eastAsia="方正黑体_GBK" w:cs="方正仿宋_GBK"/>
          <w:b w:val="0"/>
          <w:bCs w:val="0"/>
          <w:sz w:val="31"/>
          <w:szCs w:val="31"/>
          <w:lang w:val="en-US" w:eastAsia="en-US" w:bidi="ar-SA"/>
        </w:rPr>
        <w:t>四、《财政拨款收入支出决算总表》</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hint="eastAsia" w:ascii="Times New Roman" w:hAnsi="Times New Roman" w:eastAsia="方正黑体_GBK" w:cs="方正仿宋_GBK"/>
          <w:b w:val="0"/>
          <w:bCs w:val="0"/>
          <w:sz w:val="31"/>
          <w:szCs w:val="31"/>
          <w:lang w:val="en-US" w:eastAsia="en-US" w:bidi="ar-SA"/>
        </w:rPr>
      </w:pPr>
      <w:r>
        <w:rPr>
          <w:rFonts w:hint="eastAsia" w:ascii="Times New Roman" w:hAnsi="Times New Roman" w:eastAsia="方正黑体_GBK" w:cs="方正仿宋_GBK"/>
          <w:b w:val="0"/>
          <w:bCs w:val="0"/>
          <w:sz w:val="31"/>
          <w:szCs w:val="31"/>
          <w:lang w:val="en-US" w:eastAsia="en-US" w:bidi="ar-SA"/>
        </w:rPr>
        <w:t>五、《一般公共预算财政拨款支出决算表》</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hint="eastAsia" w:ascii="Times New Roman" w:hAnsi="Times New Roman" w:eastAsia="方正黑体_GBK" w:cs="方正仿宋_GBK"/>
          <w:b w:val="0"/>
          <w:bCs w:val="0"/>
          <w:sz w:val="31"/>
          <w:szCs w:val="31"/>
          <w:lang w:val="en-US" w:eastAsia="en-US" w:bidi="ar-SA"/>
        </w:rPr>
      </w:pPr>
      <w:r>
        <w:rPr>
          <w:rFonts w:hint="eastAsia" w:ascii="Times New Roman" w:hAnsi="Times New Roman" w:eastAsia="方正黑体_GBK" w:cs="方正仿宋_GBK"/>
          <w:b w:val="0"/>
          <w:bCs w:val="0"/>
          <w:sz w:val="31"/>
          <w:szCs w:val="31"/>
          <w:lang w:val="en-US" w:eastAsia="en-US" w:bidi="ar-SA"/>
        </w:rPr>
        <w:t>六、《一般公共预算财政拨款基本支出决算表》</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hint="eastAsia" w:ascii="Times New Roman" w:hAnsi="Times New Roman" w:eastAsia="方正黑体_GBK" w:cs="方正仿宋_GBK"/>
          <w:b w:val="0"/>
          <w:bCs w:val="0"/>
          <w:sz w:val="31"/>
          <w:szCs w:val="31"/>
          <w:lang w:val="en-US" w:eastAsia="en-US" w:bidi="ar-SA"/>
        </w:rPr>
      </w:pPr>
      <w:r>
        <w:rPr>
          <w:rFonts w:hint="eastAsia" w:ascii="Times New Roman" w:hAnsi="Times New Roman" w:eastAsia="方正黑体_GBK" w:cs="方正仿宋_GBK"/>
          <w:b w:val="0"/>
          <w:bCs w:val="0"/>
          <w:sz w:val="31"/>
          <w:szCs w:val="31"/>
          <w:lang w:val="en-US" w:eastAsia="en-US" w:bidi="ar-SA"/>
        </w:rPr>
        <w:t>七、《政府性基金预算财政拨款收入支出决算表》</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hint="eastAsia" w:ascii="Times New Roman" w:hAnsi="Times New Roman" w:eastAsia="方正黑体_GBK" w:cs="方正仿宋_GBK"/>
          <w:b w:val="0"/>
          <w:bCs w:val="0"/>
          <w:sz w:val="31"/>
          <w:szCs w:val="31"/>
          <w:lang w:val="en-US" w:eastAsia="en-US" w:bidi="ar-SA"/>
        </w:rPr>
      </w:pPr>
      <w:r>
        <w:rPr>
          <w:rFonts w:hint="eastAsia" w:ascii="Times New Roman" w:hAnsi="Times New Roman" w:eastAsia="方正黑体_GBK" w:cs="方正仿宋_GBK"/>
          <w:b w:val="0"/>
          <w:bCs w:val="0"/>
          <w:sz w:val="31"/>
          <w:szCs w:val="31"/>
          <w:lang w:val="en-US" w:eastAsia="en-US" w:bidi="ar-SA"/>
        </w:rPr>
        <w:t>八、《国有资本经营预算财政拨款收入支出决算表》</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hint="eastAsia" w:ascii="Times New Roman" w:hAnsi="Times New Roman" w:eastAsia="方正黑体_GBK" w:cs="方正仿宋_GBK"/>
          <w:b w:val="0"/>
          <w:bCs w:val="0"/>
          <w:sz w:val="31"/>
          <w:szCs w:val="31"/>
          <w:lang w:val="en-US" w:eastAsia="en-US" w:bidi="ar-SA"/>
        </w:rPr>
      </w:pPr>
      <w:r>
        <w:rPr>
          <w:rFonts w:hint="eastAsia" w:ascii="Times New Roman" w:hAnsi="Times New Roman" w:eastAsia="方正黑体_GBK" w:cs="方正仿宋_GBK"/>
          <w:b w:val="0"/>
          <w:bCs w:val="0"/>
          <w:sz w:val="31"/>
          <w:szCs w:val="31"/>
          <w:lang w:val="en-US" w:eastAsia="en-US" w:bidi="ar-SA"/>
        </w:rPr>
        <w:t>九、《财政拨款“三公”经费支出决算表》</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20" w:firstLineChars="200"/>
        <w:jc w:val="left"/>
        <w:textAlignment w:val="auto"/>
        <w:rPr>
          <w:rFonts w:hint="eastAsia" w:ascii="Times New Roman" w:hAnsi="Times New Roman" w:eastAsia="方正黑体_GBK" w:cs="方正仿宋_GBK"/>
          <w:b w:val="0"/>
          <w:bCs w:val="0"/>
          <w:sz w:val="31"/>
          <w:szCs w:val="31"/>
          <w:lang w:val="en-US" w:eastAsia="en-US" w:bidi="ar-SA"/>
        </w:rPr>
      </w:pPr>
      <w:r>
        <w:rPr>
          <w:rFonts w:hint="eastAsia" w:ascii="Times New Roman" w:hAnsi="Times New Roman" w:eastAsia="方正黑体_GBK" w:cs="方正仿宋_GBK"/>
          <w:b w:val="0"/>
          <w:bCs w:val="0"/>
          <w:sz w:val="31"/>
          <w:szCs w:val="31"/>
          <w:lang w:val="en-US" w:eastAsia="en-US" w:bidi="ar-SA"/>
        </w:rPr>
        <w:br w:type="page"/>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center"/>
        <w:textAlignment w:val="auto"/>
        <w:outlineLvl w:val="9"/>
        <w:rPr>
          <w:rFonts w:ascii="Times New Roman" w:hAnsi="Times New Roman" w:eastAsia="方正黑体_GBK" w:cstheme="minorBidi"/>
          <w:b w:val="0"/>
          <w:bCs w:val="0"/>
          <w:sz w:val="31"/>
          <w:szCs w:val="32"/>
          <w:lang w:val="en-US" w:eastAsia="en-US" w:bidi="ar-SA"/>
        </w:rPr>
      </w:pPr>
      <w:r>
        <w:rPr>
          <w:rFonts w:ascii="Times New Roman" w:hAnsi="Times New Roman" w:eastAsia="方正黑体_GBK" w:cstheme="minorBidi"/>
          <w:b w:val="0"/>
          <w:bCs w:val="0"/>
          <w:sz w:val="31"/>
          <w:szCs w:val="32"/>
          <w:lang w:val="en-US" w:eastAsia="en-US" w:bidi="ar-SA"/>
        </w:rPr>
        <w:t>第一部分单位概况</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20" w:firstLineChars="200"/>
        <w:jc w:val="both"/>
        <w:textAlignment w:val="auto"/>
        <w:outlineLvl w:val="9"/>
        <w:rPr>
          <w:rFonts w:ascii="Times New Roman" w:hAnsi="Times New Roman" w:eastAsia="方正黑体_GBK" w:cstheme="minorBidi"/>
          <w:b w:val="0"/>
          <w:bCs w:val="0"/>
          <w:sz w:val="31"/>
          <w:szCs w:val="32"/>
          <w:lang w:val="en-US" w:eastAsia="en-US" w:bidi="ar-SA"/>
        </w:rPr>
      </w:pPr>
      <w:r>
        <w:rPr>
          <w:rFonts w:ascii="Times New Roman" w:hAnsi="Times New Roman" w:eastAsia="方正黑体_GBK" w:cstheme="minorBidi"/>
          <w:b w:val="0"/>
          <w:bCs w:val="0"/>
          <w:sz w:val="31"/>
          <w:szCs w:val="32"/>
          <w:lang w:val="en-US" w:eastAsia="en-US" w:bidi="ar-SA"/>
        </w:rPr>
        <w:t>一、主要职能</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20" w:firstLineChars="200"/>
        <w:jc w:val="both"/>
        <w:textAlignment w:val="auto"/>
        <w:outlineLvl w:val="9"/>
        <w:rPr>
          <w:rFonts w:hint="eastAsia" w:ascii="方正楷体_GBK" w:hAnsi="方正楷体_GBK" w:eastAsia="方正楷体_GBK" w:cs="方正楷体_GBK"/>
          <w:b w:val="0"/>
          <w:bCs w:val="0"/>
          <w:sz w:val="31"/>
          <w:szCs w:val="32"/>
          <w:lang w:val="en-US" w:eastAsia="en-US" w:bidi="ar-SA"/>
        </w:rPr>
      </w:pPr>
      <w:r>
        <w:rPr>
          <w:rFonts w:hint="eastAsia" w:ascii="方正楷体_GBK" w:hAnsi="方正楷体_GBK" w:eastAsia="方正楷体_GBK" w:cs="方正楷体_GBK"/>
          <w:b w:val="0"/>
          <w:bCs w:val="0"/>
          <w:sz w:val="31"/>
          <w:szCs w:val="32"/>
          <w:lang w:val="en-US" w:eastAsia="en-US" w:bidi="ar-SA"/>
        </w:rPr>
        <w:t>（1）加强党的建设。</w:t>
      </w:r>
      <w:r>
        <w:rPr>
          <w:rFonts w:hint="eastAsia" w:ascii="方正仿宋_GBK" w:hAnsi="方正仿宋_GBK" w:eastAsia="方正仿宋_GBK" w:cs="方正仿宋_GBK"/>
          <w:b w:val="0"/>
          <w:sz w:val="31"/>
          <w:szCs w:val="32"/>
          <w:lang w:val="en-US" w:eastAsia="en-US" w:bidi="ar-SA"/>
        </w:rPr>
        <w:t>落实基层党建工作责任制，加强党员队伍的思想建设、组织建设、作风建设、制度建设和党风廉政建设；做好党员管理、发展工作，改善党员队伍结构。提高党员素质；加强非公有制经济组织和社会组织党建工作，实现党的组织和工作全覆盖；宣传贯彻党的路线方针政策和法律法规，加强党对意识形态和统－战线工作的领导；指导工会、共青团、妇联等群团工作。坚持党管武装的基本原则和制度，协调各方力量，对行政区人民武装工作实行统一管理。</w:t>
      </w:r>
      <w:r>
        <w:rPr>
          <w:rFonts w:hint="eastAsia" w:ascii="方正楷体_GBK" w:hAnsi="方正楷体_GBK" w:eastAsia="方正楷体_GBK" w:cs="方正楷体_GBK"/>
          <w:b w:val="0"/>
          <w:bCs w:val="0"/>
          <w:sz w:val="31"/>
          <w:szCs w:val="32"/>
          <w:lang w:val="en-US" w:eastAsia="en-US" w:bidi="ar-SA"/>
        </w:rPr>
        <w:t>（2）统筹区域发展。</w:t>
      </w:r>
      <w:r>
        <w:rPr>
          <w:rFonts w:hint="eastAsia" w:ascii="方正仿宋_GBK" w:hAnsi="方正仿宋_GBK" w:eastAsia="方正仿宋_GBK" w:cs="方正仿宋_GBK"/>
          <w:b w:val="0"/>
          <w:sz w:val="31"/>
          <w:szCs w:val="32"/>
          <w:lang w:val="en-US" w:eastAsia="en-US" w:bidi="ar-SA"/>
        </w:rPr>
        <w:t>指导、监督行政区各单位认真执行市委、市人民政府的各项决议、确保市委、市人民政府各项工作总体部署和工作任务的全面落实。坚持依法行政，推进民主政治，加强基础设施建设；制定街道经济发展、社区建设、社区服务等工作规划和年度计划，并组织实施。</w:t>
      </w:r>
      <w:r>
        <w:rPr>
          <w:rFonts w:hint="eastAsia" w:ascii="方正楷体_GBK" w:hAnsi="方正楷体_GBK" w:eastAsia="方正楷体_GBK" w:cs="方正楷体_GBK"/>
          <w:b w:val="0"/>
          <w:bCs w:val="0"/>
          <w:sz w:val="31"/>
          <w:szCs w:val="32"/>
          <w:lang w:val="en-US" w:eastAsia="en-US" w:bidi="ar-SA"/>
        </w:rPr>
        <w:t>（3）组织公共服务。</w:t>
      </w:r>
      <w:r>
        <w:rPr>
          <w:rFonts w:hint="eastAsia" w:ascii="方正仿宋_GBK" w:hAnsi="方正仿宋_GBK" w:eastAsia="方正仿宋_GBK" w:cs="方正仿宋_GBK"/>
          <w:b w:val="0"/>
          <w:sz w:val="31"/>
          <w:szCs w:val="32"/>
          <w:lang w:val="en-US" w:eastAsia="en-US" w:bidi="ar-SA"/>
        </w:rPr>
        <w:t>加强公共设施建设，开展就业和社会保障等服务。</w:t>
      </w:r>
      <w:r>
        <w:rPr>
          <w:rFonts w:hint="eastAsia" w:ascii="方正楷体_GBK" w:hAnsi="方正楷体_GBK" w:eastAsia="方正楷体_GBK" w:cs="方正楷体_GBK"/>
          <w:b w:val="0"/>
          <w:bCs w:val="0"/>
          <w:sz w:val="31"/>
          <w:szCs w:val="32"/>
          <w:lang w:val="en-US" w:eastAsia="en-US" w:bidi="ar-SA"/>
        </w:rPr>
        <w:t>（4）实施公共管理。</w:t>
      </w:r>
      <w:r>
        <w:rPr>
          <w:rFonts w:hint="eastAsia" w:ascii="方正仿宋_GBK" w:hAnsi="方正仿宋_GBK" w:eastAsia="方正仿宋_GBK" w:cs="方正仿宋_GBK"/>
          <w:b w:val="0"/>
          <w:sz w:val="31"/>
          <w:szCs w:val="32"/>
          <w:lang w:val="en-US" w:eastAsia="en-US" w:bidi="ar-SA"/>
        </w:rPr>
        <w:t>推进政务、居务公开，抓好卫生健康、人口计划生育工作，实施一票否决制，保障妇女儿童合法权益；开展行政区内的普法教育，完善人民调解组织，为居民提供法律服务；加强居民的文明教育、文化教育，加强流动人口管理，增强居民的文化意识和城市意识。保障残疾人合法权益不受侵犯；负责辖区内统计工作。</w:t>
      </w:r>
      <w:r>
        <w:rPr>
          <w:rFonts w:hint="eastAsia" w:ascii="方正楷体_GBK" w:hAnsi="方正楷体_GBK" w:eastAsia="方正楷体_GBK" w:cs="方正楷体_GBK"/>
          <w:b w:val="0"/>
          <w:bCs w:val="0"/>
          <w:sz w:val="31"/>
          <w:szCs w:val="32"/>
          <w:lang w:val="en-US" w:eastAsia="en-US" w:bidi="ar-SA"/>
        </w:rPr>
        <w:t>（5）维护公共安全。</w:t>
      </w:r>
      <w:r>
        <w:rPr>
          <w:rFonts w:hint="eastAsia" w:ascii="方正仿宋_GBK" w:hAnsi="方正仿宋_GBK" w:eastAsia="方正仿宋_GBK" w:cs="方正仿宋_GBK"/>
          <w:b w:val="0"/>
          <w:sz w:val="31"/>
          <w:szCs w:val="32"/>
          <w:lang w:val="en-US" w:eastAsia="en-US" w:bidi="ar-SA"/>
        </w:rPr>
        <w:t>承担辖区内社会治安综合治理、信访、平安建设、应急管理、安全生产等有关工作；对辖区内各单位综合治理工作实行一票否决权；强化法治宣传教育、畅通诉求渠道、调解民事纠纷、化解社会矛盾，处理群众性突发事件，做好社会安置帮教、社区矫正和特殊群体帮教帮扶，维护社会秩序和社会稳定；组织抢险救灾，及时上报和处置重大社情、疫情、险情等保护人民群众的生命财产安全；承担民兵预备役、征兵、退役军人服务、拥军优属工作。</w:t>
      </w:r>
      <w:r>
        <w:rPr>
          <w:rFonts w:hint="eastAsia" w:ascii="方正楷体_GBK" w:hAnsi="方正楷体_GBK" w:eastAsia="方正楷体_GBK" w:cs="方正楷体_GBK"/>
          <w:b w:val="0"/>
          <w:bCs w:val="0"/>
          <w:sz w:val="31"/>
          <w:szCs w:val="32"/>
          <w:lang w:val="en-US" w:eastAsia="en-US" w:bidi="ar-SA"/>
        </w:rPr>
        <w:t>（6）监督执法管理。</w:t>
      </w:r>
      <w:r>
        <w:rPr>
          <w:rFonts w:hint="eastAsia" w:ascii="方正仿宋_GBK" w:hAnsi="方正仿宋_GBK" w:eastAsia="方正仿宋_GBK" w:cs="方正仿宋_GBK"/>
          <w:b w:val="0"/>
          <w:sz w:val="31"/>
          <w:szCs w:val="32"/>
          <w:lang w:val="en-US" w:eastAsia="en-US" w:bidi="ar-SA"/>
        </w:rPr>
        <w:t>协助有关部门加强对行政区内的文化娱乐等场所的管理及监督工作，对辖区内各类行政执法工作进行统筹协调，依法依规行使行政处罚权，组织开展群众监督和社会监督。</w:t>
      </w:r>
      <w:r>
        <w:rPr>
          <w:rFonts w:hint="eastAsia" w:ascii="方正楷体_GBK" w:hAnsi="方正楷体_GBK" w:eastAsia="方正楷体_GBK" w:cs="方正楷体_GBK"/>
          <w:b w:val="0"/>
          <w:bCs w:val="0"/>
          <w:sz w:val="31"/>
          <w:szCs w:val="32"/>
          <w:lang w:val="en-US" w:eastAsia="en-US" w:bidi="ar-SA"/>
        </w:rPr>
        <w:t>（7）动员社会参与。</w:t>
      </w:r>
      <w:r>
        <w:rPr>
          <w:rFonts w:hint="eastAsia" w:ascii="方正仿宋_GBK" w:hAnsi="方正仿宋_GBK" w:eastAsia="方正仿宋_GBK" w:cs="方正仿宋_GBK"/>
          <w:b w:val="0"/>
          <w:sz w:val="31"/>
          <w:szCs w:val="32"/>
          <w:lang w:val="en-US" w:eastAsia="en-US" w:bidi="ar-SA"/>
        </w:rPr>
        <w:t>动员辖区内各类单位、社会组织、社区居民等社会力量参与社会治理，为城市发展服务。</w:t>
      </w:r>
      <w:r>
        <w:rPr>
          <w:rFonts w:hint="eastAsia" w:ascii="方正楷体_GBK" w:hAnsi="方正楷体_GBK" w:eastAsia="方正楷体_GBK" w:cs="方正楷体_GBK"/>
          <w:b w:val="0"/>
          <w:bCs w:val="0"/>
          <w:sz w:val="31"/>
          <w:szCs w:val="32"/>
          <w:lang w:val="en-US" w:eastAsia="en-US" w:bidi="ar-SA"/>
        </w:rPr>
        <w:t>（8）指导居民委员会建设，健全居民自治平台，组织驻街道单位和居民参与社区建设、管理。（9）按照管理权限，负责机关和事业单位工作人员的教育、培养、选拔、考核和监督工作；协助管理好派驻单位工作人员。（10）依法依规承担下放的经济社会管理权限和行政执法事项。（11）完成市委、市人民政府交办的其他事项。</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20" w:firstLineChars="200"/>
        <w:jc w:val="both"/>
        <w:textAlignment w:val="auto"/>
        <w:outlineLvl w:val="9"/>
        <w:rPr>
          <w:rFonts w:ascii="Times New Roman" w:hAnsi="Times New Roman" w:eastAsia="方正黑体_GBK" w:cstheme="minorBidi"/>
          <w:b w:val="0"/>
          <w:bCs w:val="0"/>
          <w:sz w:val="31"/>
          <w:szCs w:val="32"/>
          <w:lang w:val="en-US" w:eastAsia="en-US" w:bidi="ar-SA"/>
        </w:rPr>
      </w:pPr>
      <w:r>
        <w:rPr>
          <w:rFonts w:ascii="Times New Roman" w:hAnsi="Times New Roman" w:eastAsia="方正黑体_GBK" w:cstheme="minorBidi"/>
          <w:b w:val="0"/>
          <w:bCs w:val="0"/>
          <w:sz w:val="31"/>
          <w:szCs w:val="32"/>
          <w:lang w:val="en-US" w:eastAsia="en-US" w:bidi="ar-SA"/>
        </w:rPr>
        <w:t>二、机构设置及人员情况</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20" w:firstLineChars="200"/>
        <w:jc w:val="both"/>
        <w:textAlignment w:val="auto"/>
        <w:outlineLvl w:val="9"/>
        <w:rPr>
          <w:rFonts w:hint="eastAsia" w:ascii="方正仿宋_GBK" w:hAnsi="方正仿宋_GBK" w:eastAsia="方正仿宋_GBK" w:cs="方正仿宋_GBK"/>
          <w:b w:val="0"/>
          <w:sz w:val="31"/>
          <w:szCs w:val="32"/>
          <w:lang w:val="en-US" w:eastAsia="en-US" w:bidi="ar-SA"/>
        </w:rPr>
      </w:pPr>
      <w:r>
        <w:rPr>
          <w:rFonts w:hint="eastAsia" w:ascii="方正仿宋_GBK" w:hAnsi="方正仿宋_GBK" w:eastAsia="方正仿宋_GBK" w:cs="方正仿宋_GBK"/>
          <w:b w:val="0"/>
          <w:sz w:val="31"/>
          <w:szCs w:val="32"/>
          <w:lang w:val="en-US" w:eastAsia="en-US" w:bidi="ar-SA"/>
        </w:rPr>
        <w:t>库尔勒市建设街道办事处2024年度，实有人数64人，其中：在职人员45人，减少1人；离休人员0人，较上年无变化；退休人员19人，增加1人。</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20" w:firstLineChars="200"/>
        <w:jc w:val="both"/>
        <w:textAlignment w:val="auto"/>
        <w:outlineLvl w:val="9"/>
        <w:rPr>
          <w:rFonts w:hint="eastAsia" w:ascii="方正仿宋_GBK" w:hAnsi="方正仿宋_GBK" w:eastAsia="方正仿宋_GBK" w:cs="方正仿宋_GBK"/>
          <w:b w:val="0"/>
          <w:sz w:val="31"/>
          <w:szCs w:val="32"/>
          <w:lang w:val="en-US" w:eastAsia="en-US" w:bidi="ar-SA"/>
        </w:rPr>
      </w:pPr>
      <w:r>
        <w:rPr>
          <w:rFonts w:hint="eastAsia" w:ascii="方正仿宋_GBK" w:hAnsi="方正仿宋_GBK" w:eastAsia="方正仿宋_GBK" w:cs="方正仿宋_GBK"/>
          <w:b w:val="0"/>
          <w:sz w:val="31"/>
          <w:szCs w:val="32"/>
          <w:lang w:val="en-US" w:eastAsia="en-US" w:bidi="ar-SA"/>
        </w:rPr>
        <w:t>库尔勒市建设街道办事处无下属预算单位，下设4个处室，分别是：建设街道办事处综合治理服务中心、建设街道办事处党群服务中心、建设街道办事处社会服务中心、建设街道办事处综合执法大队。</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both"/>
        <w:textAlignment w:val="auto"/>
        <w:outlineLvl w:val="9"/>
        <w:rPr>
          <w:rFonts w:ascii="Times New Roman" w:hAnsi="Times New Roman" w:eastAsia="方正黑体_GBK" w:cstheme="minorBidi"/>
          <w:b w:val="0"/>
          <w:bCs w:val="0"/>
          <w:sz w:val="31"/>
          <w:szCs w:val="32"/>
          <w:lang w:val="en-US" w:eastAsia="en-US" w:bidi="ar-SA"/>
        </w:rPr>
      </w:pPr>
      <w:r>
        <w:rPr>
          <w:rFonts w:ascii="Times New Roman" w:hAnsi="Times New Roman" w:eastAsia="方正黑体_GBK" w:cstheme="minorBidi"/>
          <w:b w:val="0"/>
          <w:bCs w:val="0"/>
          <w:sz w:val="31"/>
          <w:szCs w:val="32"/>
          <w:lang w:val="en-US" w:eastAsia="en-US" w:bidi="ar-SA"/>
        </w:rPr>
        <w:t>第二部分部门决算情况说明</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20" w:firstLineChars="200"/>
        <w:jc w:val="both"/>
        <w:textAlignment w:val="auto"/>
        <w:outlineLvl w:val="9"/>
        <w:rPr>
          <w:rFonts w:ascii="Times New Roman" w:hAnsi="Times New Roman" w:eastAsia="方正黑体_GBK" w:cstheme="minorBidi"/>
          <w:b w:val="0"/>
          <w:bCs w:val="0"/>
          <w:sz w:val="31"/>
          <w:szCs w:val="32"/>
          <w:lang w:val="en-US" w:eastAsia="en-US" w:bidi="ar-SA"/>
        </w:rPr>
      </w:pPr>
      <w:r>
        <w:rPr>
          <w:rFonts w:ascii="Times New Roman" w:hAnsi="Times New Roman" w:eastAsia="方正黑体_GBK" w:cstheme="minorBidi"/>
          <w:b w:val="0"/>
          <w:bCs w:val="0"/>
          <w:sz w:val="31"/>
          <w:szCs w:val="32"/>
          <w:lang w:val="en-US" w:eastAsia="en-US" w:bidi="ar-SA"/>
        </w:rPr>
        <w:t>一、收入支出决算总体情况说明</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20" w:firstLineChars="200"/>
        <w:jc w:val="both"/>
        <w:textAlignment w:val="auto"/>
        <w:outlineLvl w:val="9"/>
        <w:rPr>
          <w:rFonts w:hint="eastAsia" w:ascii="方正仿宋_GBK" w:hAnsi="方正仿宋_GBK" w:eastAsia="方正仿宋_GBK" w:cs="方正仿宋_GBK"/>
          <w:b w:val="0"/>
          <w:sz w:val="31"/>
          <w:szCs w:val="32"/>
          <w:lang w:val="en-US" w:eastAsia="en-US" w:bidi="ar-SA"/>
        </w:rPr>
      </w:pPr>
      <w:r>
        <w:rPr>
          <w:rFonts w:hint="eastAsia" w:ascii="方正仿宋_GBK" w:hAnsi="方正仿宋_GBK" w:eastAsia="方正仿宋_GBK" w:cs="方正仿宋_GBK"/>
          <w:b w:val="0"/>
          <w:sz w:val="31"/>
          <w:szCs w:val="32"/>
          <w:lang w:val="en-US" w:eastAsia="en-US" w:bidi="ar-SA"/>
        </w:rPr>
        <w:t>2024年度收入总计1,648.75万元，其中：本年收入合计1,648.75万元，使用非财政拨款结余（含专用结余）0.00万元，年初结转和结余0.00万元。</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20" w:firstLineChars="200"/>
        <w:jc w:val="both"/>
        <w:textAlignment w:val="auto"/>
        <w:outlineLvl w:val="9"/>
        <w:rPr>
          <w:rFonts w:hint="eastAsia" w:ascii="方正仿宋_GBK" w:hAnsi="方正仿宋_GBK" w:eastAsia="方正仿宋_GBK" w:cs="方正仿宋_GBK"/>
          <w:b w:val="0"/>
          <w:sz w:val="31"/>
          <w:szCs w:val="32"/>
          <w:lang w:val="en-US" w:eastAsia="en-US" w:bidi="ar-SA"/>
        </w:rPr>
      </w:pPr>
      <w:r>
        <w:rPr>
          <w:rFonts w:hint="eastAsia" w:ascii="方正仿宋_GBK" w:hAnsi="方正仿宋_GBK" w:eastAsia="方正仿宋_GBK" w:cs="方正仿宋_GBK"/>
          <w:b w:val="0"/>
          <w:sz w:val="31"/>
          <w:szCs w:val="32"/>
          <w:lang w:val="en-US" w:eastAsia="en-US" w:bidi="ar-SA"/>
        </w:rPr>
        <w:t>2024年度支出总计1,648.75万元，其中：本年支出合计1,648.75万元，结余分配0.00万元，年末结转和结余0.00万元。</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20" w:firstLineChars="200"/>
        <w:jc w:val="both"/>
        <w:textAlignment w:val="auto"/>
        <w:outlineLvl w:val="9"/>
        <w:rPr>
          <w:rFonts w:hint="eastAsia" w:ascii="方正仿宋_GBK" w:hAnsi="方正仿宋_GBK" w:eastAsia="方正仿宋_GBK" w:cs="方正仿宋_GBK"/>
          <w:b w:val="0"/>
          <w:sz w:val="31"/>
          <w:szCs w:val="32"/>
          <w:lang w:val="en-US" w:eastAsia="en-US" w:bidi="ar-SA"/>
        </w:rPr>
      </w:pPr>
      <w:r>
        <w:rPr>
          <w:rFonts w:hint="eastAsia" w:ascii="方正仿宋_GBK" w:hAnsi="方正仿宋_GBK" w:eastAsia="方正仿宋_GBK" w:cs="方正仿宋_GBK"/>
          <w:b w:val="0"/>
          <w:sz w:val="31"/>
          <w:szCs w:val="32"/>
          <w:lang w:val="en-US" w:eastAsia="en-US" w:bidi="ar-SA"/>
        </w:rPr>
        <w:t>收入支出总体与上年相比，减少43.77万元，下降2.59%，主要原因是：退休1人，事业岗人员减少2人，公益岗人员减少18人，人员减少，相应的人员经费及公用经费减少，单位厉行节约，严格控制各项经费支出。</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20" w:firstLineChars="200"/>
        <w:jc w:val="both"/>
        <w:textAlignment w:val="auto"/>
        <w:outlineLvl w:val="9"/>
        <w:rPr>
          <w:rFonts w:ascii="Times New Roman" w:hAnsi="Times New Roman" w:eastAsia="方正黑体_GBK" w:cstheme="minorBidi"/>
          <w:b w:val="0"/>
          <w:bCs w:val="0"/>
          <w:sz w:val="31"/>
          <w:szCs w:val="32"/>
          <w:lang w:val="en-US" w:eastAsia="en-US" w:bidi="ar-SA"/>
        </w:rPr>
      </w:pPr>
      <w:r>
        <w:rPr>
          <w:rFonts w:ascii="Times New Roman" w:hAnsi="Times New Roman" w:eastAsia="方正黑体_GBK" w:cstheme="minorBidi"/>
          <w:b w:val="0"/>
          <w:bCs w:val="0"/>
          <w:sz w:val="31"/>
          <w:szCs w:val="32"/>
          <w:lang w:val="en-US" w:eastAsia="en-US" w:bidi="ar-SA"/>
        </w:rPr>
        <w:t>二、收入决算情况说明</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20" w:firstLineChars="200"/>
        <w:jc w:val="both"/>
        <w:textAlignment w:val="auto"/>
        <w:outlineLvl w:val="9"/>
        <w:rPr>
          <w:rFonts w:hint="eastAsia" w:ascii="方正仿宋_GBK" w:hAnsi="方正仿宋_GBK" w:eastAsia="方正仿宋_GBK" w:cs="方正仿宋_GBK"/>
          <w:b w:val="0"/>
          <w:sz w:val="31"/>
          <w:szCs w:val="32"/>
          <w:lang w:val="en-US" w:eastAsia="en-US" w:bidi="ar-SA"/>
        </w:rPr>
      </w:pPr>
      <w:r>
        <w:rPr>
          <w:rFonts w:hint="eastAsia" w:ascii="方正仿宋_GBK" w:hAnsi="方正仿宋_GBK" w:eastAsia="方正仿宋_GBK" w:cs="方正仿宋_GBK"/>
          <w:b w:val="0"/>
          <w:sz w:val="31"/>
          <w:szCs w:val="32"/>
          <w:lang w:val="en-US" w:eastAsia="en-US" w:bidi="ar-SA"/>
        </w:rPr>
        <w:t>本年收入1,648.75万元，其中：财政拨款收入1,648.75万元,占100.00%；上级补助收入0.00万元,占0.00%；事业收入0.00万元，占0.00%；经营收入0.00万元,占0.00%；附属单位上缴收入0.00万元，占0.00%；其他收入0.00万元，占0.00%。</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20" w:firstLineChars="200"/>
        <w:jc w:val="both"/>
        <w:textAlignment w:val="auto"/>
        <w:outlineLvl w:val="9"/>
        <w:rPr>
          <w:rFonts w:ascii="Times New Roman" w:hAnsi="Times New Roman" w:eastAsia="方正黑体_GBK" w:cstheme="minorBidi"/>
          <w:b w:val="0"/>
          <w:bCs w:val="0"/>
          <w:sz w:val="31"/>
          <w:szCs w:val="32"/>
          <w:lang w:val="en-US" w:eastAsia="en-US" w:bidi="ar-SA"/>
        </w:rPr>
      </w:pPr>
      <w:r>
        <w:rPr>
          <w:rFonts w:ascii="Times New Roman" w:hAnsi="Times New Roman" w:eastAsia="方正黑体_GBK" w:cstheme="minorBidi"/>
          <w:b w:val="0"/>
          <w:bCs w:val="0"/>
          <w:sz w:val="31"/>
          <w:szCs w:val="32"/>
          <w:lang w:val="en-US" w:eastAsia="en-US" w:bidi="ar-SA"/>
        </w:rPr>
        <w:t>三、支出决算情况说明</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20" w:firstLineChars="200"/>
        <w:jc w:val="both"/>
        <w:textAlignment w:val="auto"/>
        <w:outlineLvl w:val="9"/>
        <w:rPr>
          <w:rFonts w:hint="eastAsia" w:ascii="方正仿宋_GBK" w:hAnsi="方正仿宋_GBK" w:eastAsia="方正仿宋_GBK" w:cs="方正仿宋_GBK"/>
          <w:b w:val="0"/>
          <w:sz w:val="31"/>
          <w:szCs w:val="32"/>
          <w:lang w:val="en-US" w:eastAsia="en-US" w:bidi="ar-SA"/>
        </w:rPr>
      </w:pPr>
      <w:r>
        <w:rPr>
          <w:rFonts w:hint="eastAsia" w:ascii="方正仿宋_GBK" w:hAnsi="方正仿宋_GBK" w:eastAsia="方正仿宋_GBK" w:cs="方正仿宋_GBK"/>
          <w:b w:val="0"/>
          <w:sz w:val="31"/>
          <w:szCs w:val="32"/>
          <w:lang w:val="en-US" w:eastAsia="en-US" w:bidi="ar-SA"/>
        </w:rPr>
        <w:t>本年支出1,648.75万元，其中：基本支出1,636.61万元，占99.26%；项目支出12.14万元，占0.74%；上缴上级支出0.00万元，占0.00%；经营支出0.00万元，占0.00%；对附属单位补助支出0.00万元，占0.00%。</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20" w:firstLineChars="200"/>
        <w:jc w:val="both"/>
        <w:textAlignment w:val="auto"/>
        <w:outlineLvl w:val="9"/>
        <w:rPr>
          <w:rFonts w:ascii="Times New Roman" w:hAnsi="Times New Roman" w:eastAsia="方正黑体_GBK" w:cstheme="minorBidi"/>
          <w:b w:val="0"/>
          <w:bCs w:val="0"/>
          <w:sz w:val="31"/>
          <w:szCs w:val="32"/>
          <w:lang w:val="en-US" w:eastAsia="en-US" w:bidi="ar-SA"/>
        </w:rPr>
      </w:pPr>
      <w:r>
        <w:rPr>
          <w:rFonts w:ascii="Times New Roman" w:hAnsi="Times New Roman" w:eastAsia="方正黑体_GBK" w:cstheme="minorBidi"/>
          <w:b w:val="0"/>
          <w:bCs w:val="0"/>
          <w:sz w:val="31"/>
          <w:szCs w:val="32"/>
          <w:lang w:val="en-US" w:eastAsia="en-US" w:bidi="ar-SA"/>
        </w:rPr>
        <w:t>四、财政拨款收入支出决算总体情况说明</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20" w:firstLineChars="200"/>
        <w:jc w:val="both"/>
        <w:textAlignment w:val="auto"/>
        <w:outlineLvl w:val="9"/>
        <w:rPr>
          <w:rFonts w:hint="eastAsia" w:ascii="方正仿宋_GBK" w:hAnsi="方正仿宋_GBK" w:eastAsia="方正仿宋_GBK" w:cs="方正仿宋_GBK"/>
          <w:b w:val="0"/>
          <w:sz w:val="31"/>
          <w:szCs w:val="32"/>
          <w:lang w:val="en-US" w:eastAsia="en-US" w:bidi="ar-SA"/>
        </w:rPr>
      </w:pPr>
      <w:r>
        <w:rPr>
          <w:rFonts w:hint="eastAsia" w:ascii="方正仿宋_GBK" w:hAnsi="方正仿宋_GBK" w:eastAsia="方正仿宋_GBK" w:cs="方正仿宋_GBK"/>
          <w:b w:val="0"/>
          <w:sz w:val="31"/>
          <w:szCs w:val="32"/>
          <w:lang w:val="en-US" w:eastAsia="en-US" w:bidi="ar-SA"/>
        </w:rPr>
        <w:t>2024年度财政拨款收入总计1,648.75万元，其中：年初财政拨款结转和结余0.00万元，本年财政拨款收入1,648.75万元。财政拨款支出总计1,648.75万元，其中：年末财政拨款结转和结余0.00万元，本年财政拨款支出1,648.75万元。</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20" w:firstLineChars="200"/>
        <w:jc w:val="both"/>
        <w:textAlignment w:val="auto"/>
        <w:outlineLvl w:val="9"/>
        <w:rPr>
          <w:rFonts w:hint="eastAsia" w:ascii="方正仿宋_GBK" w:hAnsi="方正仿宋_GBK" w:eastAsia="方正仿宋_GBK" w:cs="方正仿宋_GBK"/>
          <w:b w:val="0"/>
          <w:sz w:val="31"/>
          <w:szCs w:val="32"/>
          <w:lang w:val="en-US" w:eastAsia="en-US" w:bidi="ar-SA"/>
        </w:rPr>
      </w:pPr>
      <w:r>
        <w:rPr>
          <w:rFonts w:hint="eastAsia" w:ascii="方正仿宋_GBK" w:hAnsi="方正仿宋_GBK" w:eastAsia="方正仿宋_GBK" w:cs="方正仿宋_GBK"/>
          <w:b w:val="0"/>
          <w:sz w:val="31"/>
          <w:szCs w:val="32"/>
          <w:lang w:val="en-US" w:eastAsia="en-US" w:bidi="ar-SA"/>
        </w:rPr>
        <w:t>财政拨款收入支出总体与上年相比，减少43.77万元，下降2.59%，主要原因是：退休1人，事业岗人员减少2人，公益岗人员减少18人，人员减少，相应的人员经费及公用经费减少，单位厉行节约，严格控制各项经费支出。与年初预算相比，年初预算数2,086.23万元，决算数1,648.75万元，预决算差异率-20.97%，主要原因是：单位厉行节约，严格控制各项经费支出。</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20" w:firstLineChars="200"/>
        <w:jc w:val="both"/>
        <w:textAlignment w:val="auto"/>
        <w:outlineLvl w:val="9"/>
        <w:rPr>
          <w:rFonts w:ascii="Times New Roman" w:hAnsi="Times New Roman" w:eastAsia="方正黑体_GBK" w:cstheme="minorBidi"/>
          <w:b w:val="0"/>
          <w:bCs w:val="0"/>
          <w:sz w:val="31"/>
          <w:szCs w:val="32"/>
          <w:lang w:val="en-US" w:eastAsia="en-US" w:bidi="ar-SA"/>
        </w:rPr>
      </w:pPr>
      <w:r>
        <w:rPr>
          <w:rFonts w:ascii="Times New Roman" w:hAnsi="Times New Roman" w:eastAsia="方正黑体_GBK" w:cstheme="minorBidi"/>
          <w:b w:val="0"/>
          <w:bCs w:val="0"/>
          <w:sz w:val="31"/>
          <w:szCs w:val="32"/>
          <w:lang w:val="en-US" w:eastAsia="en-US" w:bidi="ar-SA"/>
        </w:rPr>
        <w:t>五、一般公共预算财政拨款支出决算情况说明</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20" w:firstLineChars="200"/>
        <w:jc w:val="both"/>
        <w:textAlignment w:val="auto"/>
        <w:outlineLvl w:val="9"/>
        <w:rPr>
          <w:rFonts w:ascii="Times New Roman" w:hAnsi="Times New Roman" w:eastAsia="方正楷体_GBK" w:cstheme="minorBidi"/>
          <w:b w:val="0"/>
          <w:sz w:val="31"/>
          <w:szCs w:val="32"/>
          <w:lang w:val="en-US" w:eastAsia="en-US" w:bidi="ar-SA"/>
        </w:rPr>
      </w:pPr>
      <w:r>
        <w:rPr>
          <w:rFonts w:ascii="Times New Roman" w:hAnsi="Times New Roman" w:eastAsia="方正楷体_GBK" w:cstheme="minorBidi"/>
          <w:b w:val="0"/>
          <w:sz w:val="31"/>
          <w:szCs w:val="32"/>
          <w:lang w:val="en-US" w:eastAsia="en-US" w:bidi="ar-SA"/>
        </w:rPr>
        <w:t>（一）一般公共预算财政拨款支出决算总体情况</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20" w:firstLineChars="200"/>
        <w:jc w:val="both"/>
        <w:textAlignment w:val="auto"/>
        <w:outlineLvl w:val="9"/>
        <w:rPr>
          <w:rFonts w:hint="eastAsia" w:ascii="方正仿宋_GBK" w:hAnsi="方正仿宋_GBK" w:eastAsia="方正仿宋_GBK" w:cs="方正仿宋_GBK"/>
          <w:b w:val="0"/>
          <w:sz w:val="31"/>
          <w:szCs w:val="32"/>
          <w:lang w:val="en-US" w:eastAsia="en-US" w:bidi="ar-SA"/>
        </w:rPr>
      </w:pPr>
      <w:r>
        <w:rPr>
          <w:rFonts w:hint="eastAsia" w:ascii="方正仿宋_GBK" w:hAnsi="方正仿宋_GBK" w:eastAsia="方正仿宋_GBK" w:cs="方正仿宋_GBK"/>
          <w:b w:val="0"/>
          <w:sz w:val="31"/>
          <w:szCs w:val="32"/>
          <w:lang w:val="en-US" w:eastAsia="en-US" w:bidi="ar-SA"/>
        </w:rPr>
        <w:t>2024年度一般公共预算财政拨款支出1,636.61万元，占本年支出合计的99.26%。与上年相比，减少34.96万元，下降2.09%，主要原因是：退休1人，事业岗人员减少2人，公益岗人员减少18人，人员减少，相应的人员经费及公用经费减少，单位厉行节约，严格控制各项经费支出。与年初预算相比，年初预算数2,086.23万元，决算数1,636.61万元，预决算差异率-21.55%，主要原因是：退休1人，事业岗人员减少2人，公益岗人员减少18人，人员减少，相应的人员经费及公用经费减少，单位厉行节约，严格控制各项经费支出。</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20" w:firstLineChars="200"/>
        <w:jc w:val="both"/>
        <w:textAlignment w:val="auto"/>
        <w:outlineLvl w:val="9"/>
        <w:rPr>
          <w:rFonts w:ascii="Times New Roman" w:hAnsi="Times New Roman" w:eastAsia="方正楷体_GBK" w:cstheme="minorBidi"/>
          <w:b w:val="0"/>
          <w:sz w:val="31"/>
          <w:szCs w:val="32"/>
          <w:lang w:val="en-US" w:eastAsia="en-US" w:bidi="ar-SA"/>
        </w:rPr>
      </w:pPr>
      <w:r>
        <w:rPr>
          <w:rFonts w:ascii="Times New Roman" w:hAnsi="Times New Roman" w:eastAsia="方正楷体_GBK" w:cstheme="minorBidi"/>
          <w:b w:val="0"/>
          <w:sz w:val="31"/>
          <w:szCs w:val="32"/>
          <w:lang w:val="en-US" w:eastAsia="en-US" w:bidi="ar-SA"/>
        </w:rPr>
        <w:t>（二）一般公共预算财政拨款支出决算结构情况</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both"/>
        <w:textAlignment w:val="auto"/>
        <w:outlineLvl w:val="9"/>
        <w:rPr>
          <w:rFonts w:hint="eastAsia" w:ascii="方正仿宋_GBK" w:hAnsi="方正仿宋_GBK" w:eastAsia="方正仿宋_GBK" w:cs="方正仿宋_GBK"/>
          <w:b w:val="0"/>
          <w:sz w:val="31"/>
          <w:szCs w:val="32"/>
          <w:lang w:val="en-US" w:eastAsia="en-US" w:bidi="ar-SA"/>
        </w:rPr>
      </w:pPr>
      <w:r>
        <w:rPr>
          <w:rFonts w:hint="eastAsia" w:ascii="方正仿宋_GBK" w:hAnsi="方正仿宋_GBK" w:eastAsia="方正仿宋_GBK" w:cs="方正仿宋_GBK"/>
          <w:b w:val="0"/>
          <w:sz w:val="31"/>
          <w:szCs w:val="32"/>
          <w:lang w:val="en-US" w:eastAsia="en-US" w:bidi="ar-SA"/>
        </w:rPr>
        <w:t>一般公共服务支出（类）1,443.97万元，占88.23%。</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both"/>
        <w:textAlignment w:val="auto"/>
        <w:outlineLvl w:val="9"/>
        <w:rPr>
          <w:rFonts w:hint="eastAsia" w:ascii="方正仿宋_GBK" w:hAnsi="方正仿宋_GBK" w:eastAsia="方正仿宋_GBK" w:cs="方正仿宋_GBK"/>
          <w:b w:val="0"/>
          <w:sz w:val="31"/>
          <w:szCs w:val="32"/>
          <w:lang w:val="en-US" w:eastAsia="en-US" w:bidi="ar-SA"/>
        </w:rPr>
      </w:pPr>
      <w:r>
        <w:rPr>
          <w:rFonts w:hint="eastAsia" w:ascii="方正仿宋_GBK" w:hAnsi="方正仿宋_GBK" w:eastAsia="方正仿宋_GBK" w:cs="方正仿宋_GBK"/>
          <w:b w:val="0"/>
          <w:sz w:val="31"/>
          <w:szCs w:val="32"/>
          <w:lang w:val="en-US" w:eastAsia="en-US" w:bidi="ar-SA"/>
        </w:rPr>
        <w:t>教育支出（类）0.90万元，占0.05%。</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both"/>
        <w:textAlignment w:val="auto"/>
        <w:outlineLvl w:val="9"/>
        <w:rPr>
          <w:rFonts w:hint="eastAsia" w:ascii="方正仿宋_GBK" w:hAnsi="方正仿宋_GBK" w:eastAsia="方正仿宋_GBK" w:cs="方正仿宋_GBK"/>
          <w:b w:val="0"/>
          <w:sz w:val="31"/>
          <w:szCs w:val="32"/>
          <w:lang w:val="en-US" w:eastAsia="en-US" w:bidi="ar-SA"/>
        </w:rPr>
      </w:pPr>
      <w:r>
        <w:rPr>
          <w:rFonts w:hint="eastAsia" w:ascii="方正仿宋_GBK" w:hAnsi="方正仿宋_GBK" w:eastAsia="方正仿宋_GBK" w:cs="方正仿宋_GBK"/>
          <w:b w:val="0"/>
          <w:sz w:val="31"/>
          <w:szCs w:val="32"/>
          <w:lang w:val="en-US" w:eastAsia="en-US" w:bidi="ar-SA"/>
        </w:rPr>
        <w:t>文化旅游体育与传媒支出（类）6.70万元，占0.41%。</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both"/>
        <w:textAlignment w:val="auto"/>
        <w:outlineLvl w:val="9"/>
        <w:rPr>
          <w:rFonts w:hint="eastAsia" w:ascii="方正仿宋_GBK" w:hAnsi="方正仿宋_GBK" w:eastAsia="方正仿宋_GBK" w:cs="方正仿宋_GBK"/>
          <w:b w:val="0"/>
          <w:sz w:val="31"/>
          <w:szCs w:val="32"/>
          <w:lang w:val="en-US" w:eastAsia="en-US" w:bidi="ar-SA"/>
        </w:rPr>
      </w:pPr>
      <w:r>
        <w:rPr>
          <w:rFonts w:hint="eastAsia" w:ascii="方正仿宋_GBK" w:hAnsi="方正仿宋_GBK" w:eastAsia="方正仿宋_GBK" w:cs="方正仿宋_GBK"/>
          <w:b w:val="0"/>
          <w:sz w:val="31"/>
          <w:szCs w:val="32"/>
          <w:lang w:val="en-US" w:eastAsia="en-US" w:bidi="ar-SA"/>
        </w:rPr>
        <w:t>社会保障和就业支出（类）92.19万元，占5.63%。</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both"/>
        <w:textAlignment w:val="auto"/>
        <w:outlineLvl w:val="9"/>
        <w:rPr>
          <w:rFonts w:hint="eastAsia" w:ascii="方正仿宋_GBK" w:hAnsi="方正仿宋_GBK" w:eastAsia="方正仿宋_GBK" w:cs="方正仿宋_GBK"/>
          <w:b w:val="0"/>
          <w:sz w:val="31"/>
          <w:szCs w:val="32"/>
          <w:lang w:val="en-US" w:eastAsia="en-US" w:bidi="ar-SA"/>
        </w:rPr>
      </w:pPr>
      <w:r>
        <w:rPr>
          <w:rFonts w:hint="eastAsia" w:ascii="方正仿宋_GBK" w:hAnsi="方正仿宋_GBK" w:eastAsia="方正仿宋_GBK" w:cs="方正仿宋_GBK"/>
          <w:b w:val="0"/>
          <w:sz w:val="31"/>
          <w:szCs w:val="32"/>
          <w:lang w:val="en-US" w:eastAsia="en-US" w:bidi="ar-SA"/>
        </w:rPr>
        <w:t>卫生健康支出（类）37.48万元，占2.29%。</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both"/>
        <w:textAlignment w:val="auto"/>
        <w:outlineLvl w:val="9"/>
        <w:rPr>
          <w:rFonts w:hint="eastAsia" w:ascii="方正仿宋_GBK" w:hAnsi="方正仿宋_GBK" w:eastAsia="方正仿宋_GBK" w:cs="方正仿宋_GBK"/>
          <w:b w:val="0"/>
          <w:sz w:val="31"/>
          <w:szCs w:val="32"/>
          <w:lang w:val="en-US" w:eastAsia="en-US" w:bidi="ar-SA"/>
        </w:rPr>
      </w:pPr>
      <w:r>
        <w:rPr>
          <w:rFonts w:hint="eastAsia" w:ascii="方正仿宋_GBK" w:hAnsi="方正仿宋_GBK" w:eastAsia="方正仿宋_GBK" w:cs="方正仿宋_GBK"/>
          <w:b w:val="0"/>
          <w:sz w:val="31"/>
          <w:szCs w:val="32"/>
          <w:lang w:val="en-US" w:eastAsia="en-US" w:bidi="ar-SA"/>
        </w:rPr>
        <w:t>住房保障支出（类）55.06万元，占3.36%。</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both"/>
        <w:textAlignment w:val="auto"/>
        <w:outlineLvl w:val="9"/>
        <w:rPr>
          <w:rFonts w:hint="eastAsia" w:ascii="方正仿宋_GBK" w:hAnsi="方正仿宋_GBK" w:eastAsia="方正仿宋_GBK" w:cs="方正仿宋_GBK"/>
          <w:b w:val="0"/>
          <w:sz w:val="31"/>
          <w:szCs w:val="32"/>
          <w:lang w:val="en-US" w:eastAsia="en-US" w:bidi="ar-SA"/>
        </w:rPr>
      </w:pPr>
      <w:r>
        <w:rPr>
          <w:rFonts w:hint="eastAsia" w:ascii="方正仿宋_GBK" w:hAnsi="方正仿宋_GBK" w:eastAsia="方正仿宋_GBK" w:cs="方正仿宋_GBK"/>
          <w:b w:val="0"/>
          <w:sz w:val="31"/>
          <w:szCs w:val="32"/>
          <w:lang w:val="en-US" w:eastAsia="en-US" w:bidi="ar-SA"/>
        </w:rPr>
        <w:t>其他支出（类）0.30万元，占0.02%。</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20" w:firstLineChars="200"/>
        <w:jc w:val="both"/>
        <w:textAlignment w:val="auto"/>
        <w:outlineLvl w:val="9"/>
        <w:rPr>
          <w:rFonts w:ascii="Times New Roman" w:hAnsi="Times New Roman" w:eastAsia="方正楷体_GBK" w:cstheme="minorBidi"/>
          <w:b w:val="0"/>
          <w:sz w:val="31"/>
          <w:szCs w:val="32"/>
          <w:lang w:val="en-US" w:eastAsia="en-US" w:bidi="ar-SA"/>
        </w:rPr>
      </w:pPr>
      <w:r>
        <w:rPr>
          <w:rFonts w:ascii="Times New Roman" w:hAnsi="Times New Roman" w:eastAsia="方正楷体_GBK" w:cstheme="minorBidi"/>
          <w:b w:val="0"/>
          <w:sz w:val="31"/>
          <w:szCs w:val="32"/>
          <w:lang w:val="en-US" w:eastAsia="en-US" w:bidi="ar-SA"/>
        </w:rPr>
        <w:t>（三）一般公共预算财政拨款支出决算具体情况</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20" w:firstLineChars="200"/>
        <w:jc w:val="both"/>
        <w:textAlignment w:val="auto"/>
        <w:outlineLvl w:val="9"/>
        <w:rPr>
          <w:rFonts w:hint="eastAsia" w:ascii="方正仿宋_GBK" w:hAnsi="方正仿宋_GBK" w:eastAsia="方正仿宋_GBK" w:cs="方正仿宋_GBK"/>
          <w:b w:val="0"/>
          <w:sz w:val="31"/>
          <w:szCs w:val="32"/>
          <w:lang w:val="en-US" w:eastAsia="en-US" w:bidi="ar-SA"/>
        </w:rPr>
      </w:pPr>
      <w:r>
        <w:rPr>
          <w:rFonts w:hint="eastAsia" w:ascii="方正仿宋_GBK" w:hAnsi="方正仿宋_GBK" w:eastAsia="方正仿宋_GBK" w:cs="方正仿宋_GBK"/>
          <w:b w:val="0"/>
          <w:sz w:val="31"/>
          <w:szCs w:val="32"/>
          <w:lang w:val="en-US" w:eastAsia="en-US" w:bidi="ar-SA"/>
        </w:rPr>
        <w:t>1、一般公共服务支出（类）人大事务（款）代表工作（项）：支出决算数为1.94万元，比上年决算增加1.94万元，增长100.00%，主要原因是：上年度未安排该预算，本年度新增此项目。</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20" w:firstLineChars="200"/>
        <w:jc w:val="both"/>
        <w:textAlignment w:val="auto"/>
        <w:outlineLvl w:val="9"/>
        <w:rPr>
          <w:rFonts w:hint="eastAsia" w:ascii="方正仿宋_GBK" w:hAnsi="方正仿宋_GBK" w:eastAsia="方正仿宋_GBK" w:cs="方正仿宋_GBK"/>
          <w:b w:val="0"/>
          <w:sz w:val="31"/>
          <w:szCs w:val="32"/>
          <w:lang w:val="en-US" w:eastAsia="en-US" w:bidi="ar-SA"/>
        </w:rPr>
      </w:pPr>
      <w:r>
        <w:rPr>
          <w:rFonts w:hint="eastAsia" w:ascii="方正仿宋_GBK" w:hAnsi="方正仿宋_GBK" w:eastAsia="方正仿宋_GBK" w:cs="方正仿宋_GBK"/>
          <w:b w:val="0"/>
          <w:sz w:val="31"/>
          <w:szCs w:val="32"/>
          <w:lang w:val="en-US" w:eastAsia="en-US" w:bidi="ar-SA"/>
        </w:rPr>
        <w:t>2、一般公共服务支出（类）人大事务（款）其他人大事务支出（项）：支出决算数为1.32万元，比上年决算增加1.32万元，增长100.00%，主要原因是：上年度未安排该预算，本年度新增此项目。</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20" w:firstLineChars="200"/>
        <w:jc w:val="both"/>
        <w:textAlignment w:val="auto"/>
        <w:outlineLvl w:val="9"/>
        <w:rPr>
          <w:rFonts w:hint="eastAsia" w:ascii="方正仿宋_GBK" w:hAnsi="方正仿宋_GBK" w:eastAsia="方正仿宋_GBK" w:cs="方正仿宋_GBK"/>
          <w:b w:val="0"/>
          <w:sz w:val="31"/>
          <w:szCs w:val="32"/>
          <w:lang w:val="en-US" w:eastAsia="en-US" w:bidi="ar-SA"/>
        </w:rPr>
      </w:pPr>
      <w:r>
        <w:rPr>
          <w:rFonts w:hint="eastAsia" w:ascii="方正仿宋_GBK" w:hAnsi="方正仿宋_GBK" w:eastAsia="方正仿宋_GBK" w:cs="方正仿宋_GBK"/>
          <w:b w:val="0"/>
          <w:sz w:val="31"/>
          <w:szCs w:val="32"/>
          <w:lang w:val="en-US" w:eastAsia="en-US" w:bidi="ar-SA"/>
        </w:rPr>
        <w:t>3、一般公共服务支出（类）政府办公厅（室）及相关机构事务（款）行政运行（项）：支出决算数为1,236.04万元，比上年决算增加4.33万元，增长0.35%，主要原因是：职工工资增加及社保基数提高，单位职工运转支出增加。</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20" w:firstLineChars="200"/>
        <w:jc w:val="both"/>
        <w:textAlignment w:val="auto"/>
        <w:outlineLvl w:val="9"/>
        <w:rPr>
          <w:rFonts w:hint="eastAsia" w:ascii="方正仿宋_GBK" w:hAnsi="方正仿宋_GBK" w:eastAsia="方正仿宋_GBK" w:cs="方正仿宋_GBK"/>
          <w:b w:val="0"/>
          <w:sz w:val="31"/>
          <w:szCs w:val="32"/>
          <w:lang w:val="en-US" w:eastAsia="en-US" w:bidi="ar-SA"/>
        </w:rPr>
      </w:pPr>
      <w:r>
        <w:rPr>
          <w:rFonts w:hint="eastAsia" w:ascii="方正仿宋_GBK" w:hAnsi="方正仿宋_GBK" w:eastAsia="方正仿宋_GBK" w:cs="方正仿宋_GBK"/>
          <w:b w:val="0"/>
          <w:sz w:val="31"/>
          <w:szCs w:val="32"/>
          <w:lang w:val="en-US" w:eastAsia="en-US" w:bidi="ar-SA"/>
        </w:rPr>
        <w:t>4、一般公共服务支出（类）政府办公厅（室）及相关机构事务（款）其他政府办公厅（室）及相关机构事务支出（项）：支出决算数为160.71万元，比上年决算增加154.05万元，增长2,313.06%，主要原因是：本年度支付了临聘人员劳务费，偿还了往年度部分运转支出欠款。</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20" w:firstLineChars="200"/>
        <w:jc w:val="both"/>
        <w:textAlignment w:val="auto"/>
        <w:outlineLvl w:val="9"/>
        <w:rPr>
          <w:rFonts w:hint="eastAsia" w:ascii="方正仿宋_GBK" w:hAnsi="方正仿宋_GBK" w:eastAsia="方正仿宋_GBK" w:cs="方正仿宋_GBK"/>
          <w:b w:val="0"/>
          <w:sz w:val="31"/>
          <w:szCs w:val="32"/>
          <w:lang w:val="en-US" w:eastAsia="en-US" w:bidi="ar-SA"/>
        </w:rPr>
      </w:pPr>
      <w:r>
        <w:rPr>
          <w:rFonts w:hint="eastAsia" w:ascii="方正仿宋_GBK" w:hAnsi="方正仿宋_GBK" w:eastAsia="方正仿宋_GBK" w:cs="方正仿宋_GBK"/>
          <w:b w:val="0"/>
          <w:sz w:val="31"/>
          <w:szCs w:val="32"/>
          <w:lang w:val="en-US" w:eastAsia="en-US" w:bidi="ar-SA"/>
        </w:rPr>
        <w:t>5、一般公共服务支出（类）纪检监察事务（款）其他纪检监察事务支出（项）：支出决算数为2.00万元，比上年决算增加0.50万元，增长33.33%，主要原因是：为保障纪检各项工作顺利开展，本年度上级纪检专项经费下拨数增加，购买了纪检办案设备和办公用品等。</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20" w:firstLineChars="200"/>
        <w:jc w:val="both"/>
        <w:textAlignment w:val="auto"/>
        <w:outlineLvl w:val="9"/>
        <w:rPr>
          <w:rFonts w:hint="eastAsia" w:ascii="方正仿宋_GBK" w:hAnsi="方正仿宋_GBK" w:eastAsia="方正仿宋_GBK" w:cs="方正仿宋_GBK"/>
          <w:b w:val="0"/>
          <w:sz w:val="31"/>
          <w:szCs w:val="32"/>
          <w:lang w:val="en-US" w:eastAsia="en-US" w:bidi="ar-SA"/>
        </w:rPr>
      </w:pPr>
      <w:r>
        <w:rPr>
          <w:rFonts w:hint="eastAsia" w:ascii="方正仿宋_GBK" w:hAnsi="方正仿宋_GBK" w:eastAsia="方正仿宋_GBK" w:cs="方正仿宋_GBK"/>
          <w:b w:val="0"/>
          <w:sz w:val="31"/>
          <w:szCs w:val="32"/>
          <w:lang w:val="en-US" w:eastAsia="en-US" w:bidi="ar-SA"/>
        </w:rPr>
        <w:t>6、一般公共服务支出（类）组织事务（款）其他组织事务支出（项）：支出决算数为37.58万元，比上年决算减少40.38万元，下降51.80%，主要原因是：本年度下半年访惠聚工作队人员由20人减少到4人;3月份生活补助下降由每人每月0.30万元下降到0.18万元。</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20" w:firstLineChars="200"/>
        <w:jc w:val="both"/>
        <w:textAlignment w:val="auto"/>
        <w:outlineLvl w:val="9"/>
        <w:rPr>
          <w:rFonts w:hint="eastAsia" w:ascii="方正仿宋_GBK" w:hAnsi="方正仿宋_GBK" w:eastAsia="方正仿宋_GBK" w:cs="方正仿宋_GBK"/>
          <w:b w:val="0"/>
          <w:sz w:val="31"/>
          <w:szCs w:val="32"/>
          <w:lang w:val="en-US" w:eastAsia="en-US" w:bidi="ar-SA"/>
        </w:rPr>
      </w:pPr>
      <w:r>
        <w:rPr>
          <w:rFonts w:hint="eastAsia" w:ascii="方正仿宋_GBK" w:hAnsi="方正仿宋_GBK" w:eastAsia="方正仿宋_GBK" w:cs="方正仿宋_GBK"/>
          <w:b w:val="0"/>
          <w:sz w:val="31"/>
          <w:szCs w:val="32"/>
          <w:lang w:val="en-US" w:eastAsia="en-US" w:bidi="ar-SA"/>
        </w:rPr>
        <w:t>7、一般公共服务支出（类）统战事务（款）宗教事务（项）：支出决算数为0.94万元，比上年决算增加0.10万元，增长11.90%，主要原因是：2024年增加了驻村管寺管委会工作及人员经费。</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20" w:firstLineChars="200"/>
        <w:jc w:val="both"/>
        <w:textAlignment w:val="auto"/>
        <w:outlineLvl w:val="9"/>
        <w:rPr>
          <w:rFonts w:hint="eastAsia" w:ascii="方正仿宋_GBK" w:hAnsi="方正仿宋_GBK" w:eastAsia="方正仿宋_GBK" w:cs="方正仿宋_GBK"/>
          <w:b w:val="0"/>
          <w:sz w:val="31"/>
          <w:szCs w:val="32"/>
          <w:lang w:val="en-US" w:eastAsia="en-US" w:bidi="ar-SA"/>
        </w:rPr>
      </w:pPr>
      <w:r>
        <w:rPr>
          <w:rFonts w:hint="eastAsia" w:ascii="方正仿宋_GBK" w:hAnsi="方正仿宋_GBK" w:eastAsia="方正仿宋_GBK" w:cs="方正仿宋_GBK"/>
          <w:b w:val="0"/>
          <w:sz w:val="31"/>
          <w:szCs w:val="32"/>
          <w:lang w:val="en-US" w:eastAsia="en-US" w:bidi="ar-SA"/>
        </w:rPr>
        <w:t>8、一般公共服务支出（类）统战事务（款）其他统战事务支出（项）：支出决算数为3.44万元，比上年决算减少4.66万元，下降57.53%，主要原因是：2024年寺管会人员由2人减少至1人，费用减少。</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20" w:firstLineChars="200"/>
        <w:jc w:val="both"/>
        <w:textAlignment w:val="auto"/>
        <w:outlineLvl w:val="9"/>
        <w:rPr>
          <w:rFonts w:hint="eastAsia" w:ascii="方正仿宋_GBK" w:hAnsi="方正仿宋_GBK" w:eastAsia="方正仿宋_GBK" w:cs="方正仿宋_GBK"/>
          <w:b w:val="0"/>
          <w:sz w:val="31"/>
          <w:szCs w:val="32"/>
          <w:lang w:val="en-US" w:eastAsia="en-US" w:bidi="ar-SA"/>
        </w:rPr>
      </w:pPr>
      <w:r>
        <w:rPr>
          <w:rFonts w:hint="eastAsia" w:ascii="方正仿宋_GBK" w:hAnsi="方正仿宋_GBK" w:eastAsia="方正仿宋_GBK" w:cs="方正仿宋_GBK"/>
          <w:b w:val="0"/>
          <w:sz w:val="31"/>
          <w:szCs w:val="32"/>
          <w:lang w:val="en-US" w:eastAsia="en-US" w:bidi="ar-SA"/>
        </w:rPr>
        <w:t>9、教育支出（类）进修及培训（款）培训支出（项）：支出决算数为0.90万元，比上年决算减少1.49万元，下降62.34%，主要原因是：本年度单位厉行节约，减少外出培训人数及次数，培训费用减少。</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20" w:firstLineChars="200"/>
        <w:jc w:val="both"/>
        <w:textAlignment w:val="auto"/>
        <w:outlineLvl w:val="9"/>
        <w:rPr>
          <w:rFonts w:hint="eastAsia" w:ascii="方正仿宋_GBK" w:hAnsi="方正仿宋_GBK" w:eastAsia="方正仿宋_GBK" w:cs="方正仿宋_GBK"/>
          <w:b w:val="0"/>
          <w:sz w:val="31"/>
          <w:szCs w:val="32"/>
          <w:lang w:val="en-US" w:eastAsia="en-US" w:bidi="ar-SA"/>
        </w:rPr>
      </w:pPr>
      <w:r>
        <w:rPr>
          <w:rFonts w:hint="eastAsia" w:ascii="方正仿宋_GBK" w:hAnsi="方正仿宋_GBK" w:eastAsia="方正仿宋_GBK" w:cs="方正仿宋_GBK"/>
          <w:b w:val="0"/>
          <w:sz w:val="31"/>
          <w:szCs w:val="32"/>
          <w:lang w:val="en-US" w:eastAsia="en-US" w:bidi="ar-SA"/>
        </w:rPr>
        <w:t>10、文化旅游体育与传媒支出（类）文化和旅游（款）其他文化和旅游支出（项）：支出决算数为4.70万元，比上年决算增加0.70万元，增长17.50%，主要原因是：上年度未支出费用由本年度支出。</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20" w:firstLineChars="200"/>
        <w:jc w:val="both"/>
        <w:textAlignment w:val="auto"/>
        <w:outlineLvl w:val="9"/>
        <w:rPr>
          <w:rFonts w:hint="eastAsia" w:ascii="方正仿宋_GBK" w:hAnsi="方正仿宋_GBK" w:eastAsia="方正仿宋_GBK" w:cs="方正仿宋_GBK"/>
          <w:b w:val="0"/>
          <w:sz w:val="31"/>
          <w:szCs w:val="32"/>
          <w:lang w:val="en-US" w:eastAsia="en-US" w:bidi="ar-SA"/>
        </w:rPr>
      </w:pPr>
      <w:r>
        <w:rPr>
          <w:rFonts w:hint="eastAsia" w:ascii="方正仿宋_GBK" w:hAnsi="方正仿宋_GBK" w:eastAsia="方正仿宋_GBK" w:cs="方正仿宋_GBK"/>
          <w:b w:val="0"/>
          <w:sz w:val="31"/>
          <w:szCs w:val="32"/>
          <w:lang w:val="en-US" w:eastAsia="en-US" w:bidi="ar-SA"/>
        </w:rPr>
        <w:t>11、文化旅游体育与传媒支出（类）其他文化旅游体育与传媒支出（款）其他文化旅游体育与传媒支出（项）：支出决算数为2.00万元，比上年决算增加1.32万元，增长194.12%，主要原因是：上年度未安排此项预算，本年度新增此项目。</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20" w:firstLineChars="200"/>
        <w:jc w:val="both"/>
        <w:textAlignment w:val="auto"/>
        <w:outlineLvl w:val="9"/>
        <w:rPr>
          <w:rFonts w:hint="eastAsia" w:ascii="方正仿宋_GBK" w:hAnsi="方正仿宋_GBK" w:eastAsia="方正仿宋_GBK" w:cs="方正仿宋_GBK"/>
          <w:b w:val="0"/>
          <w:sz w:val="31"/>
          <w:szCs w:val="32"/>
          <w:lang w:val="en-US" w:eastAsia="en-US" w:bidi="ar-SA"/>
        </w:rPr>
      </w:pPr>
      <w:r>
        <w:rPr>
          <w:rFonts w:hint="eastAsia" w:ascii="方正仿宋_GBK" w:hAnsi="方正仿宋_GBK" w:eastAsia="方正仿宋_GBK" w:cs="方正仿宋_GBK"/>
          <w:b w:val="0"/>
          <w:sz w:val="31"/>
          <w:szCs w:val="32"/>
          <w:lang w:val="en-US" w:eastAsia="en-US" w:bidi="ar-SA"/>
        </w:rPr>
        <w:t>12、社会保障和就业支出（类）行政事业单位养老支出（款）行政单位离退休（项）：支出决算数为14.22万元，比上年决算增加3.08万元，增长27.65%，主要原因是：2024年支付了2023年度退休人员绩效奖金。</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20" w:firstLineChars="200"/>
        <w:jc w:val="both"/>
        <w:textAlignment w:val="auto"/>
        <w:outlineLvl w:val="9"/>
        <w:rPr>
          <w:rFonts w:hint="eastAsia" w:ascii="方正仿宋_GBK" w:hAnsi="方正仿宋_GBK" w:eastAsia="方正仿宋_GBK" w:cs="方正仿宋_GBK"/>
          <w:b w:val="0"/>
          <w:sz w:val="31"/>
          <w:szCs w:val="32"/>
          <w:lang w:val="en-US" w:eastAsia="en-US" w:bidi="ar-SA"/>
        </w:rPr>
      </w:pPr>
      <w:r>
        <w:rPr>
          <w:rFonts w:hint="eastAsia" w:ascii="方正仿宋_GBK" w:hAnsi="方正仿宋_GBK" w:eastAsia="方正仿宋_GBK" w:cs="方正仿宋_GBK"/>
          <w:b w:val="0"/>
          <w:sz w:val="31"/>
          <w:szCs w:val="32"/>
          <w:lang w:val="en-US" w:eastAsia="en-US" w:bidi="ar-SA"/>
        </w:rPr>
        <w:t>13、社会保障和就业支出（类）行政事业单位养老支出（款）机关事业单位基本养老保险缴费支出（项）：支出决算数为69.96万元，比上年决算增加3.43万元，增长5.16%，主要原因是：在职人员调整，养老缴费基数增加，养老保险支出增加。</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20" w:firstLineChars="200"/>
        <w:jc w:val="both"/>
        <w:textAlignment w:val="auto"/>
        <w:outlineLvl w:val="9"/>
        <w:rPr>
          <w:rFonts w:hint="eastAsia" w:ascii="方正仿宋_GBK" w:hAnsi="方正仿宋_GBK" w:eastAsia="方正仿宋_GBK" w:cs="方正仿宋_GBK"/>
          <w:b w:val="0"/>
          <w:sz w:val="31"/>
          <w:szCs w:val="32"/>
          <w:lang w:val="en-US" w:eastAsia="en-US" w:bidi="ar-SA"/>
        </w:rPr>
      </w:pPr>
      <w:r>
        <w:rPr>
          <w:rFonts w:hint="eastAsia" w:ascii="方正仿宋_GBK" w:hAnsi="方正仿宋_GBK" w:eastAsia="方正仿宋_GBK" w:cs="方正仿宋_GBK"/>
          <w:b w:val="0"/>
          <w:sz w:val="31"/>
          <w:szCs w:val="32"/>
          <w:lang w:val="en-US" w:eastAsia="en-US" w:bidi="ar-SA"/>
        </w:rPr>
        <w:t>14、社会保障和就业支出（类）行政事业单位养老支出（款）机关事业单位职业年金缴费支出（项）：支出决算数为8.01万元，比上年决算增加0.13万元，增长1.65%，主要原因是：新增行政编退休人员1人，职业年金缴费增加。</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20" w:firstLineChars="200"/>
        <w:jc w:val="both"/>
        <w:textAlignment w:val="auto"/>
        <w:outlineLvl w:val="9"/>
        <w:rPr>
          <w:rFonts w:hint="eastAsia" w:ascii="方正仿宋_GBK" w:hAnsi="方正仿宋_GBK" w:eastAsia="方正仿宋_GBK" w:cs="方正仿宋_GBK"/>
          <w:b w:val="0"/>
          <w:sz w:val="31"/>
          <w:szCs w:val="32"/>
          <w:lang w:val="en-US" w:eastAsia="en-US" w:bidi="ar-SA"/>
        </w:rPr>
      </w:pPr>
      <w:r>
        <w:rPr>
          <w:rFonts w:hint="eastAsia" w:ascii="方正仿宋_GBK" w:hAnsi="方正仿宋_GBK" w:eastAsia="方正仿宋_GBK" w:cs="方正仿宋_GBK"/>
          <w:b w:val="0"/>
          <w:sz w:val="31"/>
          <w:szCs w:val="32"/>
          <w:lang w:val="en-US" w:eastAsia="en-US" w:bidi="ar-SA"/>
        </w:rPr>
        <w:t>15、社会保障和就业支出（类）就业补助（款）公益性岗位补贴（项）：支出决算数为0.00万元，比上年决算减少159.83万元，下降100.00%，主要原因是：本年度无此项支出。</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20" w:firstLineChars="200"/>
        <w:jc w:val="both"/>
        <w:textAlignment w:val="auto"/>
        <w:outlineLvl w:val="9"/>
        <w:rPr>
          <w:rFonts w:hint="eastAsia" w:ascii="方正仿宋_GBK" w:hAnsi="方正仿宋_GBK" w:eastAsia="方正仿宋_GBK" w:cs="方正仿宋_GBK"/>
          <w:b w:val="0"/>
          <w:sz w:val="31"/>
          <w:szCs w:val="32"/>
          <w:lang w:val="en-US" w:eastAsia="en-US" w:bidi="ar-SA"/>
        </w:rPr>
      </w:pPr>
      <w:r>
        <w:rPr>
          <w:rFonts w:hint="eastAsia" w:ascii="方正仿宋_GBK" w:hAnsi="方正仿宋_GBK" w:eastAsia="方正仿宋_GBK" w:cs="方正仿宋_GBK"/>
          <w:b w:val="0"/>
          <w:sz w:val="31"/>
          <w:szCs w:val="32"/>
          <w:lang w:val="en-US" w:eastAsia="en-US" w:bidi="ar-SA"/>
        </w:rPr>
        <w:t>16、卫生健康支出（类）行政事业单位医疗（款）行政单位医疗（项）：支出决算数为31.69万元，比上年决算减少2.38万元，下降6.99%，主要原因是：在职公务员退休1人，单位医疗减少。</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20" w:firstLineChars="200"/>
        <w:jc w:val="both"/>
        <w:textAlignment w:val="auto"/>
        <w:outlineLvl w:val="9"/>
        <w:rPr>
          <w:rFonts w:hint="eastAsia" w:ascii="方正仿宋_GBK" w:hAnsi="方正仿宋_GBK" w:eastAsia="方正仿宋_GBK" w:cs="方正仿宋_GBK"/>
          <w:b w:val="0"/>
          <w:sz w:val="31"/>
          <w:szCs w:val="32"/>
          <w:lang w:val="en-US" w:eastAsia="en-US" w:bidi="ar-SA"/>
        </w:rPr>
      </w:pPr>
      <w:r>
        <w:rPr>
          <w:rFonts w:hint="eastAsia" w:ascii="方正仿宋_GBK" w:hAnsi="方正仿宋_GBK" w:eastAsia="方正仿宋_GBK" w:cs="方正仿宋_GBK"/>
          <w:b w:val="0"/>
          <w:sz w:val="31"/>
          <w:szCs w:val="32"/>
          <w:lang w:val="en-US" w:eastAsia="en-US" w:bidi="ar-SA"/>
        </w:rPr>
        <w:t>17、卫生健康支出（类）行政事业单位医疗（款）公务员医疗补助（项）：支出决算数为5.79万元，比上年决算减少0.18万元，下降3.02%，主要原因是：新增公务员退休1人，在职公务员医疗补助相应减少。</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20" w:firstLineChars="200"/>
        <w:jc w:val="both"/>
        <w:textAlignment w:val="auto"/>
        <w:outlineLvl w:val="9"/>
        <w:rPr>
          <w:rFonts w:hint="eastAsia" w:ascii="方正仿宋_GBK" w:hAnsi="方正仿宋_GBK" w:eastAsia="方正仿宋_GBK" w:cs="方正仿宋_GBK"/>
          <w:b w:val="0"/>
          <w:sz w:val="31"/>
          <w:szCs w:val="32"/>
          <w:lang w:val="en-US" w:eastAsia="en-US" w:bidi="ar-SA"/>
        </w:rPr>
      </w:pPr>
      <w:r>
        <w:rPr>
          <w:rFonts w:hint="eastAsia" w:ascii="方正仿宋_GBK" w:hAnsi="方正仿宋_GBK" w:eastAsia="方正仿宋_GBK" w:cs="方正仿宋_GBK"/>
          <w:b w:val="0"/>
          <w:sz w:val="31"/>
          <w:szCs w:val="32"/>
          <w:lang w:val="en-US" w:eastAsia="en-US" w:bidi="ar-SA"/>
        </w:rPr>
        <w:t>18、住房保障支出（类）住房改革支出（款）住房公积金（项）：支出决算数为55.06万元，比上年决算增加2.78万元，增长5.32%，主要原因是：本年度公积金基数调整增加，公积金支出增加。</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20" w:firstLineChars="200"/>
        <w:jc w:val="both"/>
        <w:textAlignment w:val="auto"/>
        <w:outlineLvl w:val="9"/>
        <w:rPr>
          <w:rFonts w:hint="eastAsia" w:ascii="方正仿宋_GBK" w:hAnsi="方正仿宋_GBK" w:eastAsia="方正仿宋_GBK" w:cs="方正仿宋_GBK"/>
          <w:b w:val="0"/>
          <w:sz w:val="31"/>
          <w:szCs w:val="32"/>
          <w:lang w:val="en-US" w:eastAsia="en-US" w:bidi="ar-SA"/>
        </w:rPr>
      </w:pPr>
      <w:r>
        <w:rPr>
          <w:rFonts w:hint="eastAsia" w:ascii="方正仿宋_GBK" w:hAnsi="方正仿宋_GBK" w:eastAsia="方正仿宋_GBK" w:cs="方正仿宋_GBK"/>
          <w:b w:val="0"/>
          <w:sz w:val="31"/>
          <w:szCs w:val="32"/>
          <w:lang w:val="en-US" w:eastAsia="en-US" w:bidi="ar-SA"/>
        </w:rPr>
        <w:t>19、其他支出（类）其他支出（款）其他支出（项）：支出决算数为0.30万元，比上年决算增加0.30万元，增长100.00%，主要原因是：上年度无此项目，2024年新增了纾困资金项目。</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20" w:firstLineChars="200"/>
        <w:jc w:val="both"/>
        <w:textAlignment w:val="auto"/>
        <w:outlineLvl w:val="9"/>
        <w:rPr>
          <w:rFonts w:ascii="Times New Roman" w:hAnsi="Times New Roman" w:eastAsia="方正黑体_GBK" w:cstheme="minorBidi"/>
          <w:b w:val="0"/>
          <w:bCs w:val="0"/>
          <w:sz w:val="31"/>
          <w:szCs w:val="32"/>
          <w:lang w:val="en-US" w:eastAsia="en-US" w:bidi="ar-SA"/>
        </w:rPr>
      </w:pPr>
      <w:r>
        <w:rPr>
          <w:rFonts w:ascii="Times New Roman" w:hAnsi="Times New Roman" w:eastAsia="方正黑体_GBK" w:cstheme="minorBidi"/>
          <w:b w:val="0"/>
          <w:bCs w:val="0"/>
          <w:sz w:val="31"/>
          <w:szCs w:val="32"/>
          <w:lang w:val="en-US" w:eastAsia="en-US" w:bidi="ar-SA"/>
        </w:rPr>
        <w:t>六、一般公共预算财政拨款基本支出决算情况说明</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20" w:firstLineChars="200"/>
        <w:jc w:val="both"/>
        <w:textAlignment w:val="auto"/>
        <w:outlineLvl w:val="9"/>
        <w:rPr>
          <w:rFonts w:hint="eastAsia" w:ascii="方正仿宋_GBK" w:hAnsi="方正仿宋_GBK" w:eastAsia="方正仿宋_GBK" w:cs="方正仿宋_GBK"/>
          <w:b w:val="0"/>
          <w:sz w:val="31"/>
          <w:szCs w:val="32"/>
          <w:lang w:val="en-US" w:eastAsia="en-US" w:bidi="ar-SA"/>
        </w:rPr>
      </w:pPr>
      <w:r>
        <w:rPr>
          <w:rFonts w:hint="eastAsia" w:ascii="方正仿宋_GBK" w:hAnsi="方正仿宋_GBK" w:eastAsia="方正仿宋_GBK" w:cs="方正仿宋_GBK"/>
          <w:b w:val="0"/>
          <w:sz w:val="31"/>
          <w:szCs w:val="32"/>
          <w:lang w:val="en-US" w:eastAsia="en-US" w:bidi="ar-SA"/>
        </w:rPr>
        <w:t>2024年度一般公共预算财政拨款基本支出1,636.61万元，其中：人员经费1,485.41万元，包括：基本工资、津贴补贴、奖金、绩效工资、机关事业单位基本养老保险缴费、职业年金缴费、职工基本医疗保险缴费、公务员医疗补助缴费、其他社会保障缴费、住房公积金、其他工资福利支出、退休费、生活补助、救济费和奖励金。</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20" w:firstLineChars="200"/>
        <w:jc w:val="both"/>
        <w:textAlignment w:val="auto"/>
        <w:outlineLvl w:val="9"/>
        <w:rPr>
          <w:rFonts w:hint="eastAsia" w:ascii="方正仿宋_GBK" w:hAnsi="方正仿宋_GBK" w:eastAsia="方正仿宋_GBK" w:cs="方正仿宋_GBK"/>
          <w:b w:val="0"/>
          <w:sz w:val="31"/>
          <w:szCs w:val="32"/>
          <w:lang w:val="en-US" w:eastAsia="en-US" w:bidi="ar-SA"/>
        </w:rPr>
      </w:pPr>
      <w:r>
        <w:rPr>
          <w:rFonts w:hint="eastAsia" w:ascii="方正仿宋_GBK" w:hAnsi="方正仿宋_GBK" w:eastAsia="方正仿宋_GBK" w:cs="方正仿宋_GBK"/>
          <w:b w:val="0"/>
          <w:sz w:val="31"/>
          <w:szCs w:val="32"/>
          <w:lang w:val="en-US" w:eastAsia="en-US" w:bidi="ar-SA"/>
        </w:rPr>
        <w:t>公用经费151.20万元，包括：办公费、印刷费、水费、电费、邮电费、取暖费、物业管理费、差旅费、维修（护）费、租赁费、培训费、专用材料费、劳务费、委托业务费、工会经费、福利费、公务用车运行维护费、其他商品和服务支出和办公设备购置。</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20" w:firstLineChars="200"/>
        <w:jc w:val="both"/>
        <w:textAlignment w:val="auto"/>
        <w:outlineLvl w:val="9"/>
        <w:rPr>
          <w:rFonts w:ascii="Times New Roman" w:hAnsi="Times New Roman" w:eastAsia="方正黑体_GBK" w:cstheme="minorBidi"/>
          <w:b w:val="0"/>
          <w:bCs w:val="0"/>
          <w:sz w:val="31"/>
          <w:szCs w:val="32"/>
          <w:lang w:val="en-US" w:eastAsia="en-US" w:bidi="ar-SA"/>
        </w:rPr>
      </w:pPr>
      <w:r>
        <w:rPr>
          <w:rFonts w:ascii="Times New Roman" w:hAnsi="Times New Roman" w:eastAsia="方正黑体_GBK" w:cstheme="minorBidi"/>
          <w:b w:val="0"/>
          <w:bCs w:val="0"/>
          <w:sz w:val="31"/>
          <w:szCs w:val="32"/>
          <w:lang w:val="en-US" w:eastAsia="en-US" w:bidi="ar-SA"/>
        </w:rPr>
        <w:t>七、政府性基金预算财政拨款收入支出决算情况说明</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20" w:firstLineChars="200"/>
        <w:jc w:val="both"/>
        <w:textAlignment w:val="auto"/>
        <w:outlineLvl w:val="9"/>
        <w:rPr>
          <w:rFonts w:hint="eastAsia" w:ascii="方正仿宋_GBK" w:hAnsi="方正仿宋_GBK" w:eastAsia="方正仿宋_GBK" w:cs="方正仿宋_GBK"/>
          <w:b w:val="0"/>
          <w:sz w:val="31"/>
          <w:szCs w:val="32"/>
          <w:lang w:val="en-US" w:eastAsia="en-US" w:bidi="ar-SA"/>
        </w:rPr>
      </w:pPr>
      <w:r>
        <w:rPr>
          <w:rFonts w:hint="eastAsia" w:ascii="方正仿宋_GBK" w:hAnsi="方正仿宋_GBK" w:eastAsia="方正仿宋_GBK" w:cs="方正仿宋_GBK"/>
          <w:b w:val="0"/>
          <w:sz w:val="31"/>
          <w:szCs w:val="32"/>
          <w:lang w:val="en-US" w:eastAsia="en-US" w:bidi="ar-SA"/>
        </w:rPr>
        <w:t>本单位本年度无政府性基金预算财政拨款收入、支出及结转和结余，政府性基金预算财政拨款收入支出决算表为空表。</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20" w:firstLineChars="200"/>
        <w:jc w:val="both"/>
        <w:textAlignment w:val="auto"/>
        <w:outlineLvl w:val="9"/>
        <w:rPr>
          <w:rFonts w:ascii="Times New Roman" w:hAnsi="Times New Roman" w:eastAsia="方正黑体_GBK" w:cstheme="minorBidi"/>
          <w:b w:val="0"/>
          <w:bCs w:val="0"/>
          <w:sz w:val="31"/>
          <w:szCs w:val="32"/>
          <w:lang w:val="en-US" w:eastAsia="en-US" w:bidi="ar-SA"/>
        </w:rPr>
      </w:pPr>
      <w:r>
        <w:rPr>
          <w:rFonts w:ascii="Times New Roman" w:hAnsi="Times New Roman" w:eastAsia="方正黑体_GBK" w:cstheme="minorBidi"/>
          <w:b w:val="0"/>
          <w:bCs w:val="0"/>
          <w:sz w:val="31"/>
          <w:szCs w:val="32"/>
          <w:lang w:val="en-US" w:eastAsia="en-US" w:bidi="ar-SA"/>
        </w:rPr>
        <w:t>八、国有资本经营预算财政拨款收入支出决算情况说明</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20" w:firstLineChars="200"/>
        <w:jc w:val="both"/>
        <w:textAlignment w:val="auto"/>
        <w:outlineLvl w:val="9"/>
        <w:rPr>
          <w:rFonts w:hint="eastAsia" w:ascii="方正仿宋_GBK" w:hAnsi="方正仿宋_GBK" w:eastAsia="方正仿宋_GBK" w:cs="方正仿宋_GBK"/>
          <w:b w:val="0"/>
          <w:sz w:val="31"/>
          <w:szCs w:val="32"/>
          <w:lang w:val="en-US" w:eastAsia="en-US" w:bidi="ar-SA"/>
        </w:rPr>
      </w:pPr>
      <w:r>
        <w:rPr>
          <w:rFonts w:hint="eastAsia" w:ascii="方正仿宋_GBK" w:hAnsi="方正仿宋_GBK" w:eastAsia="方正仿宋_GBK" w:cs="方正仿宋_GBK"/>
          <w:b w:val="0"/>
          <w:sz w:val="31"/>
          <w:szCs w:val="32"/>
          <w:lang w:val="en-US" w:eastAsia="en-US" w:bidi="ar-SA"/>
        </w:rPr>
        <w:t>2024年度国有资本经营预算财政拨款收入总计12.14万元，其中：年初结转和结余0.00万元，本年收入12.14万元。国有资本经营预算财政拨款支出总计12.14万元，其中：年末结转和结余0.00万元，本年支出12.14万元。</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20" w:firstLineChars="200"/>
        <w:jc w:val="both"/>
        <w:textAlignment w:val="auto"/>
        <w:outlineLvl w:val="9"/>
        <w:rPr>
          <w:rFonts w:hint="eastAsia" w:ascii="方正仿宋_GBK" w:hAnsi="方正仿宋_GBK" w:eastAsia="方正仿宋_GBK" w:cs="方正仿宋_GBK"/>
          <w:b w:val="0"/>
          <w:sz w:val="31"/>
          <w:szCs w:val="32"/>
          <w:lang w:val="en-US" w:eastAsia="en-US" w:bidi="ar-SA"/>
        </w:rPr>
      </w:pPr>
      <w:r>
        <w:rPr>
          <w:rFonts w:hint="eastAsia" w:ascii="方正仿宋_GBK" w:hAnsi="方正仿宋_GBK" w:eastAsia="方正仿宋_GBK" w:cs="方正仿宋_GBK"/>
          <w:b w:val="0"/>
          <w:sz w:val="31"/>
          <w:szCs w:val="32"/>
          <w:lang w:val="en-US" w:eastAsia="en-US" w:bidi="ar-SA"/>
        </w:rPr>
        <w:t>国有资本经营预算财政拨款收入支出总体与上年相比，减少6.48万元，下降34.80%，主要原因是：单位厉行节约，严格控制各项经费支出。与年初预算相比，年初预算数0.00万元，决算数12.14万元，预决算差异率100%，主要原因是：年初预算未安排。</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20" w:firstLineChars="200"/>
        <w:jc w:val="both"/>
        <w:textAlignment w:val="auto"/>
        <w:outlineLvl w:val="9"/>
        <w:rPr>
          <w:rFonts w:hint="eastAsia" w:ascii="方正仿宋_GBK" w:hAnsi="方正仿宋_GBK" w:eastAsia="方正仿宋_GBK" w:cs="方正仿宋_GBK"/>
          <w:b w:val="0"/>
          <w:sz w:val="31"/>
          <w:szCs w:val="32"/>
          <w:lang w:val="en-US" w:eastAsia="en-US" w:bidi="ar-SA"/>
        </w:rPr>
      </w:pPr>
      <w:r>
        <w:rPr>
          <w:rFonts w:hint="eastAsia" w:ascii="方正仿宋_GBK" w:hAnsi="方正仿宋_GBK" w:eastAsia="方正仿宋_GBK" w:cs="方正仿宋_GBK"/>
          <w:b w:val="0"/>
          <w:sz w:val="31"/>
          <w:szCs w:val="32"/>
          <w:lang w:val="en-US" w:eastAsia="en-US" w:bidi="ar-SA"/>
        </w:rPr>
        <w:t>国有资本经营预算财政拨款支出12.14万元。</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20" w:firstLineChars="200"/>
        <w:jc w:val="both"/>
        <w:textAlignment w:val="auto"/>
        <w:outlineLvl w:val="9"/>
        <w:rPr>
          <w:rFonts w:hint="eastAsia" w:ascii="方正仿宋_GBK" w:hAnsi="方正仿宋_GBK" w:eastAsia="方正仿宋_GBK" w:cs="方正仿宋_GBK"/>
          <w:b w:val="0"/>
          <w:sz w:val="31"/>
          <w:szCs w:val="32"/>
          <w:lang w:val="en-US" w:eastAsia="en-US" w:bidi="ar-SA"/>
        </w:rPr>
      </w:pPr>
      <w:r>
        <w:rPr>
          <w:rFonts w:hint="eastAsia" w:ascii="方正仿宋_GBK" w:hAnsi="方正仿宋_GBK" w:eastAsia="方正仿宋_GBK" w:cs="方正仿宋_GBK"/>
          <w:b w:val="0"/>
          <w:sz w:val="31"/>
          <w:szCs w:val="32"/>
          <w:lang w:val="en-US" w:eastAsia="en-US" w:bidi="ar-SA"/>
        </w:rPr>
        <w:t>1、国有资本经营预算支出（类）解决历史遗留问题及改革成本支出（款）国有企业退休人员社会化管理补助支出（项）：支出决算数为12.14万元，比上年决算减少6.48万元，下降34.80%，主要原因是：单位厉行节约，严格控制各项经费支出。</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20" w:firstLineChars="200"/>
        <w:jc w:val="both"/>
        <w:textAlignment w:val="auto"/>
        <w:outlineLvl w:val="9"/>
        <w:rPr>
          <w:rFonts w:ascii="Times New Roman" w:hAnsi="Times New Roman" w:eastAsia="方正黑体_GBK" w:cstheme="minorBidi"/>
          <w:b w:val="0"/>
          <w:bCs w:val="0"/>
          <w:sz w:val="31"/>
          <w:szCs w:val="32"/>
          <w:lang w:val="en-US" w:eastAsia="en-US" w:bidi="ar-SA"/>
        </w:rPr>
      </w:pPr>
      <w:r>
        <w:rPr>
          <w:rFonts w:ascii="Times New Roman" w:hAnsi="Times New Roman" w:eastAsia="方正黑体_GBK" w:cstheme="minorBidi"/>
          <w:b w:val="0"/>
          <w:bCs w:val="0"/>
          <w:sz w:val="31"/>
          <w:szCs w:val="32"/>
          <w:lang w:val="en-US" w:eastAsia="en-US" w:bidi="ar-SA"/>
        </w:rPr>
        <w:t>九、财政拨款“三公”经费支出决算情况说明</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20" w:firstLineChars="200"/>
        <w:jc w:val="both"/>
        <w:textAlignment w:val="auto"/>
        <w:outlineLvl w:val="9"/>
        <w:rPr>
          <w:rFonts w:hint="eastAsia" w:ascii="方正仿宋_GBK" w:hAnsi="方正仿宋_GBK" w:eastAsia="方正仿宋_GBK" w:cs="方正仿宋_GBK"/>
          <w:b w:val="0"/>
          <w:sz w:val="31"/>
          <w:szCs w:val="32"/>
          <w:lang w:val="en-US" w:eastAsia="en-US" w:bidi="ar-SA"/>
        </w:rPr>
      </w:pPr>
      <w:r>
        <w:rPr>
          <w:rFonts w:hint="eastAsia" w:ascii="方正仿宋_GBK" w:hAnsi="方正仿宋_GBK" w:eastAsia="方正仿宋_GBK" w:cs="方正仿宋_GBK"/>
          <w:b w:val="0"/>
          <w:sz w:val="31"/>
          <w:szCs w:val="32"/>
          <w:lang w:val="en-US" w:eastAsia="en-US" w:bidi="ar-SA"/>
        </w:rPr>
        <w:t>2024年度财政拨款“三公”经费支出5.58万元，比上年减少1.56万元，下降21.85%，主要原因是：单位厉行节约，严格控制三公经费支出。其中：因公出国（境）费支出0.00万元,占0.00%，与上年相比无变化，主要原因是：本年度无因公出国（境）费支出，与上年相比无变化；公务用车购置及运行维护费支出5.58万元，占100.00%，比上年减少1.56万元，下降21.85%，主要原因是：单位厉行节约，严格控制三公经费支出。；公务接待费支出0.00万元，占0.00%，与上年相比无变化，主要原因是：本年度无务公接待费支出，与上年相比无变化。</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20" w:firstLineChars="200"/>
        <w:jc w:val="both"/>
        <w:textAlignment w:val="auto"/>
        <w:outlineLvl w:val="9"/>
        <w:rPr>
          <w:rFonts w:hint="eastAsia" w:ascii="方正仿宋_GBK" w:hAnsi="方正仿宋_GBK" w:eastAsia="方正仿宋_GBK" w:cs="方正仿宋_GBK"/>
          <w:b w:val="0"/>
          <w:sz w:val="31"/>
          <w:szCs w:val="32"/>
          <w:lang w:val="en-US" w:eastAsia="en-US" w:bidi="ar-SA"/>
        </w:rPr>
      </w:pPr>
      <w:r>
        <w:rPr>
          <w:rFonts w:hint="eastAsia" w:ascii="方正仿宋_GBK" w:hAnsi="方正仿宋_GBK" w:eastAsia="方正仿宋_GBK" w:cs="方正仿宋_GBK"/>
          <w:b w:val="0"/>
          <w:sz w:val="31"/>
          <w:szCs w:val="32"/>
          <w:lang w:val="en-US" w:eastAsia="en-US" w:bidi="ar-SA"/>
        </w:rPr>
        <w:t>具体情况如下：</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20" w:firstLineChars="200"/>
        <w:jc w:val="both"/>
        <w:textAlignment w:val="auto"/>
        <w:outlineLvl w:val="9"/>
        <w:rPr>
          <w:rFonts w:hint="eastAsia" w:ascii="方正仿宋_GBK" w:hAnsi="方正仿宋_GBK" w:eastAsia="方正仿宋_GBK" w:cs="方正仿宋_GBK"/>
          <w:b w:val="0"/>
          <w:sz w:val="31"/>
          <w:szCs w:val="32"/>
          <w:lang w:val="en-US" w:eastAsia="en-US" w:bidi="ar-SA"/>
        </w:rPr>
      </w:pPr>
      <w:r>
        <w:rPr>
          <w:rFonts w:hint="eastAsia" w:ascii="方正仿宋_GBK" w:hAnsi="方正仿宋_GBK" w:eastAsia="方正仿宋_GBK" w:cs="方正仿宋_GBK"/>
          <w:b w:val="0"/>
          <w:sz w:val="31"/>
          <w:szCs w:val="32"/>
          <w:lang w:val="en-US" w:eastAsia="en-US" w:bidi="ar-SA"/>
        </w:rPr>
        <w:t>因公出国（境）费支出0.00万元，开支内容包括本年度无因公出国（境）费支出。单位全年安排的因公出国（境）团组0个，因公出国（境）0人次。</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20" w:firstLineChars="200"/>
        <w:jc w:val="both"/>
        <w:textAlignment w:val="auto"/>
        <w:outlineLvl w:val="9"/>
        <w:rPr>
          <w:rFonts w:hint="eastAsia" w:ascii="方正仿宋_GBK" w:hAnsi="方正仿宋_GBK" w:eastAsia="方正仿宋_GBK" w:cs="方正仿宋_GBK"/>
          <w:b w:val="0"/>
          <w:sz w:val="31"/>
          <w:szCs w:val="32"/>
          <w:lang w:val="en-US" w:eastAsia="en-US" w:bidi="ar-SA"/>
        </w:rPr>
      </w:pPr>
      <w:r>
        <w:rPr>
          <w:rFonts w:hint="eastAsia" w:ascii="方正仿宋_GBK" w:hAnsi="方正仿宋_GBK" w:eastAsia="方正仿宋_GBK" w:cs="方正仿宋_GBK"/>
          <w:b w:val="0"/>
          <w:sz w:val="31"/>
          <w:szCs w:val="32"/>
          <w:lang w:val="en-US" w:eastAsia="en-US" w:bidi="ar-SA"/>
        </w:rPr>
        <w:t>公务用车购置及运行维护费5.58万元，其中：公务用车购置费0.00万元，公务用车运行维护费5.58万元。公务用车运行维护费开支内容包括公务用车运行维护费开支内容包括日常公务、环境执法、项目验收监督等公务车的燃料费、维修费、保险费等支出。公务用车购置数0辆，公务用车保有量3辆。国有资产占用情况中固定资产车辆3辆，与公务用车保有量差异原因是：无差异。</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20" w:firstLineChars="200"/>
        <w:jc w:val="both"/>
        <w:textAlignment w:val="auto"/>
        <w:outlineLvl w:val="9"/>
        <w:rPr>
          <w:rFonts w:hint="eastAsia" w:ascii="方正仿宋_GBK" w:hAnsi="方正仿宋_GBK" w:eastAsia="方正仿宋_GBK" w:cs="方正仿宋_GBK"/>
          <w:b w:val="0"/>
          <w:sz w:val="31"/>
          <w:szCs w:val="32"/>
          <w:lang w:val="en-US" w:eastAsia="en-US" w:bidi="ar-SA"/>
        </w:rPr>
      </w:pPr>
      <w:r>
        <w:rPr>
          <w:rFonts w:hint="eastAsia" w:ascii="方正仿宋_GBK" w:hAnsi="方正仿宋_GBK" w:eastAsia="方正仿宋_GBK" w:cs="方正仿宋_GBK"/>
          <w:b w:val="0"/>
          <w:sz w:val="31"/>
          <w:szCs w:val="32"/>
          <w:lang w:val="en-US" w:eastAsia="en-US" w:bidi="ar-SA"/>
        </w:rPr>
        <w:t>公务接待费0.00万元，开支内容包括本年度无公务接待费。单位全年安排的国内公务接待0批次，0人次。</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20" w:firstLineChars="200"/>
        <w:jc w:val="both"/>
        <w:textAlignment w:val="auto"/>
        <w:outlineLvl w:val="9"/>
        <w:rPr>
          <w:rFonts w:hint="eastAsia" w:ascii="方正仿宋_GBK" w:hAnsi="方正仿宋_GBK" w:eastAsia="方正仿宋_GBK" w:cs="方正仿宋_GBK"/>
          <w:b w:val="0"/>
          <w:sz w:val="31"/>
          <w:szCs w:val="32"/>
          <w:lang w:val="en-US" w:eastAsia="en-US" w:bidi="ar-SA"/>
        </w:rPr>
      </w:pPr>
      <w:r>
        <w:rPr>
          <w:rFonts w:hint="eastAsia" w:ascii="方正仿宋_GBK" w:hAnsi="方正仿宋_GBK" w:eastAsia="方正仿宋_GBK" w:cs="方正仿宋_GBK"/>
          <w:b w:val="0"/>
          <w:sz w:val="31"/>
          <w:szCs w:val="32"/>
          <w:lang w:val="en-US" w:eastAsia="en-US" w:bidi="ar-SA"/>
        </w:rPr>
        <w:t>与全年预算相比，财政拨款“三公”经费支出全年预算数5.58万元，决算数5.58万元，预决算差异率0.00%，主要原因是：严格控制预算支出，预决算无差异。其中：因公出国（境）费全年预算数0.00万元，决算数0.00万元，预决算差异率0.00%，主要原因是：本年度无因公出国费支出，预决算无差异；公务用车购置费全年预算数0.00万元，决算数0.00万元，预决算差异率0.00%，主要原因是：本年度无公务用车购置支出，预决算无差异；公务用车运行维护费全年预算数5.58万元，决算数5.58万元，预决算差异率0.00%，主要原因是：严格控制预算支出，预决算无差异；公务接待费全年预算数0.00万元，决算数0.00万元，预决算差异率0.00%，主要原因是：本年度无公务接待费支出，预决算无差异。</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20" w:firstLineChars="200"/>
        <w:jc w:val="both"/>
        <w:textAlignment w:val="auto"/>
        <w:outlineLvl w:val="9"/>
        <w:rPr>
          <w:rFonts w:ascii="Times New Roman" w:hAnsi="Times New Roman" w:eastAsia="方正黑体_GBK" w:cstheme="minorBidi"/>
          <w:b w:val="0"/>
          <w:bCs w:val="0"/>
          <w:sz w:val="31"/>
          <w:szCs w:val="32"/>
          <w:lang w:val="en-US" w:eastAsia="en-US" w:bidi="ar-SA"/>
        </w:rPr>
      </w:pPr>
      <w:r>
        <w:rPr>
          <w:rFonts w:ascii="Times New Roman" w:hAnsi="Times New Roman" w:eastAsia="方正黑体_GBK" w:cstheme="minorBidi"/>
          <w:b w:val="0"/>
          <w:bCs w:val="0"/>
          <w:sz w:val="31"/>
          <w:szCs w:val="32"/>
          <w:lang w:val="en-US" w:eastAsia="en-US" w:bidi="ar-SA"/>
        </w:rPr>
        <w:t>十、其他重要事项的情况说明</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20" w:firstLineChars="200"/>
        <w:jc w:val="both"/>
        <w:textAlignment w:val="auto"/>
        <w:outlineLvl w:val="9"/>
        <w:rPr>
          <w:rFonts w:ascii="Times New Roman" w:hAnsi="Times New Roman" w:eastAsia="方正楷体_GBK" w:cstheme="minorBidi"/>
          <w:b w:val="0"/>
          <w:sz w:val="31"/>
          <w:szCs w:val="32"/>
          <w:lang w:val="en-US" w:eastAsia="en-US" w:bidi="ar-SA"/>
        </w:rPr>
      </w:pPr>
      <w:r>
        <w:rPr>
          <w:rFonts w:ascii="Times New Roman" w:hAnsi="Times New Roman" w:eastAsia="方正楷体_GBK" w:cstheme="minorBidi"/>
          <w:b w:val="0"/>
          <w:sz w:val="31"/>
          <w:szCs w:val="32"/>
          <w:lang w:val="en-US" w:eastAsia="en-US" w:bidi="ar-SA"/>
        </w:rPr>
        <w:t>（一）机关运行经费及公用经费支出情况</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20" w:firstLineChars="200"/>
        <w:jc w:val="both"/>
        <w:textAlignment w:val="auto"/>
        <w:outlineLvl w:val="9"/>
        <w:rPr>
          <w:rFonts w:hint="eastAsia" w:ascii="方正仿宋_GBK" w:hAnsi="方正仿宋_GBK" w:eastAsia="方正仿宋_GBK" w:cs="方正仿宋_GBK"/>
          <w:b w:val="0"/>
          <w:sz w:val="31"/>
          <w:szCs w:val="32"/>
          <w:lang w:val="en-US" w:eastAsia="en-US" w:bidi="ar-SA"/>
        </w:rPr>
      </w:pPr>
      <w:r>
        <w:rPr>
          <w:rFonts w:hint="eastAsia" w:ascii="方正仿宋_GBK" w:hAnsi="方正仿宋_GBK" w:eastAsia="方正仿宋_GBK" w:cs="方正仿宋_GBK"/>
          <w:b w:val="0"/>
          <w:sz w:val="31"/>
          <w:szCs w:val="32"/>
          <w:lang w:val="en-US" w:eastAsia="en-US" w:bidi="ar-SA"/>
        </w:rPr>
        <w:t>2024年度库尔勒市建设街道办事处单位（行政单位和参照公务员法管理事业单位）机关运行经费支出151.20万元，比上年增加108.09万元，增长250.73%，主要原因是：本年度使用公用经费支付了78名临聘人员劳务费。</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20" w:firstLineChars="200"/>
        <w:jc w:val="both"/>
        <w:textAlignment w:val="auto"/>
        <w:outlineLvl w:val="9"/>
        <w:rPr>
          <w:rFonts w:ascii="Times New Roman" w:hAnsi="Times New Roman" w:eastAsia="方正楷体_GBK" w:cstheme="minorBidi"/>
          <w:b w:val="0"/>
          <w:sz w:val="31"/>
          <w:szCs w:val="32"/>
          <w:lang w:val="en-US" w:eastAsia="en-US" w:bidi="ar-SA"/>
        </w:rPr>
      </w:pPr>
      <w:r>
        <w:rPr>
          <w:rFonts w:ascii="Times New Roman" w:hAnsi="Times New Roman" w:eastAsia="方正楷体_GBK" w:cstheme="minorBidi"/>
          <w:b w:val="0"/>
          <w:sz w:val="31"/>
          <w:szCs w:val="32"/>
          <w:lang w:val="en-US" w:eastAsia="en-US" w:bidi="ar-SA"/>
        </w:rPr>
        <w:t>（二）政府采购情况</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20" w:firstLineChars="200"/>
        <w:jc w:val="both"/>
        <w:textAlignment w:val="auto"/>
        <w:outlineLvl w:val="9"/>
        <w:rPr>
          <w:rFonts w:hint="eastAsia" w:ascii="方正仿宋_GBK" w:hAnsi="方正仿宋_GBK" w:eastAsia="方正仿宋_GBK" w:cs="方正仿宋_GBK"/>
          <w:b w:val="0"/>
          <w:sz w:val="31"/>
          <w:szCs w:val="32"/>
          <w:lang w:val="en-US" w:eastAsia="en-US" w:bidi="ar-SA"/>
        </w:rPr>
      </w:pPr>
      <w:r>
        <w:rPr>
          <w:rFonts w:hint="eastAsia" w:ascii="方正仿宋_GBK" w:hAnsi="方正仿宋_GBK" w:eastAsia="方正仿宋_GBK" w:cs="方正仿宋_GBK"/>
          <w:b w:val="0"/>
          <w:sz w:val="31"/>
          <w:szCs w:val="32"/>
          <w:lang w:val="en-US" w:eastAsia="en-US" w:bidi="ar-SA"/>
        </w:rPr>
        <w:t>2024年度政府采购支出总额6.92万元，其中：政府采购货物支出1.80万元、政府采购工程支出0.00万元、政府采购服务支出5.12万元。</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20" w:firstLineChars="200"/>
        <w:jc w:val="both"/>
        <w:textAlignment w:val="auto"/>
        <w:outlineLvl w:val="9"/>
        <w:rPr>
          <w:rFonts w:hint="eastAsia" w:ascii="方正仿宋_GBK" w:hAnsi="方正仿宋_GBK" w:eastAsia="方正仿宋_GBK" w:cs="方正仿宋_GBK"/>
          <w:b w:val="0"/>
          <w:sz w:val="31"/>
          <w:szCs w:val="32"/>
          <w:lang w:val="en-US" w:eastAsia="en-US" w:bidi="ar-SA"/>
        </w:rPr>
      </w:pPr>
      <w:r>
        <w:rPr>
          <w:rFonts w:hint="eastAsia" w:ascii="方正仿宋_GBK" w:hAnsi="方正仿宋_GBK" w:eastAsia="方正仿宋_GBK" w:cs="方正仿宋_GBK"/>
          <w:b w:val="0"/>
          <w:sz w:val="31"/>
          <w:szCs w:val="32"/>
          <w:lang w:val="en-US" w:eastAsia="en-US" w:bidi="ar-SA"/>
        </w:rPr>
        <w:t>授予中小企业合同金额4.88万元，占政府采购支出总额的70.52%，其中：授予小微企业合同金额4.88万元，占政府采购支出总额的70.52%。</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20" w:firstLineChars="200"/>
        <w:jc w:val="both"/>
        <w:textAlignment w:val="auto"/>
        <w:outlineLvl w:val="9"/>
        <w:rPr>
          <w:rFonts w:ascii="Times New Roman" w:hAnsi="Times New Roman" w:eastAsia="方正楷体_GBK" w:cstheme="minorBidi"/>
          <w:b w:val="0"/>
          <w:sz w:val="31"/>
          <w:szCs w:val="32"/>
          <w:lang w:val="en-US" w:eastAsia="en-US" w:bidi="ar-SA"/>
        </w:rPr>
      </w:pPr>
      <w:r>
        <w:rPr>
          <w:rFonts w:ascii="Times New Roman" w:hAnsi="Times New Roman" w:eastAsia="方正楷体_GBK" w:cstheme="minorBidi"/>
          <w:b w:val="0"/>
          <w:sz w:val="31"/>
          <w:szCs w:val="32"/>
          <w:lang w:val="en-US" w:eastAsia="en-US" w:bidi="ar-SA"/>
        </w:rPr>
        <w:t>（三）国有资产占用情况说明</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20" w:firstLineChars="200"/>
        <w:jc w:val="both"/>
        <w:textAlignment w:val="auto"/>
        <w:outlineLvl w:val="9"/>
        <w:rPr>
          <w:rFonts w:hint="eastAsia" w:ascii="方正仿宋_GBK" w:hAnsi="方正仿宋_GBK" w:eastAsia="方正仿宋_GBK" w:cs="方正仿宋_GBK"/>
          <w:b w:val="0"/>
          <w:sz w:val="31"/>
          <w:szCs w:val="32"/>
          <w:lang w:val="en-US" w:eastAsia="en-US" w:bidi="ar-SA"/>
        </w:rPr>
      </w:pPr>
      <w:r>
        <w:rPr>
          <w:rFonts w:hint="eastAsia" w:ascii="方正仿宋_GBK" w:hAnsi="方正仿宋_GBK" w:eastAsia="方正仿宋_GBK" w:cs="方正仿宋_GBK"/>
          <w:b w:val="0"/>
          <w:sz w:val="31"/>
          <w:szCs w:val="32"/>
          <w:lang w:val="en-US" w:eastAsia="en-US" w:bidi="ar-SA"/>
        </w:rPr>
        <w:t>截至2024年12月31日，房屋6,650.00平方米，价值1,252.44万元。车辆3辆，价值20.88万元，其中：副部（省）级及以上领导用车0辆、主要负责人用车0辆、机要通信用车0辆、应急保障用车0辆、执法执勤用车0辆、特种专业技术用车0辆、离退休干部服务用车0辆、其他用车3辆，其他用车主要是：巡逻车1辆、物资专用车1辆、业务用车1辆;单价100万元（含）以上设备（不含车辆）0台（套）。</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20" w:firstLineChars="200"/>
        <w:jc w:val="both"/>
        <w:textAlignment w:val="auto"/>
        <w:outlineLvl w:val="9"/>
        <w:rPr>
          <w:rFonts w:ascii="Times New Roman" w:hAnsi="Times New Roman" w:eastAsia="方正黑体_GBK" w:cstheme="minorBidi"/>
          <w:b w:val="0"/>
          <w:bCs w:val="0"/>
          <w:sz w:val="31"/>
          <w:szCs w:val="32"/>
          <w:lang w:val="en-US" w:eastAsia="en-US" w:bidi="ar-SA"/>
        </w:rPr>
      </w:pPr>
      <w:r>
        <w:rPr>
          <w:rFonts w:ascii="Times New Roman" w:hAnsi="Times New Roman" w:eastAsia="方正黑体_GBK" w:cstheme="minorBidi"/>
          <w:b w:val="0"/>
          <w:bCs w:val="0"/>
          <w:sz w:val="31"/>
          <w:szCs w:val="32"/>
          <w:lang w:val="en-US" w:eastAsia="en-US" w:bidi="ar-SA"/>
        </w:rPr>
        <w:t>十一、预算绩效的情况说明</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20" w:firstLineChars="200"/>
        <w:jc w:val="both"/>
        <w:textAlignment w:val="auto"/>
        <w:outlineLvl w:val="9"/>
        <w:rPr>
          <w:rFonts w:hint="eastAsia" w:ascii="方正仿宋_GBK" w:hAnsi="方正仿宋_GBK" w:eastAsia="方正仿宋_GBK" w:cs="方正仿宋_GBK"/>
          <w:b w:val="0"/>
          <w:sz w:val="31"/>
          <w:szCs w:val="32"/>
          <w:lang w:val="en-US" w:eastAsia="en-US" w:bidi="ar-SA"/>
        </w:rPr>
      </w:pPr>
      <w:r>
        <w:rPr>
          <w:rFonts w:hint="eastAsia" w:ascii="方正仿宋_GBK" w:hAnsi="方正仿宋_GBK" w:eastAsia="方正仿宋_GBK" w:cs="方正仿宋_GBK"/>
          <w:b w:val="0"/>
          <w:sz w:val="31"/>
          <w:szCs w:val="32"/>
          <w:lang w:val="en-US" w:eastAsia="en-US" w:bidi="ar-SA"/>
        </w:rPr>
        <w:t>根据预算绩效管理要求，本单位2024年度预算绩效管理形成整体支出绩效自评表1个，全年预算总额1,642.59万元，实际执行总额1,642.59万元；预算绩效评价项目8个，全年预算数462.93万元，全年执行数162.69万元。预算绩效管理取得的成效：一是各项资金的有效使用，对改善基层设施条件，加快构建现代化服务体系，为居民提供良好的生活环境，更好的长期开展基层综合治理工作起到了关键作用；二是为民办好事、办实事，提升了居民满意度。发现的问题及原因：一是项目资金执行率存在加强与上升空间，需要有关部门加强工作效率，在重点工作的完成率和完成度上都需要进一步提升。二是项目资金执行力度需进一步加强。。下一步改进措施：一是细化预算编制工作，严格按照预算编制的相关制度和要求做好预算的编制，进一步加强预算管理意识；全面编制预算项目，优先保障固定的、相对刚性的费用支出项目，尽量压缩变动的、有控制空间的费用项目，进一步提高预算编制的科学性、严谨性和可控性；二是加强财务管理，严格财务审批。在费用保障支付时，按照预算规定的费用项目和用途进行资金使用、审核、列报支付，财务核算杜绝超预算支付的发生。三是加强项目实时监控，严格按照相关要求对相关项目的资金进行使用，确保资金专款专用及时有效。具体附部门整体支出绩效自评表，项目支出绩效自评表和部门评价报告。</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20" w:firstLineChars="200"/>
        <w:jc w:val="both"/>
        <w:textAlignment w:val="auto"/>
        <w:outlineLvl w:val="9"/>
        <w:rPr>
          <w:rFonts w:ascii="Times New Roman" w:hAnsi="Times New Roman" w:eastAsia="方正黑体_GBK" w:cstheme="minorBidi"/>
          <w:b w:val="0"/>
          <w:bCs w:val="0"/>
          <w:sz w:val="31"/>
          <w:szCs w:val="32"/>
          <w:lang w:val="en-US" w:eastAsia="en-US" w:bidi="ar-SA"/>
        </w:rPr>
      </w:pPr>
      <w:r>
        <w:rPr>
          <w:rFonts w:ascii="Times New Roman" w:hAnsi="Times New Roman" w:eastAsia="方正黑体_GBK" w:cstheme="minorBidi"/>
          <w:b w:val="0"/>
          <w:bCs w:val="0"/>
          <w:sz w:val="31"/>
          <w:szCs w:val="32"/>
          <w:lang w:val="en-US" w:eastAsia="en-US" w:bidi="ar-SA"/>
        </w:rPr>
        <w:t>十二、其他需说明的事项</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20" w:firstLineChars="200"/>
        <w:jc w:val="both"/>
        <w:textAlignment w:val="auto"/>
        <w:outlineLvl w:val="9"/>
        <w:rPr>
          <w:rFonts w:hint="eastAsia" w:ascii="方正仿宋_GBK" w:hAnsi="方正仿宋_GBK" w:eastAsia="方正仿宋_GBK" w:cs="方正仿宋_GBK"/>
          <w:b w:val="0"/>
          <w:sz w:val="31"/>
          <w:szCs w:val="32"/>
          <w:lang w:val="en-US" w:eastAsia="en-US" w:bidi="ar-SA"/>
        </w:rPr>
      </w:pPr>
      <w:r>
        <w:rPr>
          <w:rFonts w:hint="eastAsia" w:ascii="方正仿宋_GBK" w:hAnsi="方正仿宋_GBK" w:eastAsia="方正仿宋_GBK" w:cs="方正仿宋_GBK"/>
          <w:b w:val="0"/>
          <w:sz w:val="31"/>
          <w:szCs w:val="32"/>
          <w:lang w:val="en-US" w:eastAsia="en-US" w:bidi="ar-SA"/>
        </w:rPr>
        <w:t>本单位无其他需说明事项。</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20" w:firstLineChars="200"/>
        <w:jc w:val="both"/>
        <w:textAlignment w:val="auto"/>
        <w:outlineLvl w:val="9"/>
        <w:rPr>
          <w:rFonts w:hint="eastAsia" w:ascii="方正仿宋_GBK" w:hAnsi="方正仿宋_GBK" w:eastAsia="方正仿宋_GBK" w:cs="方正仿宋_GBK"/>
          <w:b w:val="0"/>
          <w:sz w:val="31"/>
          <w:szCs w:val="32"/>
          <w:lang w:val="en-US" w:eastAsia="en-US" w:bidi="ar-SA"/>
        </w:rPr>
      </w:pPr>
    </w:p>
    <w:p>
      <w:pPr>
        <w:widowControl/>
      </w:pPr>
      <w:r>
        <w:rPr>
          <w:b w:val="0"/>
          <w:sz w:val="0"/>
          <w:szCs w:val="0"/>
        </w:rPr>
        <w:br w:type="page"/>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20" w:firstLineChars="200"/>
        <w:jc w:val="both"/>
        <w:textAlignment w:val="auto"/>
        <w:outlineLvl w:val="9"/>
        <w:rPr>
          <w:rFonts w:ascii="Times New Roman" w:hAnsi="Times New Roman" w:eastAsia="方正黑体_GBK" w:cstheme="minorBidi"/>
          <w:b w:val="0"/>
          <w:bCs w:val="0"/>
          <w:sz w:val="31"/>
          <w:szCs w:val="32"/>
          <w:lang w:val="en-US" w:eastAsia="en-US" w:bidi="ar-SA"/>
        </w:rPr>
      </w:pPr>
      <w:r>
        <w:rPr>
          <w:rFonts w:ascii="Times New Roman" w:hAnsi="Times New Roman" w:eastAsia="方正黑体_GBK" w:cstheme="minorBidi"/>
          <w:b w:val="0"/>
          <w:bCs w:val="0"/>
          <w:sz w:val="31"/>
          <w:szCs w:val="32"/>
          <w:lang w:val="en-US" w:eastAsia="en-US" w:bidi="ar-SA"/>
        </w:rPr>
        <w:t>第三部分专业名词解释</w:t>
      </w:r>
    </w:p>
    <w:p>
      <w:pPr>
        <w:widowControl/>
        <w:spacing w:before="0" w:beforeLines="0" w:beforeAutospacing="0" w:after="0" w:afterLines="0" w:afterAutospacing="0" w:line="240" w:lineRule="auto"/>
        <w:ind w:firstLine="620" w:firstLineChars="200"/>
        <w:jc w:val="left"/>
        <w:rPr>
          <w:rFonts w:ascii="Times New Roman" w:hAnsi="Times New Roman" w:eastAsia="方正仿宋_GBK" w:cstheme="minorBidi"/>
          <w:b w:val="0"/>
          <w:sz w:val="31"/>
          <w:szCs w:val="32"/>
          <w:lang w:val="en-US" w:eastAsia="en-US" w:bidi="ar-SA"/>
        </w:rPr>
      </w:pPr>
      <w:r>
        <w:rPr>
          <w:rFonts w:ascii="Times New Roman" w:hAnsi="Times New Roman" w:eastAsia="方正黑体_GBK" w:cstheme="minorBidi"/>
          <w:b w:val="0"/>
          <w:bCs w:val="0"/>
          <w:sz w:val="31"/>
          <w:szCs w:val="32"/>
          <w:lang w:val="en-US" w:eastAsia="en-US" w:bidi="ar-SA"/>
        </w:rPr>
        <w:t>一、财政拨款收入：</w:t>
      </w:r>
      <w:r>
        <w:rPr>
          <w:rFonts w:ascii="Times New Roman" w:hAnsi="Times New Roman" w:eastAsia="方正仿宋_GBK" w:cstheme="minorBidi"/>
          <w:b w:val="0"/>
          <w:sz w:val="31"/>
          <w:szCs w:val="32"/>
          <w:lang w:val="en-US" w:eastAsia="en-US" w:bidi="ar-SA"/>
        </w:rPr>
        <w:t>指同级财政当年拨付的资金。</w:t>
      </w:r>
    </w:p>
    <w:p>
      <w:pPr>
        <w:widowControl/>
        <w:spacing w:before="0" w:beforeLines="0" w:beforeAutospacing="0" w:after="0" w:afterLines="0" w:afterAutospacing="0" w:line="240" w:lineRule="auto"/>
        <w:ind w:firstLine="620" w:firstLineChars="200"/>
        <w:jc w:val="left"/>
        <w:rPr>
          <w:rFonts w:ascii="Times New Roman" w:hAnsi="Times New Roman" w:eastAsia="方正仿宋_GBK" w:cstheme="minorBidi"/>
          <w:b w:val="0"/>
          <w:sz w:val="31"/>
          <w:szCs w:val="32"/>
          <w:lang w:val="en-US" w:eastAsia="en-US" w:bidi="ar-SA"/>
        </w:rPr>
      </w:pPr>
      <w:r>
        <w:rPr>
          <w:rFonts w:ascii="Times New Roman" w:hAnsi="Times New Roman" w:eastAsia="方正黑体_GBK" w:cstheme="minorBidi"/>
          <w:b w:val="0"/>
          <w:bCs w:val="0"/>
          <w:sz w:val="31"/>
          <w:szCs w:val="32"/>
          <w:lang w:val="en-US" w:eastAsia="en-US" w:bidi="ar-SA"/>
        </w:rPr>
        <w:t>二、上级补助收入：</w:t>
      </w:r>
      <w:r>
        <w:rPr>
          <w:rFonts w:ascii="Times New Roman" w:hAnsi="Times New Roman" w:eastAsia="方正仿宋_GBK" w:cstheme="minorBidi"/>
          <w:b w:val="0"/>
          <w:sz w:val="31"/>
          <w:szCs w:val="32"/>
          <w:lang w:val="en-US" w:eastAsia="en-US" w:bidi="ar-SA"/>
        </w:rPr>
        <w:t>指事业单位从主管部门和上级单位取得的非财政补助收入。</w:t>
      </w:r>
    </w:p>
    <w:p>
      <w:pPr>
        <w:widowControl/>
        <w:spacing w:before="0" w:beforeLines="0" w:beforeAutospacing="0" w:after="0" w:afterLines="0" w:afterAutospacing="0" w:line="240" w:lineRule="auto"/>
        <w:ind w:firstLine="620" w:firstLineChars="200"/>
        <w:jc w:val="left"/>
        <w:rPr>
          <w:rFonts w:ascii="Times New Roman" w:hAnsi="Times New Roman" w:eastAsia="方正仿宋_GBK" w:cstheme="minorBidi"/>
          <w:b w:val="0"/>
          <w:sz w:val="31"/>
          <w:szCs w:val="32"/>
          <w:lang w:val="en-US" w:eastAsia="en-US" w:bidi="ar-SA"/>
        </w:rPr>
      </w:pPr>
      <w:r>
        <w:rPr>
          <w:rFonts w:ascii="Times New Roman" w:hAnsi="Times New Roman" w:eastAsia="方正黑体_GBK" w:cstheme="minorBidi"/>
          <w:b w:val="0"/>
          <w:bCs w:val="0"/>
          <w:sz w:val="31"/>
          <w:szCs w:val="32"/>
          <w:lang w:val="en-US" w:eastAsia="en-US" w:bidi="ar-SA"/>
        </w:rPr>
        <w:t>三、事业收入：</w:t>
      </w:r>
      <w:r>
        <w:rPr>
          <w:rFonts w:ascii="Times New Roman" w:hAnsi="Times New Roman" w:eastAsia="方正仿宋_GBK" w:cstheme="minorBidi"/>
          <w:b w:val="0"/>
          <w:sz w:val="31"/>
          <w:szCs w:val="32"/>
          <w:lang w:val="en-US" w:eastAsia="en-US" w:bidi="ar-SA"/>
        </w:rPr>
        <w:t>指事业单位开展专业业务活动及其辅助活动所取得的收入。</w:t>
      </w:r>
    </w:p>
    <w:p>
      <w:pPr>
        <w:widowControl/>
        <w:spacing w:before="0" w:beforeLines="0" w:beforeAutospacing="0" w:after="0" w:afterLines="0" w:afterAutospacing="0" w:line="240" w:lineRule="auto"/>
        <w:ind w:firstLine="620" w:firstLineChars="200"/>
        <w:jc w:val="left"/>
        <w:rPr>
          <w:rFonts w:ascii="Times New Roman" w:hAnsi="Times New Roman" w:eastAsia="方正仿宋_GBK" w:cstheme="minorBidi"/>
          <w:b w:val="0"/>
          <w:sz w:val="31"/>
          <w:szCs w:val="32"/>
          <w:lang w:val="en-US" w:eastAsia="en-US" w:bidi="ar-SA"/>
        </w:rPr>
      </w:pPr>
      <w:r>
        <w:rPr>
          <w:rFonts w:ascii="Times New Roman" w:hAnsi="Times New Roman" w:eastAsia="方正黑体_GBK" w:cstheme="minorBidi"/>
          <w:b w:val="0"/>
          <w:bCs w:val="0"/>
          <w:sz w:val="31"/>
          <w:szCs w:val="32"/>
          <w:lang w:val="en-US" w:eastAsia="en-US" w:bidi="ar-SA"/>
        </w:rPr>
        <w:t>四、经营收入：</w:t>
      </w:r>
      <w:r>
        <w:rPr>
          <w:rFonts w:ascii="Times New Roman" w:hAnsi="Times New Roman" w:eastAsia="方正仿宋_GBK" w:cstheme="minorBidi"/>
          <w:b w:val="0"/>
          <w:sz w:val="31"/>
          <w:szCs w:val="32"/>
          <w:lang w:val="en-US" w:eastAsia="en-US" w:bidi="ar-SA"/>
        </w:rPr>
        <w:t>指事业单位在专业业务活动及其辅助活动之外开展非独立核算经营活动取得的收入。</w:t>
      </w:r>
    </w:p>
    <w:p>
      <w:pPr>
        <w:widowControl/>
        <w:spacing w:before="0" w:beforeLines="0" w:beforeAutospacing="0" w:after="0" w:afterLines="0" w:afterAutospacing="0" w:line="240" w:lineRule="auto"/>
        <w:ind w:firstLine="620" w:firstLineChars="200"/>
        <w:jc w:val="left"/>
        <w:rPr>
          <w:rFonts w:ascii="Times New Roman" w:hAnsi="Times New Roman" w:eastAsia="方正仿宋_GBK" w:cstheme="minorBidi"/>
          <w:b w:val="0"/>
          <w:sz w:val="31"/>
          <w:szCs w:val="32"/>
          <w:lang w:val="en-US" w:eastAsia="en-US" w:bidi="ar-SA"/>
        </w:rPr>
      </w:pPr>
      <w:r>
        <w:rPr>
          <w:rFonts w:ascii="Times New Roman" w:hAnsi="Times New Roman" w:eastAsia="方正黑体_GBK" w:cstheme="minorBidi"/>
          <w:b w:val="0"/>
          <w:bCs w:val="0"/>
          <w:sz w:val="31"/>
          <w:szCs w:val="32"/>
          <w:lang w:val="en-US" w:eastAsia="en-US" w:bidi="ar-SA"/>
        </w:rPr>
        <w:t>五、附属单位上缴收入：</w:t>
      </w:r>
      <w:r>
        <w:rPr>
          <w:rFonts w:ascii="Times New Roman" w:hAnsi="Times New Roman" w:eastAsia="方正仿宋_GBK" w:cstheme="minorBidi"/>
          <w:b w:val="0"/>
          <w:sz w:val="31"/>
          <w:szCs w:val="32"/>
          <w:lang w:val="en-US" w:eastAsia="en-US" w:bidi="ar-SA"/>
        </w:rPr>
        <w:t>指事业单位附属的独立核算单位按有关规定上缴的收入。</w:t>
      </w:r>
    </w:p>
    <w:p>
      <w:pPr>
        <w:widowControl/>
        <w:spacing w:before="0" w:beforeLines="0" w:beforeAutospacing="0" w:after="0" w:afterLines="0" w:afterAutospacing="0" w:line="240" w:lineRule="auto"/>
        <w:ind w:firstLine="620" w:firstLineChars="200"/>
        <w:jc w:val="left"/>
        <w:rPr>
          <w:rFonts w:ascii="Times New Roman" w:hAnsi="Times New Roman" w:eastAsia="方正仿宋_GBK" w:cstheme="minorBidi"/>
          <w:b w:val="0"/>
          <w:sz w:val="31"/>
          <w:szCs w:val="32"/>
          <w:lang w:val="en-US" w:eastAsia="en-US" w:bidi="ar-SA"/>
        </w:rPr>
      </w:pPr>
      <w:r>
        <w:rPr>
          <w:rFonts w:ascii="Times New Roman" w:hAnsi="Times New Roman" w:eastAsia="方正黑体_GBK" w:cstheme="minorBidi"/>
          <w:b w:val="0"/>
          <w:bCs w:val="0"/>
          <w:sz w:val="31"/>
          <w:szCs w:val="32"/>
          <w:lang w:val="en-US" w:eastAsia="en-US" w:bidi="ar-SA"/>
        </w:rPr>
        <w:t>六、其他收入：</w:t>
      </w:r>
      <w:r>
        <w:rPr>
          <w:rFonts w:ascii="Times New Roman" w:hAnsi="Times New Roman" w:eastAsia="方正仿宋_GBK" w:cstheme="minorBidi"/>
          <w:b w:val="0"/>
          <w:sz w:val="31"/>
          <w:szCs w:val="32"/>
          <w:lang w:val="en-US" w:eastAsia="en-US" w:bidi="ar-SA"/>
        </w:rPr>
        <w:t>指除上述“财政拨款收入”、“事业收入”、“经营收入”、“附属单位上缴收入”等之外取得的收入。</w:t>
      </w:r>
    </w:p>
    <w:p>
      <w:pPr>
        <w:widowControl/>
        <w:spacing w:before="0" w:beforeLines="0" w:beforeAutospacing="0" w:after="0" w:afterLines="0" w:afterAutospacing="0" w:line="240" w:lineRule="auto"/>
        <w:ind w:firstLine="620" w:firstLineChars="200"/>
        <w:jc w:val="left"/>
        <w:rPr>
          <w:rFonts w:ascii="Times New Roman" w:hAnsi="Times New Roman" w:eastAsia="方正仿宋_GBK" w:cstheme="minorBidi"/>
          <w:b w:val="0"/>
          <w:sz w:val="31"/>
          <w:szCs w:val="32"/>
          <w:lang w:val="en-US" w:eastAsia="en-US" w:bidi="ar-SA"/>
        </w:rPr>
      </w:pPr>
      <w:r>
        <w:rPr>
          <w:rFonts w:ascii="Times New Roman" w:hAnsi="Times New Roman" w:eastAsia="方正黑体_GBK" w:cstheme="minorBidi"/>
          <w:b w:val="0"/>
          <w:bCs w:val="0"/>
          <w:sz w:val="31"/>
          <w:szCs w:val="32"/>
          <w:lang w:val="en-US" w:eastAsia="en-US" w:bidi="ar-SA"/>
        </w:rPr>
        <w:t>七、年初结转和结余：</w:t>
      </w:r>
      <w:r>
        <w:rPr>
          <w:rFonts w:ascii="Times New Roman" w:hAnsi="Times New Roman" w:eastAsia="方正仿宋_GBK" w:cstheme="minorBidi"/>
          <w:b w:val="0"/>
          <w:sz w:val="31"/>
          <w:szCs w:val="32"/>
          <w:lang w:val="en-US" w:eastAsia="en-US" w:bidi="ar-SA"/>
        </w:rPr>
        <w:t>指以前年度支出预算因客观条件变化未执行完毕、结转到本年度按有关规定继续使用的资金，既包括财政拨款结转和结余，也包括事业收入、经营收入、其他收入的结转和结余。</w:t>
      </w:r>
    </w:p>
    <w:p>
      <w:pPr>
        <w:widowControl/>
        <w:spacing w:before="0" w:beforeLines="0" w:beforeAutospacing="0" w:after="0" w:afterLines="0" w:afterAutospacing="0" w:line="240" w:lineRule="auto"/>
        <w:ind w:firstLine="620" w:firstLineChars="200"/>
        <w:jc w:val="left"/>
        <w:rPr>
          <w:rFonts w:ascii="Times New Roman" w:hAnsi="Times New Roman" w:eastAsia="方正仿宋_GBK" w:cstheme="minorBidi"/>
          <w:b w:val="0"/>
          <w:sz w:val="31"/>
          <w:szCs w:val="32"/>
          <w:lang w:val="en-US" w:eastAsia="en-US" w:bidi="ar-SA"/>
        </w:rPr>
      </w:pPr>
      <w:r>
        <w:rPr>
          <w:rFonts w:ascii="Times New Roman" w:hAnsi="Times New Roman" w:eastAsia="方正黑体_GBK" w:cstheme="minorBidi"/>
          <w:b w:val="0"/>
          <w:bCs w:val="0"/>
          <w:sz w:val="31"/>
          <w:szCs w:val="32"/>
          <w:lang w:val="en-US" w:eastAsia="en-US" w:bidi="ar-SA"/>
        </w:rPr>
        <w:t>八、年末结转和结余：</w:t>
      </w:r>
      <w:r>
        <w:rPr>
          <w:rFonts w:ascii="Times New Roman" w:hAnsi="Times New Roman" w:eastAsia="方正仿宋_GBK" w:cstheme="minorBidi"/>
          <w:b w:val="0"/>
          <w:sz w:val="31"/>
          <w:szCs w:val="32"/>
          <w:lang w:val="en-US" w:eastAsia="en-US" w:bidi="ar-SA"/>
        </w:rPr>
        <w:t>指本年度或以前年度预算安排、因客观条件发生变化无法按原计划实施，需要延迟到以后年度按有关规定继续使用的资金，既包括财政拨款结转和结余，也包括事业收入、经营收入、其他收入的结转和结余。</w:t>
      </w:r>
    </w:p>
    <w:p>
      <w:pPr>
        <w:widowControl/>
        <w:spacing w:before="0" w:beforeLines="0" w:beforeAutospacing="0" w:after="0" w:afterLines="0" w:afterAutospacing="0" w:line="240" w:lineRule="auto"/>
        <w:ind w:firstLine="620" w:firstLineChars="200"/>
        <w:jc w:val="left"/>
        <w:rPr>
          <w:rFonts w:ascii="Times New Roman" w:hAnsi="Times New Roman" w:eastAsia="方正仿宋_GBK" w:cstheme="minorBidi"/>
          <w:b w:val="0"/>
          <w:sz w:val="31"/>
          <w:szCs w:val="32"/>
          <w:lang w:val="en-US" w:eastAsia="en-US" w:bidi="ar-SA"/>
        </w:rPr>
      </w:pPr>
      <w:r>
        <w:rPr>
          <w:rFonts w:ascii="Times New Roman" w:hAnsi="Times New Roman" w:eastAsia="方正黑体_GBK" w:cstheme="minorBidi"/>
          <w:b w:val="0"/>
          <w:bCs w:val="0"/>
          <w:sz w:val="31"/>
          <w:szCs w:val="32"/>
          <w:lang w:val="en-US" w:eastAsia="en-US" w:bidi="ar-SA"/>
        </w:rPr>
        <w:t>九、基本支出：</w:t>
      </w:r>
      <w:r>
        <w:rPr>
          <w:rFonts w:ascii="Times New Roman" w:hAnsi="Times New Roman" w:eastAsia="方正仿宋_GBK" w:cstheme="minorBidi"/>
          <w:b w:val="0"/>
          <w:sz w:val="31"/>
          <w:szCs w:val="32"/>
          <w:lang w:val="en-US" w:eastAsia="en-US" w:bidi="ar-SA"/>
        </w:rPr>
        <w:t>指为保障机构正常运转、完成日常工作任务而发生的人员支出和公用支出。</w:t>
      </w:r>
    </w:p>
    <w:p>
      <w:pPr>
        <w:widowControl/>
        <w:spacing w:before="0" w:beforeLines="0" w:beforeAutospacing="0" w:after="0" w:afterLines="0" w:afterAutospacing="0" w:line="240" w:lineRule="auto"/>
        <w:ind w:firstLine="620" w:firstLineChars="200"/>
        <w:jc w:val="left"/>
        <w:rPr>
          <w:rFonts w:ascii="Times New Roman" w:hAnsi="Times New Roman" w:eastAsia="方正仿宋_GBK" w:cstheme="minorBidi"/>
          <w:b w:val="0"/>
          <w:sz w:val="31"/>
          <w:szCs w:val="32"/>
          <w:lang w:val="en-US" w:eastAsia="en-US" w:bidi="ar-SA"/>
        </w:rPr>
      </w:pPr>
      <w:r>
        <w:rPr>
          <w:rFonts w:ascii="Times New Roman" w:hAnsi="Times New Roman" w:eastAsia="方正黑体_GBK" w:cstheme="minorBidi"/>
          <w:b w:val="0"/>
          <w:bCs w:val="0"/>
          <w:sz w:val="31"/>
          <w:szCs w:val="32"/>
          <w:lang w:val="en-US" w:eastAsia="en-US" w:bidi="ar-SA"/>
        </w:rPr>
        <w:t>十、项目支出：</w:t>
      </w:r>
      <w:r>
        <w:rPr>
          <w:rFonts w:ascii="Times New Roman" w:hAnsi="Times New Roman" w:eastAsia="方正仿宋_GBK" w:cstheme="minorBidi"/>
          <w:b w:val="0"/>
          <w:sz w:val="31"/>
          <w:szCs w:val="32"/>
          <w:lang w:val="en-US" w:eastAsia="en-US" w:bidi="ar-SA"/>
        </w:rPr>
        <w:t>指在基本支出之外为完成特定行政任务和事业发展目标所发生的支出。</w:t>
      </w:r>
    </w:p>
    <w:p>
      <w:pPr>
        <w:widowControl/>
        <w:spacing w:before="0" w:beforeLines="0" w:beforeAutospacing="0" w:after="0" w:afterLines="0" w:afterAutospacing="0" w:line="240" w:lineRule="auto"/>
        <w:ind w:firstLine="620" w:firstLineChars="200"/>
        <w:jc w:val="left"/>
        <w:rPr>
          <w:rFonts w:ascii="Times New Roman" w:hAnsi="Times New Roman" w:eastAsia="方正仿宋_GBK" w:cstheme="minorBidi"/>
          <w:b w:val="0"/>
          <w:sz w:val="31"/>
          <w:szCs w:val="32"/>
          <w:lang w:val="en-US" w:eastAsia="en-US" w:bidi="ar-SA"/>
        </w:rPr>
      </w:pPr>
      <w:r>
        <w:rPr>
          <w:rFonts w:ascii="Times New Roman" w:hAnsi="Times New Roman" w:eastAsia="方正黑体_GBK" w:cstheme="minorBidi"/>
          <w:b w:val="0"/>
          <w:bCs w:val="0"/>
          <w:sz w:val="31"/>
          <w:szCs w:val="32"/>
          <w:lang w:val="en-US" w:eastAsia="en-US" w:bidi="ar-SA"/>
        </w:rPr>
        <w:t>十一、经营支出：</w:t>
      </w:r>
      <w:r>
        <w:rPr>
          <w:rFonts w:ascii="Times New Roman" w:hAnsi="Times New Roman" w:eastAsia="方正仿宋_GBK" w:cstheme="minorBidi"/>
          <w:b w:val="0"/>
          <w:sz w:val="31"/>
          <w:szCs w:val="32"/>
          <w:lang w:val="en-US" w:eastAsia="en-US" w:bidi="ar-SA"/>
        </w:rPr>
        <w:t>指事业单位在专业业务活动及其辅助活动之外开展非独立核算经营活动发生的支出。</w:t>
      </w:r>
    </w:p>
    <w:p>
      <w:pPr>
        <w:widowControl/>
        <w:spacing w:before="0" w:beforeLines="0" w:beforeAutospacing="0" w:after="0" w:afterLines="0" w:afterAutospacing="0" w:line="240" w:lineRule="auto"/>
        <w:ind w:firstLine="620" w:firstLineChars="200"/>
        <w:jc w:val="left"/>
        <w:rPr>
          <w:rFonts w:ascii="Times New Roman" w:hAnsi="Times New Roman" w:eastAsia="方正仿宋_GBK" w:cstheme="minorBidi"/>
          <w:b w:val="0"/>
          <w:sz w:val="31"/>
          <w:szCs w:val="32"/>
          <w:lang w:val="en-US" w:eastAsia="en-US" w:bidi="ar-SA"/>
        </w:rPr>
      </w:pPr>
      <w:r>
        <w:rPr>
          <w:rFonts w:ascii="Times New Roman" w:hAnsi="Times New Roman" w:eastAsia="方正黑体_GBK" w:cstheme="minorBidi"/>
          <w:b w:val="0"/>
          <w:bCs w:val="0"/>
          <w:sz w:val="31"/>
          <w:szCs w:val="32"/>
          <w:lang w:val="en-US" w:eastAsia="en-US" w:bidi="ar-SA"/>
        </w:rPr>
        <w:t>十二、对附属单位补助支出：</w:t>
      </w:r>
      <w:r>
        <w:rPr>
          <w:rFonts w:ascii="Times New Roman" w:hAnsi="Times New Roman" w:eastAsia="方正仿宋_GBK" w:cstheme="minorBidi"/>
          <w:b w:val="0"/>
          <w:sz w:val="31"/>
          <w:szCs w:val="32"/>
          <w:lang w:val="en-US" w:eastAsia="en-US" w:bidi="ar-SA"/>
        </w:rPr>
        <w:t>指事业单位发生的用非财政预算资金对附属单位的补助支出。</w:t>
      </w:r>
    </w:p>
    <w:p>
      <w:pPr>
        <w:widowControl/>
        <w:spacing w:before="0" w:beforeLines="0" w:beforeAutospacing="0" w:after="0" w:afterLines="0" w:afterAutospacing="0" w:line="240" w:lineRule="auto"/>
        <w:ind w:firstLine="620" w:firstLineChars="200"/>
        <w:jc w:val="left"/>
        <w:rPr>
          <w:rFonts w:ascii="Times New Roman" w:hAnsi="Times New Roman" w:eastAsia="方正仿宋_GBK" w:cstheme="minorBidi"/>
          <w:b w:val="0"/>
          <w:sz w:val="31"/>
          <w:szCs w:val="32"/>
          <w:lang w:val="en-US" w:eastAsia="en-US" w:bidi="ar-SA"/>
        </w:rPr>
      </w:pPr>
      <w:r>
        <w:rPr>
          <w:rFonts w:ascii="Times New Roman" w:hAnsi="Times New Roman" w:eastAsia="方正黑体_GBK" w:cstheme="minorBidi"/>
          <w:b w:val="0"/>
          <w:bCs w:val="0"/>
          <w:sz w:val="31"/>
          <w:szCs w:val="32"/>
          <w:lang w:val="en-US" w:eastAsia="en-US" w:bidi="ar-SA"/>
        </w:rPr>
        <w:t>十三、“三公”经费：</w:t>
      </w:r>
      <w:r>
        <w:rPr>
          <w:rFonts w:ascii="Times New Roman" w:hAnsi="Times New Roman" w:eastAsia="方正仿宋_GBK" w:cstheme="minorBidi"/>
          <w:b w:val="0"/>
          <w:sz w:val="31"/>
          <w:szCs w:val="32"/>
          <w:lang w:val="en-US" w:eastAsia="en-US" w:bidi="ar-SA"/>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widowControl/>
        <w:spacing w:before="0" w:beforeLines="0" w:beforeAutospacing="0" w:after="0" w:afterLines="0" w:afterAutospacing="0" w:line="240" w:lineRule="auto"/>
        <w:ind w:firstLine="620" w:firstLineChars="200"/>
        <w:jc w:val="left"/>
        <w:rPr>
          <w:rFonts w:ascii="Times New Roman" w:hAnsi="Times New Roman" w:eastAsia="方正仿宋_GBK" w:cstheme="minorBidi"/>
          <w:b w:val="0"/>
          <w:sz w:val="31"/>
          <w:szCs w:val="32"/>
          <w:lang w:val="en-US" w:eastAsia="en-US" w:bidi="ar-SA"/>
        </w:rPr>
      </w:pPr>
      <w:r>
        <w:rPr>
          <w:rFonts w:ascii="Times New Roman" w:hAnsi="Times New Roman" w:eastAsia="方正黑体_GBK" w:cstheme="minorBidi"/>
          <w:b w:val="0"/>
          <w:bCs w:val="0"/>
          <w:sz w:val="31"/>
          <w:szCs w:val="32"/>
          <w:lang w:val="en-US" w:eastAsia="en-US" w:bidi="ar-SA"/>
        </w:rPr>
        <w:t>十四、机关运行经费：</w:t>
      </w:r>
      <w:r>
        <w:rPr>
          <w:rFonts w:ascii="Times New Roman" w:hAnsi="Times New Roman" w:eastAsia="方正仿宋_GBK" w:cstheme="minorBidi"/>
          <w:b w:val="0"/>
          <w:sz w:val="31"/>
          <w:szCs w:val="32"/>
          <w:lang w:val="en-US" w:eastAsia="en-US" w:bidi="ar-SA"/>
        </w:rPr>
        <w:t>行政单位和参照公务员法管理的事业单位财政拨款基本支出中的公用经费支出。</w:t>
      </w:r>
    </w:p>
    <w:p>
      <w:pPr>
        <w:widowControl/>
        <w:spacing w:before="0" w:beforeLines="0" w:beforeAutospacing="0" w:after="0" w:afterLines="0" w:afterAutospacing="0" w:line="240" w:lineRule="auto"/>
        <w:ind w:firstLine="620" w:firstLineChars="200"/>
        <w:jc w:val="left"/>
        <w:rPr>
          <w:rFonts w:ascii="Times New Roman" w:hAnsi="Times New Roman" w:eastAsia="方正仿宋_GBK" w:cstheme="minorBidi"/>
          <w:b w:val="0"/>
          <w:sz w:val="31"/>
          <w:szCs w:val="32"/>
          <w:lang w:val="en-US" w:eastAsia="en-US" w:bidi="ar-SA"/>
        </w:rPr>
      </w:pPr>
      <w:r>
        <w:rPr>
          <w:rFonts w:ascii="Times New Roman" w:hAnsi="Times New Roman" w:eastAsia="方正仿宋_GBK" w:cstheme="minorBidi"/>
          <w:b w:val="0"/>
          <w:sz w:val="31"/>
          <w:szCs w:val="32"/>
          <w:lang w:val="en-US" w:eastAsia="en-US" w:bidi="ar-SA"/>
        </w:rPr>
        <w:br w:type="page"/>
      </w:r>
    </w:p>
    <w:p>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第四部分部门决算报表（见附表）</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both"/>
        <w:textAlignment w:val="auto"/>
        <w:outlineLvl w:val="9"/>
        <w:rPr>
          <w:rFonts w:ascii="Times New Roman" w:hAnsi="Times New Roman" w:eastAsia="方正仿宋_GBK" w:cstheme="minorBidi"/>
          <w:b w:val="0"/>
          <w:sz w:val="31"/>
          <w:szCs w:val="32"/>
          <w:lang w:val="en-US" w:eastAsia="en-US" w:bidi="ar-SA"/>
        </w:rPr>
      </w:pPr>
      <w:r>
        <w:rPr>
          <w:rFonts w:ascii="Times New Roman" w:hAnsi="Times New Roman" w:eastAsia="方正仿宋_GBK" w:cstheme="minorBidi"/>
          <w:b w:val="0"/>
          <w:sz w:val="31"/>
          <w:szCs w:val="32"/>
          <w:lang w:val="en-US" w:eastAsia="en-US" w:bidi="ar-SA"/>
        </w:rPr>
        <w:t>一、《收入支出决算总表》</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both"/>
        <w:textAlignment w:val="auto"/>
        <w:outlineLvl w:val="9"/>
        <w:rPr>
          <w:rFonts w:ascii="Times New Roman" w:hAnsi="Times New Roman" w:eastAsia="方正仿宋_GBK" w:cstheme="minorBidi"/>
          <w:b w:val="0"/>
          <w:sz w:val="31"/>
          <w:szCs w:val="32"/>
          <w:lang w:val="en-US" w:eastAsia="en-US" w:bidi="ar-SA"/>
        </w:rPr>
      </w:pPr>
      <w:r>
        <w:rPr>
          <w:rFonts w:ascii="Times New Roman" w:hAnsi="Times New Roman" w:eastAsia="方正仿宋_GBK" w:cstheme="minorBidi"/>
          <w:b w:val="0"/>
          <w:sz w:val="31"/>
          <w:szCs w:val="32"/>
          <w:lang w:val="en-US" w:eastAsia="en-US" w:bidi="ar-SA"/>
        </w:rPr>
        <w:t>二、《收入决算表》</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both"/>
        <w:textAlignment w:val="auto"/>
        <w:outlineLvl w:val="9"/>
        <w:rPr>
          <w:rFonts w:ascii="Times New Roman" w:hAnsi="Times New Roman" w:eastAsia="方正仿宋_GBK" w:cstheme="minorBidi"/>
          <w:b w:val="0"/>
          <w:sz w:val="31"/>
          <w:szCs w:val="32"/>
          <w:lang w:val="en-US" w:eastAsia="en-US" w:bidi="ar-SA"/>
        </w:rPr>
      </w:pPr>
      <w:r>
        <w:rPr>
          <w:rFonts w:ascii="Times New Roman" w:hAnsi="Times New Roman" w:eastAsia="方正仿宋_GBK" w:cstheme="minorBidi"/>
          <w:b w:val="0"/>
          <w:sz w:val="31"/>
          <w:szCs w:val="32"/>
          <w:lang w:val="en-US" w:eastAsia="en-US" w:bidi="ar-SA"/>
        </w:rPr>
        <w:t>三、《支出决算表》</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both"/>
        <w:textAlignment w:val="auto"/>
        <w:outlineLvl w:val="9"/>
        <w:rPr>
          <w:rFonts w:ascii="Times New Roman" w:hAnsi="Times New Roman" w:eastAsia="方正仿宋_GBK" w:cstheme="minorBidi"/>
          <w:b w:val="0"/>
          <w:sz w:val="31"/>
          <w:szCs w:val="32"/>
          <w:lang w:val="en-US" w:eastAsia="en-US" w:bidi="ar-SA"/>
        </w:rPr>
      </w:pPr>
      <w:r>
        <w:rPr>
          <w:rFonts w:ascii="Times New Roman" w:hAnsi="Times New Roman" w:eastAsia="方正仿宋_GBK" w:cstheme="minorBidi"/>
          <w:b w:val="0"/>
          <w:sz w:val="31"/>
          <w:szCs w:val="32"/>
          <w:lang w:val="en-US" w:eastAsia="en-US" w:bidi="ar-SA"/>
        </w:rPr>
        <w:t>四、《财政拨款收入支出决算总表》</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both"/>
        <w:textAlignment w:val="auto"/>
        <w:outlineLvl w:val="9"/>
        <w:rPr>
          <w:rFonts w:ascii="Times New Roman" w:hAnsi="Times New Roman" w:eastAsia="方正仿宋_GBK" w:cstheme="minorBidi"/>
          <w:b w:val="0"/>
          <w:sz w:val="31"/>
          <w:szCs w:val="32"/>
          <w:lang w:val="en-US" w:eastAsia="en-US" w:bidi="ar-SA"/>
        </w:rPr>
      </w:pPr>
      <w:r>
        <w:rPr>
          <w:rFonts w:ascii="Times New Roman" w:hAnsi="Times New Roman" w:eastAsia="方正仿宋_GBK" w:cstheme="minorBidi"/>
          <w:b w:val="0"/>
          <w:sz w:val="31"/>
          <w:szCs w:val="32"/>
          <w:lang w:val="en-US" w:eastAsia="en-US" w:bidi="ar-SA"/>
        </w:rPr>
        <w:t>五、《一般公共预算财政拨款支出决算表》</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both"/>
        <w:textAlignment w:val="auto"/>
        <w:outlineLvl w:val="9"/>
        <w:rPr>
          <w:rFonts w:ascii="Times New Roman" w:hAnsi="Times New Roman" w:eastAsia="方正仿宋_GBK" w:cstheme="minorBidi"/>
          <w:b w:val="0"/>
          <w:sz w:val="31"/>
          <w:szCs w:val="32"/>
          <w:lang w:val="en-US" w:eastAsia="en-US" w:bidi="ar-SA"/>
        </w:rPr>
      </w:pPr>
      <w:r>
        <w:rPr>
          <w:rFonts w:ascii="Times New Roman" w:hAnsi="Times New Roman" w:eastAsia="方正仿宋_GBK" w:cstheme="minorBidi"/>
          <w:b w:val="0"/>
          <w:sz w:val="31"/>
          <w:szCs w:val="32"/>
          <w:lang w:val="en-US" w:eastAsia="en-US" w:bidi="ar-SA"/>
        </w:rPr>
        <w:t>六、《一般公共预算财政拨款基本支出决算表》</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both"/>
        <w:textAlignment w:val="auto"/>
        <w:outlineLvl w:val="9"/>
        <w:rPr>
          <w:rFonts w:hint="eastAsia" w:ascii="Times New Roman" w:hAnsi="Times New Roman" w:eastAsia="方正仿宋_GBK" w:cstheme="minorBidi"/>
          <w:b w:val="0"/>
          <w:sz w:val="31"/>
          <w:szCs w:val="32"/>
          <w:lang w:val="en-US" w:eastAsia="zh-CN" w:bidi="ar-SA"/>
        </w:rPr>
      </w:pPr>
      <w:r>
        <w:rPr>
          <w:rFonts w:ascii="Times New Roman" w:hAnsi="Times New Roman" w:eastAsia="方正仿宋_GBK" w:cstheme="minorBidi"/>
          <w:b w:val="0"/>
          <w:sz w:val="31"/>
          <w:szCs w:val="32"/>
          <w:lang w:val="en-US" w:eastAsia="en-US" w:bidi="ar-SA"/>
        </w:rPr>
        <w:t>七、《政府性基金预算财政拨款收入支出决算表》</w:t>
      </w:r>
      <w:r>
        <w:rPr>
          <w:rFonts w:hint="eastAsia" w:ascii="Times New Roman" w:hAnsi="Times New Roman" w:eastAsia="方正仿宋_GBK" w:cstheme="minorBidi"/>
          <w:b w:val="0"/>
          <w:sz w:val="31"/>
          <w:szCs w:val="32"/>
          <w:lang w:val="en-US" w:eastAsia="zh-CN" w:bidi="ar-SA"/>
        </w:rPr>
        <w:t>（空表）</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both"/>
        <w:textAlignment w:val="auto"/>
        <w:outlineLvl w:val="9"/>
        <w:rPr>
          <w:rFonts w:ascii="Times New Roman" w:hAnsi="Times New Roman" w:eastAsia="方正仿宋_GBK" w:cstheme="minorBidi"/>
          <w:b w:val="0"/>
          <w:sz w:val="31"/>
          <w:szCs w:val="32"/>
          <w:lang w:val="en-US" w:eastAsia="en-US" w:bidi="ar-SA"/>
        </w:rPr>
      </w:pPr>
      <w:r>
        <w:rPr>
          <w:rFonts w:ascii="Times New Roman" w:hAnsi="Times New Roman" w:eastAsia="方正仿宋_GBK" w:cstheme="minorBidi"/>
          <w:b w:val="0"/>
          <w:sz w:val="31"/>
          <w:szCs w:val="32"/>
          <w:lang w:val="en-US" w:eastAsia="en-US" w:bidi="ar-SA"/>
        </w:rPr>
        <w:t>八、《国有资本经营预算财政拨款收入支出决算表》</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both"/>
        <w:textAlignment w:val="auto"/>
        <w:outlineLvl w:val="9"/>
        <w:rPr>
          <w:rFonts w:hint="eastAsia" w:ascii="Times New Roman" w:hAnsi="Times New Roman" w:eastAsia="方正仿宋_GBK" w:cstheme="minorBidi"/>
          <w:b w:val="0"/>
          <w:sz w:val="31"/>
          <w:szCs w:val="32"/>
          <w:lang w:val="en-US" w:eastAsia="zh-CN" w:bidi="ar-SA"/>
        </w:rPr>
      </w:pPr>
      <w:r>
        <w:rPr>
          <w:rFonts w:ascii="Times New Roman" w:hAnsi="Times New Roman" w:eastAsia="方正仿宋_GBK" w:cstheme="minorBidi"/>
          <w:b w:val="0"/>
          <w:sz w:val="31"/>
          <w:szCs w:val="32"/>
          <w:lang w:val="en-US" w:eastAsia="en-US" w:bidi="ar-SA"/>
        </w:rPr>
        <w:t>九、《财政拨款“三公”经费支出决算表》</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20" w:firstLineChars="200"/>
        <w:jc w:val="both"/>
        <w:textAlignment w:val="auto"/>
        <w:outlineLvl w:val="9"/>
        <w:rPr>
          <w:rFonts w:ascii="Times New Roman" w:hAnsi="Times New Roman" w:eastAsia="方正仿宋_GBK" w:cstheme="minorBidi"/>
          <w:b w:val="0"/>
          <w:sz w:val="31"/>
          <w:szCs w:val="32"/>
          <w:lang w:val="en-US" w:eastAsia="en-US" w:bidi="ar-SA"/>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20" w:firstLineChars="200"/>
        <w:jc w:val="both"/>
        <w:textAlignment w:val="auto"/>
        <w:outlineLvl w:val="9"/>
        <w:rPr>
          <w:rFonts w:ascii="Times New Roman" w:hAnsi="Times New Roman" w:eastAsia="方正仿宋_GBK" w:cstheme="minorBidi"/>
          <w:b w:val="0"/>
          <w:sz w:val="31"/>
          <w:szCs w:val="32"/>
          <w:lang w:val="en-US" w:eastAsia="en-US" w:bidi="ar-SA"/>
        </w:rPr>
      </w:pPr>
    </w:p>
    <w:p>
      <w:pPr>
        <w:rPr>
          <w:rFonts w:ascii="仿宋_GB2312" w:eastAsia="仿宋_GB2312"/>
          <w:b w:val="0"/>
          <w:sz w:val="32"/>
          <w:szCs w:val="32"/>
        </w:rPr>
      </w:pPr>
    </w:p>
    <w:p>
      <w:pPr>
        <w:pStyle w:val="2"/>
        <w:rPr>
          <w:rFonts w:ascii="仿宋_GB2312" w:eastAsia="仿宋_GB2312"/>
          <w:b w:val="0"/>
          <w:sz w:val="32"/>
          <w:szCs w:val="32"/>
        </w:rPr>
      </w:pPr>
    </w:p>
    <w:p>
      <w:pPr>
        <w:rPr>
          <w:rFonts w:ascii="仿宋_GB2312" w:eastAsia="仿宋_GB2312"/>
          <w:b w:val="0"/>
          <w:sz w:val="32"/>
          <w:szCs w:val="32"/>
        </w:rPr>
      </w:pPr>
    </w:p>
    <w:p>
      <w:pPr>
        <w:pStyle w:val="2"/>
        <w:rPr>
          <w:rFonts w:ascii="仿宋_GB2312" w:eastAsia="仿宋_GB2312"/>
          <w:b w:val="0"/>
          <w:sz w:val="32"/>
          <w:szCs w:val="32"/>
        </w:rPr>
      </w:pPr>
    </w:p>
    <w:p>
      <w:pPr>
        <w:widowControl/>
        <w:spacing w:before="0" w:beforeLines="0" w:beforeAutospacing="0" w:after="0" w:afterLines="0" w:afterAutospacing="0" w:line="240" w:lineRule="auto"/>
        <w:jc w:val="center"/>
        <w:outlineLvl w:val="0"/>
        <w:rPr>
          <w:rFonts w:ascii="仿宋_GB2312" w:eastAsia="仿宋_GB2312"/>
          <w:b w:val="0"/>
          <w:sz w:val="32"/>
          <w:szCs w:val="32"/>
        </w:rPr>
      </w:pPr>
    </w:p>
    <w:p>
      <w:pPr>
        <w:pStyle w:val="2"/>
        <w:rPr>
          <w:rFonts w:ascii="仿宋_GB2312" w:eastAsia="仿宋_GB2312"/>
          <w:b w:val="0"/>
          <w:sz w:val="32"/>
          <w:szCs w:val="32"/>
        </w:rPr>
      </w:pPr>
      <w:r>
        <w:drawing>
          <wp:anchor distT="0" distB="0" distL="114935" distR="114935" simplePos="0" relativeHeight="251659264" behindDoc="0" locked="0" layoutInCell="1" allowOverlap="1">
            <wp:simplePos x="0" y="0"/>
            <wp:positionH relativeFrom="column">
              <wp:posOffset>-1437640</wp:posOffset>
            </wp:positionH>
            <wp:positionV relativeFrom="paragraph">
              <wp:posOffset>-1860550</wp:posOffset>
            </wp:positionV>
            <wp:extent cx="7581900" cy="9399905"/>
            <wp:effectExtent l="0" t="0" r="0" b="10795"/>
            <wp:wrapSquare wrapText="bothSides"/>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4"/>
                    <a:stretch>
                      <a:fillRect/>
                    </a:stretch>
                  </pic:blipFill>
                  <pic:spPr>
                    <a:xfrm>
                      <a:off x="0" y="0"/>
                      <a:ext cx="7581900" cy="9399905"/>
                    </a:xfrm>
                    <a:prstGeom prst="rect">
                      <a:avLst/>
                    </a:prstGeom>
                    <a:noFill/>
                    <a:ln>
                      <a:noFill/>
                    </a:ln>
                  </pic:spPr>
                </pic:pic>
              </a:graphicData>
            </a:graphic>
          </wp:anchor>
        </w:drawing>
      </w:r>
    </w:p>
    <w:p>
      <w:pPr>
        <w:pStyle w:val="2"/>
      </w:pPr>
      <w:r>
        <w:drawing>
          <wp:anchor distT="0" distB="0" distL="114935" distR="114935" simplePos="0" relativeHeight="251660288" behindDoc="0" locked="0" layoutInCell="1" allowOverlap="1">
            <wp:simplePos x="0" y="0"/>
            <wp:positionH relativeFrom="column">
              <wp:posOffset>-686435</wp:posOffset>
            </wp:positionH>
            <wp:positionV relativeFrom="paragraph">
              <wp:posOffset>-561975</wp:posOffset>
            </wp:positionV>
            <wp:extent cx="6698615" cy="8571865"/>
            <wp:effectExtent l="0" t="0" r="6985" b="635"/>
            <wp:wrapSquare wrapText="bothSides"/>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5">
                      <a:grayscl/>
                    </a:blip>
                    <a:stretch>
                      <a:fillRect/>
                    </a:stretch>
                  </pic:blipFill>
                  <pic:spPr>
                    <a:xfrm>
                      <a:off x="0" y="0"/>
                      <a:ext cx="6698615" cy="8571865"/>
                    </a:xfrm>
                    <a:prstGeom prst="rect">
                      <a:avLst/>
                    </a:prstGeom>
                    <a:noFill/>
                    <a:ln>
                      <a:noFill/>
                    </a:ln>
                  </pic:spPr>
                </pic:pic>
              </a:graphicData>
            </a:graphic>
          </wp:anchor>
        </w:drawing>
      </w:r>
    </w:p>
    <w:p>
      <w:r>
        <w:drawing>
          <wp:anchor distT="0" distB="0" distL="114935" distR="114935" simplePos="0" relativeHeight="251661312" behindDoc="0" locked="0" layoutInCell="1" allowOverlap="1">
            <wp:simplePos x="0" y="0"/>
            <wp:positionH relativeFrom="column">
              <wp:posOffset>-533400</wp:posOffset>
            </wp:positionH>
            <wp:positionV relativeFrom="paragraph">
              <wp:posOffset>-447675</wp:posOffset>
            </wp:positionV>
            <wp:extent cx="6659880" cy="8837930"/>
            <wp:effectExtent l="0" t="0" r="7620" b="1270"/>
            <wp:wrapSquare wrapText="bothSides"/>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6">
                      <a:grayscl/>
                    </a:blip>
                    <a:stretch>
                      <a:fillRect/>
                    </a:stretch>
                  </pic:blipFill>
                  <pic:spPr>
                    <a:xfrm>
                      <a:off x="0" y="0"/>
                      <a:ext cx="6659880" cy="8837930"/>
                    </a:xfrm>
                    <a:prstGeom prst="rect">
                      <a:avLst/>
                    </a:prstGeom>
                    <a:noFill/>
                    <a:ln>
                      <a:noFill/>
                    </a:ln>
                  </pic:spPr>
                </pic:pic>
              </a:graphicData>
            </a:graphic>
          </wp:anchor>
        </w:drawing>
      </w:r>
    </w:p>
    <w:p>
      <w:r>
        <w:drawing>
          <wp:anchor distT="0" distB="0" distL="114935" distR="114935" simplePos="0" relativeHeight="251662336" behindDoc="0" locked="0" layoutInCell="1" allowOverlap="1">
            <wp:simplePos x="0" y="0"/>
            <wp:positionH relativeFrom="column">
              <wp:posOffset>-790575</wp:posOffset>
            </wp:positionH>
            <wp:positionV relativeFrom="paragraph">
              <wp:posOffset>-657225</wp:posOffset>
            </wp:positionV>
            <wp:extent cx="7269480" cy="9241155"/>
            <wp:effectExtent l="0" t="0" r="7620" b="17145"/>
            <wp:wrapSquare wrapText="bothSides"/>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7"/>
                    <a:stretch>
                      <a:fillRect/>
                    </a:stretch>
                  </pic:blipFill>
                  <pic:spPr>
                    <a:xfrm>
                      <a:off x="0" y="0"/>
                      <a:ext cx="7269480" cy="9241155"/>
                    </a:xfrm>
                    <a:prstGeom prst="rect">
                      <a:avLst/>
                    </a:prstGeom>
                    <a:noFill/>
                    <a:ln>
                      <a:noFill/>
                    </a:ln>
                  </pic:spPr>
                </pic:pic>
              </a:graphicData>
            </a:graphic>
          </wp:anchor>
        </w:drawing>
      </w:r>
    </w:p>
    <w:p>
      <w:r>
        <w:drawing>
          <wp:anchor distT="0" distB="0" distL="114935" distR="114935" simplePos="0" relativeHeight="251663360" behindDoc="0" locked="0" layoutInCell="1" allowOverlap="1">
            <wp:simplePos x="0" y="0"/>
            <wp:positionH relativeFrom="column">
              <wp:posOffset>-523875</wp:posOffset>
            </wp:positionH>
            <wp:positionV relativeFrom="paragraph">
              <wp:posOffset>2513330</wp:posOffset>
            </wp:positionV>
            <wp:extent cx="6659880" cy="9892665"/>
            <wp:effectExtent l="0" t="0" r="7620" b="13335"/>
            <wp:wrapSquare wrapText="bothSides"/>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8">
                      <a:grayscl/>
                    </a:blip>
                    <a:stretch>
                      <a:fillRect/>
                    </a:stretch>
                  </pic:blipFill>
                  <pic:spPr>
                    <a:xfrm>
                      <a:off x="0" y="0"/>
                      <a:ext cx="6659880" cy="9892665"/>
                    </a:xfrm>
                    <a:prstGeom prst="rect">
                      <a:avLst/>
                    </a:prstGeom>
                    <a:noFill/>
                    <a:ln>
                      <a:noFill/>
                    </a:ln>
                  </pic:spPr>
                </pic:pic>
              </a:graphicData>
            </a:graphic>
          </wp:anchor>
        </w:drawing>
      </w:r>
    </w:p>
    <w:p>
      <w:r>
        <w:drawing>
          <wp:anchor distT="0" distB="0" distL="114935" distR="114935" simplePos="0" relativeHeight="251664384" behindDoc="0" locked="0" layoutInCell="1" allowOverlap="1">
            <wp:simplePos x="0" y="0"/>
            <wp:positionH relativeFrom="column">
              <wp:posOffset>-485775</wp:posOffset>
            </wp:positionH>
            <wp:positionV relativeFrom="paragraph">
              <wp:posOffset>-714375</wp:posOffset>
            </wp:positionV>
            <wp:extent cx="6659880" cy="9057640"/>
            <wp:effectExtent l="0" t="0" r="7620" b="10160"/>
            <wp:wrapSquare wrapText="bothSides"/>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pic:cNvPicPr>
                  </pic:nvPicPr>
                  <pic:blipFill>
                    <a:blip r:embed="rId9"/>
                    <a:stretch>
                      <a:fillRect/>
                    </a:stretch>
                  </pic:blipFill>
                  <pic:spPr>
                    <a:xfrm>
                      <a:off x="0" y="0"/>
                      <a:ext cx="6659880" cy="9057640"/>
                    </a:xfrm>
                    <a:prstGeom prst="rect">
                      <a:avLst/>
                    </a:prstGeom>
                    <a:noFill/>
                    <a:ln>
                      <a:noFill/>
                    </a:ln>
                  </pic:spPr>
                </pic:pic>
              </a:graphicData>
            </a:graphic>
          </wp:anchor>
        </w:drawing>
      </w:r>
    </w:p>
    <w:p>
      <w:r>
        <w:drawing>
          <wp:anchor distT="0" distB="0" distL="114935" distR="114935" simplePos="0" relativeHeight="251665408" behindDoc="0" locked="0" layoutInCell="1" allowOverlap="1">
            <wp:simplePos x="0" y="0"/>
            <wp:positionH relativeFrom="column">
              <wp:posOffset>-657225</wp:posOffset>
            </wp:positionH>
            <wp:positionV relativeFrom="paragraph">
              <wp:posOffset>-247015</wp:posOffset>
            </wp:positionV>
            <wp:extent cx="6659880" cy="2908935"/>
            <wp:effectExtent l="0" t="0" r="7620" b="5715"/>
            <wp:wrapSquare wrapText="bothSides"/>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pic:cNvPicPr>
                  </pic:nvPicPr>
                  <pic:blipFill>
                    <a:blip r:embed="rId10"/>
                    <a:stretch>
                      <a:fillRect/>
                    </a:stretch>
                  </pic:blipFill>
                  <pic:spPr>
                    <a:xfrm>
                      <a:off x="0" y="0"/>
                      <a:ext cx="6659880" cy="2908935"/>
                    </a:xfrm>
                    <a:prstGeom prst="rect">
                      <a:avLst/>
                    </a:prstGeom>
                    <a:noFill/>
                    <a:ln>
                      <a:noFill/>
                    </a:ln>
                  </pic:spPr>
                </pic:pic>
              </a:graphicData>
            </a:graphic>
          </wp:anchor>
        </w:drawing>
      </w:r>
    </w:p>
    <w:p/>
    <w:p/>
    <w:p/>
    <w:p>
      <w:bookmarkStart w:id="0" w:name="_GoBack"/>
      <w:r>
        <w:drawing>
          <wp:anchor distT="0" distB="0" distL="114935" distR="114935" simplePos="0" relativeHeight="251666432" behindDoc="0" locked="0" layoutInCell="1" allowOverlap="1">
            <wp:simplePos x="0" y="0"/>
            <wp:positionH relativeFrom="column">
              <wp:posOffset>-600075</wp:posOffset>
            </wp:positionH>
            <wp:positionV relativeFrom="paragraph">
              <wp:posOffset>77470</wp:posOffset>
            </wp:positionV>
            <wp:extent cx="6659880" cy="3135630"/>
            <wp:effectExtent l="0" t="0" r="7620" b="7620"/>
            <wp:wrapSquare wrapText="bothSides"/>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pic:cNvPicPr>
                  </pic:nvPicPr>
                  <pic:blipFill>
                    <a:blip r:embed="rId11">
                      <a:grayscl/>
                    </a:blip>
                    <a:stretch>
                      <a:fillRect/>
                    </a:stretch>
                  </pic:blipFill>
                  <pic:spPr>
                    <a:xfrm>
                      <a:off x="0" y="0"/>
                      <a:ext cx="6659880" cy="3135630"/>
                    </a:xfrm>
                    <a:prstGeom prst="rect">
                      <a:avLst/>
                    </a:prstGeom>
                    <a:noFill/>
                    <a:ln>
                      <a:noFill/>
                    </a:ln>
                  </pic:spPr>
                </pic:pic>
              </a:graphicData>
            </a:graphic>
          </wp:anchor>
        </w:drawing>
      </w:r>
      <w:bookmarkEnd w:id="0"/>
    </w:p>
    <w:p/>
    <w:p>
      <w:pPr>
        <w:pStyle w:val="2"/>
      </w:pPr>
    </w:p>
    <w:p/>
    <w:p>
      <w:pPr>
        <w:pStyle w:val="2"/>
      </w:pPr>
      <w:r>
        <w:drawing>
          <wp:anchor distT="0" distB="0" distL="114935" distR="114935" simplePos="0" relativeHeight="251667456" behindDoc="0" locked="0" layoutInCell="1" allowOverlap="1">
            <wp:simplePos x="0" y="0"/>
            <wp:positionH relativeFrom="column">
              <wp:posOffset>-552450</wp:posOffset>
            </wp:positionH>
            <wp:positionV relativeFrom="paragraph">
              <wp:posOffset>-133350</wp:posOffset>
            </wp:positionV>
            <wp:extent cx="6659880" cy="3344545"/>
            <wp:effectExtent l="0" t="0" r="7620" b="8255"/>
            <wp:wrapSquare wrapText="bothSides"/>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pic:cNvPicPr>
                  </pic:nvPicPr>
                  <pic:blipFill>
                    <a:blip r:embed="rId12"/>
                    <a:stretch>
                      <a:fillRect/>
                    </a:stretch>
                  </pic:blipFill>
                  <pic:spPr>
                    <a:xfrm>
                      <a:off x="0" y="0"/>
                      <a:ext cx="6659880" cy="3344545"/>
                    </a:xfrm>
                    <a:prstGeom prst="rect">
                      <a:avLst/>
                    </a:prstGeom>
                    <a:noFill/>
                    <a:ln>
                      <a:noFill/>
                    </a:ln>
                  </pic:spPr>
                </pic:pic>
              </a:graphicData>
            </a:graphic>
          </wp:anchor>
        </w:drawing>
      </w:r>
    </w:p>
    <w:p/>
    <w:sectPr>
      <w:pgSz w:w="12240" w:h="15840"/>
      <w:pgMar w:top="1440" w:right="1800" w:bottom="1440" w:left="180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script"/>
    <w:pitch w:val="default"/>
    <w:sig w:usb0="00000001" w:usb1="080E0000" w:usb2="00000000" w:usb3="00000000" w:csb0="00040000" w:csb1="00000000"/>
  </w:font>
  <w:font w:name="方正黑体_GBK">
    <w:panose1 w:val="03000509000000000000"/>
    <w:charset w:val="86"/>
    <w:family w:val="auto"/>
    <w:pitch w:val="default"/>
    <w:sig w:usb0="00000001" w:usb1="080E0000" w:usb2="00000000" w:usb3="00000000" w:csb0="00040000" w:csb1="00000000"/>
  </w:font>
  <w:font w:name="方正楷体_GBK">
    <w:panose1 w:val="03000509000000000000"/>
    <w:charset w:val="86"/>
    <w:family w:val="auto"/>
    <w:pitch w:val="default"/>
    <w:sig w:usb0="00000001" w:usb1="080E0000" w:usb2="00000000" w:usb3="00000000" w:csb0="00040000" w:csb1="00000000"/>
  </w:font>
  <w:font w:name="方正仿宋_GBK">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isplayHorizontalDrawingGridEvery w:val="1"/>
  <w:displayVerticalDrawingGridEvery w:val="1"/>
  <w:noPunctuationKerning w:val="1"/>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431795B"/>
    <w:rsid w:val="06F57A54"/>
    <w:rsid w:val="08D01A8D"/>
    <w:rsid w:val="0B8840A6"/>
    <w:rsid w:val="12EB014F"/>
    <w:rsid w:val="133B6E9E"/>
    <w:rsid w:val="17413D54"/>
    <w:rsid w:val="1F44374C"/>
    <w:rsid w:val="1FB14FD4"/>
    <w:rsid w:val="20347639"/>
    <w:rsid w:val="28631BF3"/>
    <w:rsid w:val="2F5F5512"/>
    <w:rsid w:val="31F600F5"/>
    <w:rsid w:val="40C062FB"/>
    <w:rsid w:val="48C14B07"/>
    <w:rsid w:val="4E68052A"/>
    <w:rsid w:val="528F4CD8"/>
    <w:rsid w:val="55277F31"/>
    <w:rsid w:val="55DB6405"/>
    <w:rsid w:val="5BD5121A"/>
    <w:rsid w:val="60183027"/>
    <w:rsid w:val="73C6557C"/>
    <w:rsid w:val="769D685F"/>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sz w:val="21"/>
      <w:szCs w:val="22"/>
    </w:rPr>
  </w:style>
  <w:style w:type="paragraph" w:styleId="2">
    <w:name w:val="heading 1"/>
    <w:basedOn w:val="1"/>
    <w:next w:val="1"/>
    <w:qFormat/>
    <w:uiPriority w:val="0"/>
    <w:pPr>
      <w:keepNext/>
      <w:keepLines/>
      <w:spacing w:before="340" w:after="330" w:line="578" w:lineRule="auto"/>
      <w:jc w:val="left"/>
      <w:outlineLvl w:val="0"/>
    </w:pPr>
    <w:rPr>
      <w:rFonts w:ascii="Times New Roman" w:hAnsi="Times New Roman" w:cs="Times New Roman"/>
      <w:b/>
      <w:bCs/>
      <w:kern w:val="44"/>
      <w:sz w:val="32"/>
      <w:szCs w:val="44"/>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9" Type="http://schemas.openxmlformats.org/officeDocument/2006/relationships/image" Target="media/image6.png"/><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image" Target="media/image9.png"/><Relationship Id="rId11" Type="http://schemas.openxmlformats.org/officeDocument/2006/relationships/image" Target="media/image8.png"/><Relationship Id="rId10" Type="http://schemas.openxmlformats.org/officeDocument/2006/relationships/image" Target="media/image7.png"/><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28</TotalTime>
  <ScaleCrop>false</ScaleCrop>
  <LinksUpToDate>false</LinksUpToDate>
  <Application>WPS Office_11.8.2.10154_F1E327BC-269C-435d-A152-05C5408002CA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2025-08-20T05:02:00Z</dcterms:created>
  <dc:creator>Administrator</dc:creator>
  <cp:lastModifiedBy>Administrator</cp:lastModifiedBy>
  <dcterms:modified xsi:type="dcterms:W3CDTF">2025-08-20T08:35:42Z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2052-11.8.2.10154</vt:lpwstr>
  </property>
</Properties>
</file>