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库尔勒市康都街道办事处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 xml:space="preserve">（1）贯彻执行党和国家的各项方针、政策、法令、法规上级人民政府关于街道工作方面的决定，制定具体的管理办法并组织实施。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 xml:space="preserve">（2）负责辖区内的社会管理综合治理，人民调解、法律服务工作，依照有关规定管理外来流动人员。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 xml:space="preserve">（3）开展社区服务、拥军优属工作，负责社区优抚、社会救济、社会福利工作，做好社区文化、科普、体育、教育工作。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 xml:space="preserve">（4）按照职责范围做好计划生育、爱国卫生、绿化、环境保护、劳动就业、安全生产等管理工作。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（5）配合有关部门做好防汛、防风、防火、防震、抢险和防灾救灾工作。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（6）会同有关部门做好本辖区综治、维稳等工作；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（7）负责辖区内市容市貌和环境卫生的日常管理工作，发动辖区单位和群众保护环境，开展爱国卫生运动；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（8）指导和帮助居民委员会的工作，调解解决行政事务、社会管理和公共服务方面的问题，促进居民委员会的依法建设。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（9）协助武装部门做好国防动员、民兵训练和公民服兵役工作；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（10）维护老年人、妇女、青少年、儿童和残疾人的合法权益。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（11）动员和领导居民及各单位、各部门开展社区建设工作；制定并实施社区建设规划和年度计划；</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2"/>
          <w:sz w:val="31"/>
          <w:szCs w:val="31"/>
          <w:lang w:val="en-US" w:eastAsia="zh-CN" w:bidi="ar-SA"/>
        </w:rPr>
      </w:pPr>
      <w:r>
        <w:rPr>
          <w:rFonts w:hint="eastAsia" w:ascii="方正仿宋_GBK" w:hAnsi="方正仿宋_GBK" w:eastAsia="方正仿宋_GBK" w:cs="方正仿宋_GBK"/>
          <w:color w:val="auto"/>
          <w:kern w:val="2"/>
          <w:sz w:val="31"/>
          <w:szCs w:val="31"/>
          <w:lang w:val="en-US" w:eastAsia="zh-CN" w:bidi="ar-SA"/>
        </w:rPr>
        <w:t xml:space="preserve">（12） 向市党委、市政府反映居民群众的意见和要求，办理人民群众的来信来访等事项。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1"/>
          <w:szCs w:val="31"/>
          <w:lang w:val="en-US" w:eastAsia="zh-CN" w:bidi="ar-SA"/>
        </w:rPr>
        <w:t>（13）承办市党委、市政府交办的其他事项。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库尔勒市康都街道办事处2024年度，实有人数28人，其中：在职人员28人，较上年无变化；离休人员0人，较上年无变化；退休人员0人，较上年无变化；</w:t>
      </w:r>
    </w:p>
    <w:p>
      <w:pPr>
        <w:widowControl/>
        <w:ind w:firstLine="640" w:firstLineChars="200"/>
      </w:pPr>
      <w:r>
        <w:rPr>
          <w:rFonts w:hint="eastAsia" w:ascii="仿宋_GB2312" w:hAnsi="黑体" w:eastAsia="仿宋_GB2312" w:cs="宋体"/>
          <w:bCs/>
          <w:color w:val="auto"/>
          <w:kern w:val="0"/>
          <w:sz w:val="32"/>
          <w:szCs w:val="32"/>
          <w:highlight w:val="none"/>
        </w:rPr>
        <w:t>单位无下属预算单位，</w:t>
      </w:r>
      <w:r>
        <w:rPr>
          <w:rFonts w:hint="eastAsia" w:ascii="方正仿宋_GBK" w:hAnsi="方正仿宋_GBK" w:eastAsia="方正仿宋_GBK" w:cs="方正仿宋_GBK"/>
          <w:bCs/>
          <w:color w:val="auto"/>
          <w:kern w:val="0"/>
          <w:sz w:val="31"/>
          <w:szCs w:val="31"/>
        </w:rPr>
        <w:t>下设</w:t>
      </w:r>
      <w:r>
        <w:rPr>
          <w:rFonts w:hint="eastAsia" w:ascii="Times New Roman" w:hAnsi="Times New Roman" w:eastAsia="方正仿宋_GBK" w:cs="Times New Roman"/>
          <w:color w:val="auto"/>
          <w:sz w:val="31"/>
          <w:szCs w:val="31"/>
          <w:lang w:val="en-US" w:eastAsia="zh-CN"/>
        </w:rPr>
        <w:t>6</w:t>
      </w:r>
      <w:r>
        <w:rPr>
          <w:rFonts w:hint="eastAsia" w:ascii="方正仿宋_GBK" w:hAnsi="方正仿宋_GBK" w:eastAsia="方正仿宋_GBK" w:cs="方正仿宋_GBK"/>
          <w:bCs/>
          <w:color w:val="auto"/>
          <w:kern w:val="0"/>
          <w:sz w:val="31"/>
          <w:szCs w:val="31"/>
        </w:rPr>
        <w:t>个处室，分别是：</w:t>
      </w:r>
      <w:r>
        <w:rPr>
          <w:rFonts w:hint="eastAsia" w:ascii="方正仿宋_GBK" w:hAnsi="方正仿宋_GBK" w:eastAsia="方正仿宋_GBK" w:cs="方正仿宋_GBK"/>
          <w:bCs/>
          <w:color w:val="auto"/>
          <w:kern w:val="0"/>
          <w:sz w:val="31"/>
          <w:szCs w:val="31"/>
          <w:lang w:val="en-US" w:eastAsia="zh-CN"/>
        </w:rPr>
        <w:t>综合执法办、</w:t>
      </w:r>
      <w:r>
        <w:rPr>
          <w:rFonts w:hint="eastAsia" w:ascii="方正仿宋_GBK" w:hAnsi="方正仿宋_GBK" w:eastAsia="方正仿宋_GBK" w:cs="方正仿宋_GBK"/>
          <w:bCs/>
          <w:color w:val="auto"/>
          <w:kern w:val="0"/>
          <w:sz w:val="31"/>
          <w:szCs w:val="31"/>
        </w:rPr>
        <w:t>综合协调办、党建办、</w:t>
      </w:r>
      <w:r>
        <w:rPr>
          <w:rFonts w:hint="eastAsia" w:ascii="方正仿宋_GBK" w:hAnsi="方正仿宋_GBK" w:eastAsia="方正仿宋_GBK" w:cs="方正仿宋_GBK"/>
          <w:bCs/>
          <w:color w:val="auto"/>
          <w:kern w:val="0"/>
          <w:sz w:val="31"/>
          <w:szCs w:val="31"/>
          <w:lang w:val="en-US" w:eastAsia="zh-CN"/>
        </w:rPr>
        <w:t>综治网格化服务中心、社会退役军人服务中心、党群服务中心。</w:t>
      </w: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2024年度收入总计1,417.12万元，其中：本年收入合计1,417.12万元，使用非财政拨款结余（含专用结余）0.00万元，年初结转和结余0.00万元。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2024年度支出总计1,417.12万元，其中：本年支出合计1,417.12万元，结余分配0.00万元，年末结转和结余0.00万元。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收入支出总体与上年相比，增加110.59万元，增长8.46%，主要原因是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增加了基本建设项目</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本年收入1,417.12万元，其中：财政拨款收入1,361.12万元,占96.05%；上级补助收入0.00万元,占0.00%；事业收入0.00万元，占0.00%；经营收入0.00万元,占0.00%；附属单位上缴收入0.00万元，占0.00%；其他收入56.00万元，占3.95%。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本年支出1,417.12万元，其中：基本支出980.46万元，占69.19%；项目支出436.66万元，占30.81%；上缴上级支出0.00万元，占0.00%；经营支出0.00万元，占0.00%；对附属单位补助支出0.00万元，占0.00%。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1,361.12万元，其中：年初财政拨款结转和结余0.00万元，本年财政拨款收入1,361.12万元。财政拨款支出总计1,361.12万元，其中：年末财政拨款结转和结余0.00万元，本年财政拨款支出1,361.12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yellow"/>
        </w:rPr>
      </w:pPr>
      <w:r>
        <w:rPr>
          <w:rFonts w:ascii="仿宋_GB2312" w:eastAsia="仿宋_GB2312"/>
          <w:b w:val="0"/>
          <w:sz w:val="32"/>
          <w:szCs w:val="32"/>
        </w:rPr>
        <w:t>财政拨款收入支出总体与上年相比，增加54.59万元，增长4.18%，主要原因是：提高人员工资而提高社保、医疗、住房公积金基数而经费增加。与年初预算相比，年初预算数1,791.05万元，决算数1,361.12万元，预决算差异率-24.00%，主要原因是：</w:t>
      </w:r>
      <w:r>
        <w:rPr>
          <w:rFonts w:ascii="仿宋_GB2312" w:eastAsia="仿宋_GB2312"/>
          <w:b w:val="0"/>
          <w:sz w:val="32"/>
          <w:szCs w:val="32"/>
          <w:highlight w:val="none"/>
        </w:rPr>
        <w:t>公岗人员辞职1</w:t>
      </w:r>
      <w:r>
        <w:rPr>
          <w:rFonts w:hint="eastAsia" w:ascii="仿宋_GB2312" w:eastAsia="仿宋_GB2312"/>
          <w:b w:val="0"/>
          <w:sz w:val="32"/>
          <w:szCs w:val="32"/>
          <w:highlight w:val="none"/>
          <w:lang w:val="en-US" w:eastAsia="zh-CN"/>
        </w:rPr>
        <w:t>3</w:t>
      </w:r>
      <w:r>
        <w:rPr>
          <w:rFonts w:ascii="仿宋_GB2312" w:eastAsia="仿宋_GB2312"/>
          <w:b w:val="0"/>
          <w:sz w:val="32"/>
          <w:szCs w:val="32"/>
          <w:highlight w:val="none"/>
        </w:rPr>
        <w:t>人，经费节约。</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rPr>
        <w:t>2024年度一般公共预算财政拨款支出1,095.61万元，占本年支出合计的77.31%。与上年相比，减少127.49万元，下降10.42%，主要原因是提高人员工资而提高社保、医疗、住房公积金基数而经费增加。与年初预算相比，年初预算数1,545.20万元，决算数1,095.61万元，预决算差异率-29.10%，主要原因是：</w:t>
      </w:r>
      <w:r>
        <w:rPr>
          <w:rFonts w:ascii="仿宋_GB2312" w:eastAsia="仿宋_GB2312"/>
          <w:b w:val="0"/>
          <w:sz w:val="32"/>
          <w:szCs w:val="32"/>
          <w:highlight w:val="none"/>
        </w:rPr>
        <w:t>公岗人员人员辞职1</w:t>
      </w:r>
      <w:r>
        <w:rPr>
          <w:rFonts w:hint="eastAsia" w:ascii="仿宋_GB2312" w:eastAsia="仿宋_GB2312"/>
          <w:b w:val="0"/>
          <w:sz w:val="32"/>
          <w:szCs w:val="32"/>
          <w:highlight w:val="none"/>
          <w:lang w:val="en-US" w:eastAsia="zh-CN"/>
        </w:rPr>
        <w:t>3</w:t>
      </w:r>
      <w:r>
        <w:rPr>
          <w:rFonts w:ascii="仿宋_GB2312" w:eastAsia="仿宋_GB2312"/>
          <w:b w:val="0"/>
          <w:sz w:val="32"/>
          <w:szCs w:val="32"/>
          <w:highlight w:val="none"/>
        </w:rPr>
        <w:t>人，而经费节约。</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一般公共服务支出（类）973.06万元，占88.81%。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教育支出（类）0.50万元，占0.05%。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文化旅游体育与传媒支出（类）11.40万元，占1.04%。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社会保障和就业支出（类）45.10万元，占4.12%。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卫生健康支出（类）22.39万元，占2.04%。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住房保障支出（类）38.39万元，占3.50%。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其他支出（类）4.78万元，占0.44%。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val="en-US" w:eastAsia="zh-CN"/>
        </w:rPr>
      </w:pPr>
      <w:r>
        <w:rPr>
          <w:rFonts w:ascii="仿宋_GB2312" w:eastAsia="仿宋_GB2312"/>
          <w:b w:val="0"/>
          <w:sz w:val="32"/>
          <w:szCs w:val="32"/>
        </w:rPr>
        <w:t>一般公共服务支出（类）人大事务（款）代表工作（项）：支出决算数为1.03万元，比上年决算减少0.97万元，下降48.50%，主要原因是：</w:t>
      </w:r>
      <w:r>
        <w:rPr>
          <w:rFonts w:hint="eastAsia" w:ascii="仿宋_GB2312" w:eastAsia="仿宋_GB2312"/>
          <w:b w:val="0"/>
          <w:sz w:val="32"/>
          <w:szCs w:val="32"/>
          <w:highlight w:val="none"/>
          <w:lang w:val="en-US" w:eastAsia="zh-CN"/>
        </w:rPr>
        <w:t>当年有相同项目经费，故此项目减少支出。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一般公共服务支出（类）人大事务（款）其他人大事务支出（项）：支出决算数为0.30万元，比上年决算增加0.30万元，增长100.00%，主要原因是：</w:t>
      </w:r>
      <w:r>
        <w:rPr>
          <w:rFonts w:ascii="仿宋_GB2312" w:eastAsia="仿宋_GB2312"/>
          <w:b w:val="0"/>
          <w:sz w:val="32"/>
          <w:szCs w:val="32"/>
          <w:highlight w:val="none"/>
        </w:rPr>
        <w:t>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一般公共服务支出（类）政府办公厅（室）及相关机构事务（款）行政运行（项）：支出决算数为827.22万元，比上年决算减少13.19万元，下降1.57%，主要原因是：</w:t>
      </w:r>
      <w:r>
        <w:rPr>
          <w:rFonts w:ascii="仿宋_GB2312" w:eastAsia="仿宋_GB2312"/>
          <w:b w:val="0"/>
          <w:sz w:val="32"/>
          <w:szCs w:val="32"/>
          <w:highlight w:val="none"/>
        </w:rPr>
        <w:t>本年人员工资基数调整及工资正常晋升，相应的行政运行经费增加。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一般公共服务支出（类）政府办公厅（室）及相关机构事务（款）其他政府办公厅（室）及相关机构事务支出（项）：支出决算数为105.76万元，比上年决算增加66.17万元，增长167.14%，主要原因是：</w:t>
      </w:r>
      <w:r>
        <w:rPr>
          <w:rFonts w:ascii="仿宋_GB2312" w:eastAsia="仿宋_GB2312"/>
          <w:b w:val="0"/>
          <w:sz w:val="32"/>
          <w:szCs w:val="32"/>
          <w:highlight w:val="none"/>
        </w:rPr>
        <w:t>本年社区党建经费</w:t>
      </w:r>
      <w:r>
        <w:rPr>
          <w:rFonts w:hint="eastAsia" w:ascii="仿宋_GB2312" w:eastAsia="仿宋_GB2312"/>
          <w:b w:val="0"/>
          <w:sz w:val="32"/>
          <w:szCs w:val="32"/>
          <w:highlight w:val="none"/>
          <w:lang w:val="en-US" w:eastAsia="zh-CN"/>
        </w:rPr>
        <w:t>和</w:t>
      </w:r>
      <w:r>
        <w:rPr>
          <w:rFonts w:ascii="仿宋_GB2312" w:eastAsia="仿宋_GB2312"/>
          <w:b w:val="0"/>
          <w:sz w:val="32"/>
          <w:szCs w:val="32"/>
          <w:highlight w:val="none"/>
        </w:rPr>
        <w:t>社区网格工作经费</w:t>
      </w:r>
      <w:r>
        <w:rPr>
          <w:rFonts w:hint="eastAsia" w:ascii="仿宋_GB2312" w:eastAsia="仿宋_GB2312"/>
          <w:b w:val="0"/>
          <w:sz w:val="32"/>
          <w:szCs w:val="32"/>
          <w:highlight w:val="none"/>
          <w:lang w:val="en-US" w:eastAsia="zh-CN"/>
        </w:rPr>
        <w:t>拨付</w:t>
      </w:r>
      <w:r>
        <w:rPr>
          <w:rFonts w:ascii="仿宋_GB2312" w:eastAsia="仿宋_GB2312"/>
          <w:b w:val="0"/>
          <w:sz w:val="32"/>
          <w:szCs w:val="32"/>
          <w:highlight w:val="none"/>
        </w:rPr>
        <w:t>增加</w:t>
      </w:r>
      <w:r>
        <w:rPr>
          <w:rFonts w:hint="eastAsia" w:ascii="仿宋_GB2312" w:eastAsia="仿宋_GB2312"/>
          <w:b w:val="0"/>
          <w:sz w:val="32"/>
          <w:szCs w:val="32"/>
          <w:highlight w:val="none"/>
          <w:lang w:val="en-US" w:eastAsia="zh-CN"/>
        </w:rPr>
        <w:t>66.17</w:t>
      </w:r>
      <w:r>
        <w:rPr>
          <w:rFonts w:ascii="仿宋_GB2312" w:eastAsia="仿宋_GB2312"/>
          <w:b w:val="0"/>
          <w:sz w:val="32"/>
          <w:szCs w:val="32"/>
          <w:highlight w:val="none"/>
        </w:rPr>
        <w:t>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一般公共服务支出（类）纪检监察事务（款）其他纪检监察事务支出（项）：支出决算数为2.00万元，比上年决算减少0.50万元，下降20.00%，主要原因是：</w:t>
      </w:r>
      <w:r>
        <w:rPr>
          <w:rFonts w:ascii="仿宋_GB2312" w:eastAsia="仿宋_GB2312"/>
          <w:b w:val="0"/>
          <w:sz w:val="32"/>
          <w:szCs w:val="32"/>
          <w:highlight w:val="none"/>
        </w:rPr>
        <w:t>2023年度纪检经费支出包括2022年度纪检经费余额，所以本年减少；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一般公共服务支出（类）组织事务（款）其他组织事务支出（项）：支出决算数为36.75万元，比上年决算减少42.69万元，下降53.74%，主要原因是：</w:t>
      </w:r>
      <w:r>
        <w:rPr>
          <w:rFonts w:ascii="仿宋_GB2312" w:eastAsia="仿宋_GB2312"/>
          <w:b w:val="0"/>
          <w:sz w:val="32"/>
          <w:szCs w:val="32"/>
          <w:highlight w:val="none"/>
        </w:rPr>
        <w:t>本年访惠聚工作队人员减少而经费减少</w:t>
      </w:r>
      <w:r>
        <w:rPr>
          <w:rFonts w:hint="eastAsia" w:ascii="仿宋_GB2312" w:eastAsia="仿宋_GB2312"/>
          <w:b w:val="0"/>
          <w:sz w:val="32"/>
          <w:szCs w:val="32"/>
          <w:highlight w:val="none"/>
          <w:lang w:val="en-US" w:eastAsia="zh-CN"/>
        </w:rPr>
        <w:t>42.69</w:t>
      </w:r>
      <w:r>
        <w:rPr>
          <w:rFonts w:ascii="仿宋_GB2312" w:eastAsia="仿宋_GB2312"/>
          <w:b w:val="0"/>
          <w:sz w:val="32"/>
          <w:szCs w:val="32"/>
          <w:highlight w:val="none"/>
        </w:rPr>
        <w:t>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yellow"/>
          <w:lang w:val="en-US" w:eastAsia="zh-CN"/>
        </w:rPr>
      </w:pPr>
      <w:r>
        <w:rPr>
          <w:rFonts w:ascii="仿宋_GB2312" w:eastAsia="仿宋_GB2312"/>
          <w:b w:val="0"/>
          <w:sz w:val="32"/>
          <w:szCs w:val="32"/>
        </w:rPr>
        <w:t>教育支出（类）进修及培训（款）培训支出（项）：支出决算数为0.50万元，比上年决算减少1.54万元，下降75.49%，主要原因是：</w:t>
      </w:r>
      <w:r>
        <w:rPr>
          <w:rFonts w:ascii="仿宋_GB2312" w:eastAsia="仿宋_GB2312"/>
          <w:b w:val="0"/>
          <w:sz w:val="32"/>
          <w:szCs w:val="32"/>
          <w:highlight w:val="none"/>
        </w:rPr>
        <w:t>人员培训次数减少而减少费用</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文化旅游体育与传媒支出（类）文化和旅游（款）其他文化和旅游支出（项）：支出决算数为8.70万元，比上年决算增加8.70万元，增长100.00%，主要原因是：</w:t>
      </w:r>
      <w:r>
        <w:rPr>
          <w:rFonts w:ascii="仿宋_GB2312" w:eastAsia="仿宋_GB2312"/>
          <w:b w:val="0"/>
          <w:sz w:val="32"/>
          <w:szCs w:val="32"/>
          <w:highlight w:val="none"/>
        </w:rPr>
        <w:t>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文化旅游体育与传媒支出（类）其他文化旅游体育与传媒支出（款）其他文化旅游体育与传媒支出（项）：支出决算数为2.70万元，比上年决算增加2.70万元，增长100.00%，主要原因是：</w:t>
      </w:r>
      <w:r>
        <w:rPr>
          <w:rFonts w:ascii="仿宋_GB2312" w:eastAsia="仿宋_GB2312"/>
          <w:b w:val="0"/>
          <w:sz w:val="32"/>
          <w:szCs w:val="32"/>
          <w:highlight w:val="none"/>
        </w:rPr>
        <w:t>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yellow"/>
        </w:rPr>
      </w:pPr>
      <w:r>
        <w:rPr>
          <w:rFonts w:ascii="仿宋_GB2312" w:eastAsia="仿宋_GB2312"/>
          <w:b w:val="0"/>
          <w:sz w:val="32"/>
          <w:szCs w:val="32"/>
        </w:rPr>
        <w:t>社会保障和就业支出（类）行政事业单位养老支出（款）机关事业单位基本养老保险缴费支出（项）：支出决算数为44.87万元，比上年决算增加8.06万元，增长21.90%，主要原因是：</w:t>
      </w:r>
      <w:r>
        <w:rPr>
          <w:rFonts w:ascii="仿宋_GB2312" w:eastAsia="仿宋_GB2312"/>
          <w:b w:val="0"/>
          <w:sz w:val="32"/>
          <w:szCs w:val="32"/>
          <w:highlight w:val="none"/>
        </w:rPr>
        <w:t>本年人员工资基数调整及工资正常晋升，机关事业单位基本养老保险缴费基数增加</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社会保障和就业支出（类）就业补助（款）公益性岗位补贴（项）：支出决算数为0.00万元，比上年决算减少81.39万元，下降100.00%，主要原因是：</w:t>
      </w:r>
      <w:r>
        <w:rPr>
          <w:rFonts w:ascii="仿宋_GB2312" w:eastAsia="仿宋_GB2312"/>
          <w:b w:val="0"/>
          <w:sz w:val="32"/>
          <w:szCs w:val="32"/>
          <w:highlight w:val="none"/>
        </w:rPr>
        <w:t>年终功能科目调整，将社会保障和就业支出（类）就业补助（款）公益性岗位补贴（项）科目调整到其他科目使用，所以比上年减少。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社会保障和就业支出（类）临时救助（款）临时救助支出（项）：支出决算数为0.23万元，比上年决算增加0.23万元，增长100.00%，主要原因是：</w:t>
      </w:r>
      <w:r>
        <w:rPr>
          <w:rFonts w:ascii="仿宋_GB2312" w:eastAsia="仿宋_GB2312"/>
          <w:b w:val="0"/>
          <w:sz w:val="32"/>
          <w:szCs w:val="32"/>
          <w:highlight w:val="none"/>
        </w:rPr>
        <w:t>该科目支出是本</w:t>
      </w:r>
      <w:r>
        <w:rPr>
          <w:rFonts w:hint="eastAsia" w:ascii="仿宋_GB2312" w:eastAsia="仿宋_GB2312"/>
          <w:b w:val="0"/>
          <w:sz w:val="32"/>
          <w:szCs w:val="32"/>
          <w:highlight w:val="none"/>
          <w:lang w:val="en-US" w:eastAsia="zh-CN"/>
        </w:rPr>
        <w:t>年</w:t>
      </w:r>
      <w:r>
        <w:rPr>
          <w:rFonts w:ascii="仿宋_GB2312" w:eastAsia="仿宋_GB2312"/>
          <w:b w:val="0"/>
          <w:sz w:val="32"/>
          <w:szCs w:val="32"/>
          <w:highlight w:val="none"/>
        </w:rPr>
        <w:t>新增支出</w:t>
      </w:r>
      <w:r>
        <w:rPr>
          <w:rFonts w:hint="eastAsia" w:ascii="仿宋_GB2312" w:eastAsia="仿宋_GB2312"/>
          <w:b w:val="0"/>
          <w:sz w:val="32"/>
          <w:szCs w:val="32"/>
          <w:highlight w:val="none"/>
          <w:lang w:val="en-US" w:eastAsia="zh-CN"/>
        </w:rPr>
        <w:t>项目</w:t>
      </w:r>
      <w:r>
        <w:rPr>
          <w:rFonts w:ascii="仿宋_GB2312" w:eastAsia="仿宋_GB2312"/>
          <w:b w:val="0"/>
          <w:sz w:val="32"/>
          <w:szCs w:val="32"/>
          <w:highlight w:val="none"/>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卫生健康支出（类）行政事业单位医疗（款）行政单位医疗（项）：支出决算数为20.28万元，比上年决算增加3.65万元，增长21.95%，主要原因是</w:t>
      </w:r>
      <w:r>
        <w:rPr>
          <w:rFonts w:ascii="仿宋_GB2312" w:eastAsia="仿宋_GB2312"/>
          <w:b w:val="0"/>
          <w:sz w:val="32"/>
          <w:szCs w:val="32"/>
          <w:highlight w:val="none"/>
        </w:rPr>
        <w:t>：社保缴费基数提高，职工基本医疗保险和公务员医疗补助增加，所以2025年行政单位离退休经费与上年增长。</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eastAsia="zh-CN"/>
        </w:rPr>
      </w:pPr>
      <w:r>
        <w:rPr>
          <w:rFonts w:ascii="仿宋_GB2312" w:eastAsia="仿宋_GB2312"/>
          <w:b w:val="0"/>
          <w:sz w:val="32"/>
          <w:szCs w:val="32"/>
        </w:rPr>
        <w:t>卫生健康支出（类）行政事业单位医疗（款）公务员医疗补助（项）：支出决算数为2.11万元，比上年决算减少0.11万元，下降4.95%，主要原因是：</w:t>
      </w:r>
      <w:r>
        <w:rPr>
          <w:rFonts w:ascii="仿宋_GB2312" w:eastAsia="仿宋_GB2312"/>
          <w:b w:val="0"/>
          <w:sz w:val="32"/>
          <w:szCs w:val="32"/>
          <w:highlight w:val="none"/>
        </w:rPr>
        <w:t>公务员</w:t>
      </w:r>
      <w:r>
        <w:rPr>
          <w:rFonts w:hint="eastAsia" w:ascii="仿宋_GB2312" w:eastAsia="仿宋_GB2312"/>
          <w:b w:val="0"/>
          <w:sz w:val="32"/>
          <w:szCs w:val="32"/>
          <w:highlight w:val="none"/>
          <w:lang w:val="en-US" w:eastAsia="zh-CN"/>
        </w:rPr>
        <w:t>调出后</w:t>
      </w:r>
      <w:r>
        <w:rPr>
          <w:rFonts w:ascii="仿宋_GB2312" w:eastAsia="仿宋_GB2312"/>
          <w:b w:val="0"/>
          <w:sz w:val="32"/>
          <w:szCs w:val="32"/>
          <w:highlight w:val="none"/>
        </w:rPr>
        <w:t>医疗补助</w:t>
      </w:r>
      <w:r>
        <w:rPr>
          <w:rFonts w:hint="eastAsia" w:ascii="仿宋_GB2312" w:eastAsia="仿宋_GB2312"/>
          <w:b w:val="0"/>
          <w:sz w:val="32"/>
          <w:szCs w:val="32"/>
          <w:highlight w:val="none"/>
          <w:lang w:val="en-US"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住房保障支出（类）住房改革支出（款）住房公积金（项）：支出决算数为38.39万元，比上年决算增加8.16万元，增长26.99%，主要原因是：</w:t>
      </w:r>
      <w:r>
        <w:rPr>
          <w:rFonts w:ascii="仿宋_GB2312" w:eastAsia="仿宋_GB2312"/>
          <w:b w:val="0"/>
          <w:sz w:val="32"/>
          <w:szCs w:val="32"/>
          <w:highlight w:val="none"/>
        </w:rPr>
        <w:t>本年度单位人员工资调增，住房公积金基数调增，住房公积金支出增加。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其他支出（类）其他支出（款）其他支出（项）：支出决算数为4.78万元，比上年决算减少85.07万元，下降94.68%，主要原因是：</w:t>
      </w:r>
      <w:r>
        <w:rPr>
          <w:rFonts w:hint="eastAsia" w:ascii="仿宋_GB2312" w:eastAsia="仿宋_GB2312"/>
          <w:b w:val="0"/>
          <w:sz w:val="32"/>
          <w:szCs w:val="32"/>
          <w:lang w:val="en-US" w:eastAsia="zh-CN"/>
        </w:rPr>
        <w:t>上年度建设项目支出列在其他支出，所以本年度减少。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980.46万元，其中：人员经费973.53万元，包括：基本工资、津贴补贴、奖金、机关事业单位基本养老保险缴费、职工基本医疗保险缴费、公务员医疗补助缴费、其他社会保障缴费、住房公积金、其他工资福利支出、生活补助和救济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公用经费6.93万元，包括：办公费、水费、电费、取暖费、差旅费、培训费、工会经费、公务用车运行维护费和其他交通费用。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2024年度政府性基金预算财政拨款收入总计75.00万元，其中：年初结转和结余0.00万元，本年收入75.00万元。政府性基金预算财政拨款支出总计75.00万元，其中：年末结转和结余0.00万元，本年支出75.00万元。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政府性基金预算财政拨款收入支出总体与上年相比，增加75.00万元，增长100%，主要原因是：</w:t>
      </w:r>
      <w:r>
        <w:rPr>
          <w:rFonts w:hint="eastAsia" w:ascii="仿宋_GB2312" w:eastAsia="仿宋_GB2312"/>
          <w:b w:val="0"/>
          <w:sz w:val="32"/>
          <w:szCs w:val="32"/>
          <w:lang w:val="en-US" w:eastAsia="zh-CN"/>
        </w:rPr>
        <w:t>此项目为年中追加项目</w:t>
      </w:r>
      <w:r>
        <w:rPr>
          <w:rFonts w:ascii="仿宋_GB2312" w:eastAsia="仿宋_GB2312"/>
          <w:b w:val="0"/>
          <w:sz w:val="32"/>
          <w:szCs w:val="32"/>
        </w:rPr>
        <w:t>。与年初预算相比，年初预算数0.00万元，决算数75.00万元，预决算差异率100%，主要原因是：</w:t>
      </w:r>
      <w:r>
        <w:rPr>
          <w:rFonts w:hint="eastAsia" w:ascii="仿宋_GB2312" w:eastAsia="仿宋_GB2312"/>
          <w:b w:val="0"/>
          <w:sz w:val="32"/>
          <w:szCs w:val="32"/>
          <w:lang w:val="en-US" w:eastAsia="zh-CN"/>
        </w:rPr>
        <w:t>年初无此项目，此项目为年中追加项目</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政府性基金预算财政拨款支出75.00万元。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城乡社区支出（类）国有土地使用权出让收入安排的支出（款）其他国有土地使用权出让收入安排的支出（项）：支出决算数为75.00万元，比上年决算增加75.00万元，增长100.00%，主要原因是：</w:t>
      </w:r>
      <w:r>
        <w:rPr>
          <w:rFonts w:ascii="仿宋_GB2312" w:eastAsia="仿宋_GB2312"/>
          <w:b w:val="0"/>
          <w:sz w:val="32"/>
          <w:szCs w:val="32"/>
          <w:highlight w:val="none"/>
        </w:rPr>
        <w:t>上年度</w:t>
      </w:r>
      <w:r>
        <w:rPr>
          <w:rFonts w:hint="eastAsia" w:ascii="仿宋_GB2312" w:eastAsia="仿宋_GB2312"/>
          <w:b w:val="0"/>
          <w:sz w:val="32"/>
          <w:szCs w:val="32"/>
          <w:highlight w:val="none"/>
          <w:lang w:val="en-US" w:eastAsia="zh-CN"/>
        </w:rPr>
        <w:t>无此项目</w:t>
      </w:r>
      <w:r>
        <w:rPr>
          <w:rFonts w:ascii="仿宋_GB2312" w:eastAsia="仿宋_GB2312"/>
          <w:b w:val="0"/>
          <w:sz w:val="32"/>
          <w:szCs w:val="32"/>
          <w:highlight w:val="none"/>
        </w:rPr>
        <w:t>，本年度新增此项目</w:t>
      </w:r>
      <w:r>
        <w:rPr>
          <w:rFonts w:hint="eastAsia" w:ascii="仿宋_GB2312" w:eastAsia="仿宋_GB2312"/>
          <w:b w:val="0"/>
          <w:sz w:val="32"/>
          <w:szCs w:val="32"/>
          <w:highlight w:val="none"/>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2024年度国有资本经营预算财政拨款收入总计190.51万元，其中：年初结转和结余0.00万元，本年收入190.51万元。国有资本经营预算财政拨款支出总计190.51万元，其中：年末结转和结余0.00万元，本年支出190.51万元。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国有资本经营预算财政拨款收入支出总体与上年相比，增加107.08万元，增长128.35%，主要原因是：</w:t>
      </w:r>
      <w:r>
        <w:rPr>
          <w:rFonts w:hint="eastAsia" w:ascii="仿宋_GB2312" w:eastAsia="仿宋_GB2312"/>
          <w:b w:val="0"/>
          <w:sz w:val="32"/>
          <w:szCs w:val="32"/>
          <w:lang w:val="en-US" w:eastAsia="zh-CN"/>
        </w:rPr>
        <w:t>本年预算数含2022年、2023年资金</w:t>
      </w:r>
      <w:r>
        <w:rPr>
          <w:rFonts w:ascii="仿宋_GB2312" w:eastAsia="仿宋_GB2312"/>
          <w:b w:val="0"/>
          <w:sz w:val="32"/>
          <w:szCs w:val="32"/>
        </w:rPr>
        <w:t>。与年初预算相比，年初预算数245.85万元，决算数190.51万元，预决算差异率-22.51%，主要原因是：</w:t>
      </w:r>
      <w:r>
        <w:rPr>
          <w:rFonts w:hint="eastAsia" w:ascii="仿宋_GB2312" w:eastAsia="仿宋_GB2312"/>
          <w:b w:val="0"/>
          <w:sz w:val="32"/>
          <w:szCs w:val="32"/>
          <w:lang w:val="en-US" w:eastAsia="zh-CN"/>
        </w:rPr>
        <w:t>本年预算数含2022年、2023年资金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国有资本经营预算财政拨款支出190.51万元。</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国有资本经营预算支出（类）解决历史遗留问题及改革成本支出（款）国有企业退休人员社会化管理补助支出（项）：支出决算数为190.51万元，比上年决算增加107.08万元，增长128.35%，主要原因是：</w:t>
      </w:r>
      <w:r>
        <w:rPr>
          <w:rFonts w:hint="eastAsia" w:ascii="仿宋_GB2312" w:eastAsia="仿宋_GB2312"/>
          <w:b w:val="0"/>
          <w:sz w:val="32"/>
          <w:szCs w:val="32"/>
          <w:lang w:val="en-US" w:eastAsia="zh-CN"/>
        </w:rPr>
        <w:t>上年结转经费支出增加。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2024年度财政拨款“三公”经费支出1.27万元，与上年相比无变化，主要原因是：</w:t>
      </w:r>
      <w:r>
        <w:rPr>
          <w:rFonts w:hint="default" w:ascii="Times New Roman" w:hAnsi="Times New Roman" w:eastAsia="仿宋_GB2312" w:cs="Times New Roman"/>
          <w:b w:val="0"/>
          <w:sz w:val="31"/>
          <w:szCs w:val="31"/>
          <w:lang w:val="en-US" w:eastAsia="zh-CN"/>
        </w:rPr>
        <w:t>根据中央八项规定，厉行节约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。其中：因公出国（境）费支出0.00万元,占0.00%，与上年相比无变化，主要原因是：</w:t>
      </w:r>
      <w:r>
        <w:rPr>
          <w:rFonts w:hint="default" w:ascii="Times New Roman" w:hAnsi="Times New Roman" w:eastAsia="仿宋_GB2312" w:cs="Times New Roman"/>
          <w:b w:val="0"/>
          <w:sz w:val="31"/>
          <w:szCs w:val="31"/>
          <w:lang w:val="en-US" w:eastAsia="zh-CN"/>
        </w:rPr>
        <w:t>我单位无因公出国（境）费支出</w:t>
      </w:r>
      <w:r>
        <w:rPr>
          <w:rFonts w:ascii="仿宋_GB2312" w:eastAsia="仿宋_GB2312"/>
          <w:b w:val="0"/>
          <w:sz w:val="32"/>
          <w:szCs w:val="32"/>
        </w:rPr>
        <w:t>；公务用车购置及运行维护费支出1.27万元，占100.00%，与上年相比无变化，主要原因是：</w:t>
      </w:r>
      <w:r>
        <w:rPr>
          <w:rFonts w:hint="default" w:ascii="Times New Roman" w:hAnsi="Times New Roman" w:eastAsia="仿宋_GB2312" w:cs="Times New Roman"/>
          <w:b w:val="0"/>
          <w:sz w:val="31"/>
          <w:szCs w:val="31"/>
          <w:lang w:val="en-US" w:eastAsia="zh-CN"/>
        </w:rPr>
        <w:t>严格控制三公经费支出</w:t>
      </w:r>
      <w:r>
        <w:rPr>
          <w:rFonts w:hint="eastAsia" w:ascii="Times New Roman" w:hAnsi="Times New Roman" w:eastAsia="仿宋_GB2312" w:cs="Times New Roman"/>
          <w:b w:val="0"/>
          <w:sz w:val="31"/>
          <w:szCs w:val="31"/>
          <w:lang w:val="en-US" w:eastAsia="zh-CN"/>
        </w:rPr>
        <w:t>，预决算无差异</w:t>
      </w:r>
      <w:r>
        <w:rPr>
          <w:rFonts w:ascii="仿宋_GB2312" w:eastAsia="仿宋_GB2312"/>
          <w:b w:val="0"/>
          <w:sz w:val="32"/>
          <w:szCs w:val="32"/>
        </w:rPr>
        <w:t>；公务接待费支出0.00万元，占0.00%，与上年相比无变化，主要原因是：</w:t>
      </w:r>
      <w:r>
        <w:rPr>
          <w:rFonts w:hint="default" w:ascii="Times New Roman" w:hAnsi="Times New Roman" w:eastAsia="仿宋_GB2312" w:cs="Times New Roman"/>
          <w:b w:val="0"/>
          <w:sz w:val="31"/>
          <w:szCs w:val="31"/>
          <w:lang w:val="en-US" w:eastAsia="zh-CN"/>
        </w:rPr>
        <w:t>我单位无公务接待费支出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1.27万元，其中：公务用车购置费0.00万元，公务用车运行维护费1.27万元。公务用车运行维护费开支内容包括。公务用车购置数0辆，公务用车保有量1辆。国有资产占用情况中固定资产车辆1辆，与公务用车保有量差异原因是：</w:t>
      </w:r>
      <w:r>
        <w:rPr>
          <w:rFonts w:hint="eastAsia" w:ascii="仿宋_GB2312" w:eastAsia="仿宋_GB2312"/>
          <w:b w:val="0"/>
          <w:sz w:val="32"/>
          <w:szCs w:val="32"/>
          <w:highlight w:val="none"/>
          <w:lang w:val="en-US" w:eastAsia="zh-CN"/>
        </w:rPr>
        <w:t>本单位车辆编制为2辆，实际</w:t>
      </w:r>
      <w:r>
        <w:rPr>
          <w:rFonts w:ascii="仿宋_GB2312" w:eastAsia="仿宋_GB2312"/>
          <w:b w:val="0"/>
          <w:sz w:val="32"/>
          <w:szCs w:val="32"/>
        </w:rPr>
        <w:t>固定资产</w:t>
      </w:r>
      <w:r>
        <w:rPr>
          <w:rFonts w:hint="eastAsia" w:ascii="仿宋_GB2312" w:eastAsia="仿宋_GB2312"/>
          <w:b w:val="0"/>
          <w:sz w:val="32"/>
          <w:szCs w:val="32"/>
          <w:lang w:val="en-US" w:eastAsia="zh-CN"/>
        </w:rPr>
        <w:t>账面</w:t>
      </w:r>
      <w:r>
        <w:rPr>
          <w:rFonts w:ascii="仿宋_GB2312" w:eastAsia="仿宋_GB2312"/>
          <w:b w:val="0"/>
          <w:sz w:val="32"/>
          <w:szCs w:val="32"/>
        </w:rPr>
        <w:t>车辆1辆</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租赁电车1辆</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与全年预算相比，财政拨款“三公”经费支出全年预算数4.80万元，决算数1.27万元，预决算差异率-73.54%，主要原因是：</w:t>
      </w:r>
      <w:r>
        <w:rPr>
          <w:rFonts w:hint="default" w:ascii="Times New Roman" w:hAnsi="Times New Roman" w:eastAsia="仿宋_GB2312" w:cs="Times New Roman"/>
          <w:b w:val="0"/>
          <w:sz w:val="31"/>
          <w:szCs w:val="31"/>
          <w:lang w:val="en-US" w:eastAsia="zh-CN"/>
        </w:rPr>
        <w:t>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。其中：因公出国（境）费全年预算数0.00万元，决算数0.00万元，预决算差异率0.00%，主要原因是：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ascii="仿宋_GB2312" w:eastAsia="仿宋_GB2312"/>
          <w:b w:val="0"/>
          <w:sz w:val="32"/>
          <w:szCs w:val="32"/>
        </w:rPr>
        <w:t>。公务用车购置费全年预算数0.00万元，决算数0.00万元，预决算差异率0.00%，主要原因是：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严格控制三公经费支出</w:t>
      </w:r>
      <w:r>
        <w:rPr>
          <w:rFonts w:hint="eastAsia" w:ascii="Times New Roman" w:hAnsi="Times New Roman" w:eastAsia="仿宋_GB2312" w:cs="Times New Roman"/>
          <w:b w:val="0"/>
          <w:sz w:val="31"/>
          <w:szCs w:val="31"/>
          <w:lang w:val="en-US" w:eastAsia="zh-CN"/>
        </w:rPr>
        <w:t>，预决算无差异</w:t>
      </w:r>
      <w:r>
        <w:rPr>
          <w:rFonts w:ascii="仿宋_GB2312" w:eastAsia="仿宋_GB2312"/>
          <w:b w:val="0"/>
          <w:sz w:val="32"/>
          <w:szCs w:val="32"/>
        </w:rPr>
        <w:t>。公务用车运行维护费全年预算数4.80万元，决算数1.27万元，预决算差异率-73.54%，主要原因是：</w:t>
      </w:r>
      <w:r>
        <w:rPr>
          <w:rFonts w:hint="default" w:ascii="Times New Roman" w:hAnsi="Times New Roman" w:eastAsia="仿宋_GB2312" w:cs="Times New Roman"/>
          <w:b w:val="0"/>
          <w:sz w:val="31"/>
          <w:szCs w:val="31"/>
          <w:lang w:val="en-US" w:eastAsia="zh-CN"/>
        </w:rPr>
        <w:t>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。公务接待费全年预算数0.00万元，决算数0.00万元，预决算差异率0.00%，主要原因是：</w:t>
      </w:r>
      <w:r>
        <w:rPr>
          <w:rFonts w:hint="default" w:ascii="Times New Roman" w:hAnsi="Times New Roman" w:eastAsia="仿宋_GB2312" w:cs="Times New Roman"/>
          <w:b w:val="0"/>
          <w:sz w:val="31"/>
          <w:szCs w:val="31"/>
          <w:lang w:val="en-US" w:eastAsia="zh-CN"/>
        </w:rPr>
        <w:t>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2024年度库尔勒市康都街道办事处单位机关运行经费支出6.93万元，比上年减少74.50万元，下降91.49%，主要原因是：</w:t>
      </w:r>
      <w:r>
        <w:rPr>
          <w:rFonts w:hint="default" w:ascii="Times New Roman" w:hAnsi="Times New Roman" w:eastAsia="仿宋_GB2312" w:cs="Times New Roman"/>
          <w:b w:val="0"/>
          <w:sz w:val="31"/>
          <w:szCs w:val="31"/>
          <w:lang w:val="en-US" w:eastAsia="zh-CN"/>
        </w:rPr>
        <w:t>严格控制三公经费支出</w:t>
      </w:r>
      <w:r>
        <w:rPr>
          <w:rFonts w:hint="eastAsia" w:ascii="Times New Roman" w:hAnsi="Times New Roman" w:eastAsia="仿宋_GB2312" w:cs="Times New Roman"/>
          <w:b w:val="0"/>
          <w:sz w:val="31"/>
          <w:szCs w:val="31"/>
          <w:lang w:val="en-US" w:eastAsia="zh-CN"/>
        </w:rPr>
        <w:t>，厉行节约</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2024年度政府采购支出总额94.01万元，其中：政府采购货物支出47.84万元、政府采购工程支出0.00万元、政府采购服务支出46.17万元。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授予中小企业合同金额94.01万元，占政府采购支出总额的100.00%，其中：授予小微企业合同金额94.01万元，占政府采购支出总额的100.00%。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6.95万元，其中：副部（省）级及以上领导用车0辆、主要负责人用车0辆、机要通信用车0辆、应急保障用车0辆、执法执勤用车0辆、特种专业技术用车0辆、离退休干部服务用车0辆、其他用车1辆，其他用车主要是：</w:t>
      </w:r>
      <w:r>
        <w:rPr>
          <w:rFonts w:hint="eastAsia" w:ascii="Times New Roman" w:hAnsi="Times New Roman" w:eastAsia="仿宋_GB2312" w:cs="Times New Roman"/>
          <w:b w:val="0"/>
          <w:sz w:val="31"/>
          <w:szCs w:val="31"/>
          <w:lang w:val="en-US" w:eastAsia="zh-CN"/>
        </w:rPr>
        <w:t>街道机关各科室、纪工委和各社区开展业务用车</w:t>
      </w:r>
      <w:r>
        <w:rPr>
          <w:rFonts w:hint="eastAsia" w:ascii="仿宋_GB2312" w:eastAsia="仿宋_GB2312"/>
          <w:b w:val="0"/>
          <w:sz w:val="32"/>
          <w:szCs w:val="32"/>
          <w:lang w:val="en-US" w:eastAsia="zh-CN"/>
        </w:rPr>
        <w:t xml:space="preserve"> </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b w:val="0"/>
          <w:sz w:val="31"/>
          <w:szCs w:val="31"/>
          <w:lang w:val="en-US" w:eastAsia="zh-CN"/>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1417.12</w:t>
      </w:r>
      <w:r>
        <w:rPr>
          <w:rFonts w:ascii="仿宋_GB2312" w:eastAsia="仿宋_GB2312"/>
          <w:b w:val="0"/>
          <w:sz w:val="32"/>
          <w:szCs w:val="32"/>
        </w:rPr>
        <w:t>万元，实际执行总额</w:t>
      </w:r>
      <w:r>
        <w:rPr>
          <w:rFonts w:hint="eastAsia" w:ascii="仿宋_GB2312" w:eastAsia="仿宋_GB2312"/>
          <w:b w:val="0"/>
          <w:sz w:val="32"/>
          <w:szCs w:val="32"/>
          <w:lang w:val="en-US" w:eastAsia="zh-CN"/>
        </w:rPr>
        <w:t>1417.12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10</w:t>
      </w:r>
      <w:r>
        <w:rPr>
          <w:rFonts w:ascii="仿宋_GB2312" w:eastAsia="仿宋_GB2312"/>
          <w:b w:val="0"/>
          <w:sz w:val="32"/>
          <w:szCs w:val="32"/>
        </w:rPr>
        <w:t>个，全年</w:t>
      </w:r>
      <w:bookmarkStart w:id="0" w:name="_GoBack"/>
      <w:bookmarkEnd w:id="0"/>
      <w:r>
        <w:rPr>
          <w:rFonts w:ascii="仿宋_GB2312" w:eastAsia="仿宋_GB2312"/>
          <w:b w:val="0"/>
          <w:sz w:val="32"/>
          <w:szCs w:val="32"/>
        </w:rPr>
        <w:t>预算数</w:t>
      </w:r>
      <w:r>
        <w:rPr>
          <w:rFonts w:hint="eastAsia" w:ascii="仿宋_GB2312" w:eastAsia="仿宋_GB2312"/>
          <w:b w:val="0"/>
          <w:sz w:val="32"/>
          <w:szCs w:val="32"/>
          <w:lang w:val="en-US" w:eastAsia="zh-CN"/>
        </w:rPr>
        <w:t>481.73</w:t>
      </w:r>
      <w:r>
        <w:rPr>
          <w:rFonts w:ascii="仿宋_GB2312" w:eastAsia="仿宋_GB2312"/>
          <w:b w:val="0"/>
          <w:sz w:val="32"/>
          <w:szCs w:val="32"/>
        </w:rPr>
        <w:t>万元，全年执行数</w:t>
      </w:r>
      <w:r>
        <w:rPr>
          <w:rFonts w:hint="eastAsia" w:ascii="仿宋_GB2312" w:eastAsia="仿宋_GB2312"/>
          <w:b w:val="0"/>
          <w:sz w:val="32"/>
          <w:szCs w:val="32"/>
          <w:lang w:val="en-US" w:eastAsia="zh-CN"/>
        </w:rPr>
        <w:t>379.52</w:t>
      </w:r>
      <w:r>
        <w:rPr>
          <w:rFonts w:ascii="仿宋_GB2312" w:eastAsia="仿宋_GB2312"/>
          <w:b w:val="0"/>
          <w:sz w:val="32"/>
          <w:szCs w:val="32"/>
        </w:rPr>
        <w:t>万元。</w:t>
      </w:r>
      <w:r>
        <w:rPr>
          <w:rFonts w:hint="default" w:ascii="Times New Roman" w:hAnsi="Times New Roman" w:eastAsia="仿宋_GB2312" w:cs="Times New Roman"/>
          <w:b w:val="0"/>
          <w:sz w:val="31"/>
          <w:szCs w:val="31"/>
        </w:rPr>
        <w:t>预算绩效管理取得的成效：</w:t>
      </w:r>
      <w:r>
        <w:rPr>
          <w:rFonts w:hint="eastAsia" w:ascii="Times New Roman" w:hAnsi="Times New Roman" w:eastAsia="仿宋_GB2312" w:cs="Times New Roman"/>
          <w:b w:val="0"/>
          <w:sz w:val="31"/>
          <w:szCs w:val="31"/>
          <w:lang w:val="en-US" w:eastAsia="zh-CN"/>
        </w:rPr>
        <w:t>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w:t>
      </w:r>
      <w:r>
        <w:rPr>
          <w:rFonts w:hint="default" w:ascii="Times New Roman" w:hAnsi="Times New Roman" w:eastAsia="仿宋_GB2312" w:cs="Times New Roman"/>
          <w:b w:val="0"/>
          <w:sz w:val="31"/>
          <w:szCs w:val="31"/>
        </w:rPr>
        <w:t>。下一步改进措施：</w:t>
      </w:r>
      <w:r>
        <w:rPr>
          <w:rFonts w:hint="eastAsia" w:ascii="Times New Roman" w:hAnsi="Times New Roman" w:eastAsia="仿宋_GB2312" w:cs="Times New Roman"/>
          <w:b w:val="0"/>
          <w:sz w:val="31"/>
          <w:szCs w:val="31"/>
          <w:lang w:val="en-US" w:eastAsia="zh-CN"/>
        </w:rPr>
        <w:t>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p>
    <w:p>
      <w:pPr>
        <w:widowControl/>
        <w:spacing w:before="0" w:beforeLines="0" w:beforeAutospacing="0" w:after="0" w:afterLines="0" w:afterAutospacing="0" w:line="240" w:lineRule="auto"/>
        <w:ind w:firstLine="620" w:firstLineChars="200"/>
        <w:jc w:val="both"/>
        <w:rPr>
          <w:rFonts w:ascii="仿宋_GB2312" w:eastAsia="仿宋_GB2312"/>
          <w:sz w:val="32"/>
          <w:szCs w:val="32"/>
        </w:rPr>
      </w:pPr>
      <w:r>
        <w:rPr>
          <w:rFonts w:hint="default" w:ascii="Times New Roman" w:hAnsi="Times New Roman" w:eastAsia="仿宋_GB2312" w:cs="Times New Roman"/>
          <w:b w:val="0"/>
          <w:sz w:val="31"/>
          <w:szCs w:val="31"/>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inline distT="0" distB="0" distL="114300" distR="114300">
            <wp:extent cx="5484495" cy="64198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4495" cy="641985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77510" cy="659130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477510" cy="659130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2590" cy="7316470"/>
            <wp:effectExtent l="0" t="0" r="3810"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2590" cy="731647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0685" cy="5158740"/>
            <wp:effectExtent l="0" t="0" r="571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0685" cy="515874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5458460"/>
            <wp:effectExtent l="0" t="0" r="635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0050" cy="54584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9415" cy="4752340"/>
            <wp:effectExtent l="0" t="0" r="698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79415" cy="47523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1972945"/>
            <wp:effectExtent l="0" t="0" r="635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grayscl/>
                    </a:blip>
                    <a:stretch>
                      <a:fillRect/>
                    </a:stretch>
                  </pic:blipFill>
                  <pic:spPr>
                    <a:xfrm>
                      <a:off x="0" y="0"/>
                      <a:ext cx="5480050" cy="197294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23177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grayscl/>
                    </a:blip>
                    <a:stretch>
                      <a:fillRect/>
                    </a:stretch>
                  </pic:blipFill>
                  <pic:spPr>
                    <a:xfrm>
                      <a:off x="0" y="0"/>
                      <a:ext cx="5480050" cy="23177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1831975"/>
            <wp:effectExtent l="0" t="0" r="6350" b="158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0050" cy="18319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F72DC0"/>
    <w:multiLevelType w:val="singleLevel"/>
    <w:tmpl w:val="C8F72DC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11837"/>
    <w:rsid w:val="03B963CA"/>
    <w:rsid w:val="0B95755D"/>
    <w:rsid w:val="20724793"/>
    <w:rsid w:val="26867E01"/>
    <w:rsid w:val="31175782"/>
    <w:rsid w:val="31D11370"/>
    <w:rsid w:val="3D69650C"/>
    <w:rsid w:val="40DB6853"/>
    <w:rsid w:val="45405FC8"/>
    <w:rsid w:val="4FD15053"/>
    <w:rsid w:val="52B863EA"/>
    <w:rsid w:val="55B737B8"/>
    <w:rsid w:val="585070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2025-08-14T05:38:00Z</dcterms:created>
  <dc:creator>Administrator</dc:creator>
  <cp:lastModifiedBy>Administrator</cp:lastModifiedBy>
  <dcterms:modified xsi:type="dcterms:W3CDTF">2025-08-20T09:25:52Z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