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r>
        <w:rPr>
          <w:rFonts w:hint="eastAsia" w:ascii="方正小标宋_GBK" w:hAnsi="宋体" w:eastAsia="方正小标宋_GBK"/>
          <w:sz w:val="44"/>
          <w:szCs w:val="44"/>
          <w:highlight w:val="none"/>
          <w:lang w:val="en-US" w:eastAsia="zh-CN"/>
        </w:rPr>
        <w:t>库尔勒市应急管理局</w:t>
      </w:r>
      <w:r>
        <w:rPr>
          <w:rFonts w:hint="eastAsia" w:ascii="方正小标宋_GBK" w:hAnsi="宋体" w:eastAsia="方正小标宋_GBK"/>
          <w:sz w:val="44"/>
          <w:szCs w:val="44"/>
          <w:highlight w:val="none"/>
          <w:lang w:eastAsia="zh-CN"/>
        </w:rPr>
        <w:t>2024年度</w:t>
      </w:r>
      <w:r>
        <w:rPr>
          <w:rFonts w:hint="eastAsia" w:ascii="方正小标宋_GBK" w:hAnsi="宋体" w:eastAsia="方正小标宋_GBK"/>
          <w:sz w:val="44"/>
          <w:szCs w:val="44"/>
          <w:highlight w:val="none"/>
        </w:rPr>
        <w:t>部门决算</w:t>
      </w:r>
    </w:p>
    <w:p>
      <w:pPr>
        <w:keepNext w:val="0"/>
        <w:keepLines w:val="0"/>
        <w:pageBreakBefore w:val="0"/>
        <w:widowControl w:val="0"/>
        <w:kinsoku/>
        <w:wordWrap/>
        <w:overflowPunct/>
        <w:topLinePunct w:val="0"/>
        <w:bidi w:val="0"/>
        <w:adjustRightInd/>
        <w:snapToGrid/>
        <w:spacing w:line="240" w:lineRule="auto"/>
        <w:jc w:val="center"/>
        <w:textAlignment w:val="auto"/>
        <w:rPr>
          <w:rFonts w:hint="eastAsia" w:ascii="方正小标宋_GBK" w:hAnsi="宋体" w:eastAsia="方正小标宋_GBK"/>
          <w:sz w:val="44"/>
          <w:szCs w:val="44"/>
          <w:highlight w:val="none"/>
        </w:rPr>
      </w:pPr>
      <w:r>
        <w:rPr>
          <w:rFonts w:hint="eastAsia" w:ascii="方正小标宋_GBK" w:hAnsi="宋体" w:eastAsia="方正小标宋_GBK"/>
          <w:sz w:val="44"/>
          <w:szCs w:val="44"/>
          <w:highlight w:val="none"/>
        </w:rPr>
        <w:t>公开说明</w:t>
      </w:r>
    </w:p>
    <w:p>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eastAsia" w:ascii="仿宋_GB2312" w:hAnsi="仿宋_GB2312" w:eastAsia="仿宋_GB2312" w:cs="仿宋_GB2312"/>
          <w:b w:val="0"/>
          <w:bCs/>
          <w:kern w:val="0"/>
          <w:sz w:val="32"/>
          <w:szCs w:val="32"/>
          <w:highlight w:val="none"/>
        </w:rPr>
      </w:pPr>
      <w:r>
        <w:rPr>
          <w:rFonts w:hint="eastAsia" w:ascii="方正小标宋_GBK" w:hAnsi="宋体" w:eastAsia="方正小标宋_GBK"/>
          <w:sz w:val="44"/>
          <w:szCs w:val="44"/>
          <w:highlight w:val="none"/>
        </w:rPr>
        <w:br w:type="page"/>
      </w:r>
      <w:r>
        <w:rPr>
          <w:rFonts w:hint="eastAsia" w:ascii="仿宋_GB2312" w:hAnsi="仿宋_GB2312" w:eastAsia="仿宋_GB2312" w:cs="仿宋_GB2312"/>
          <w:b/>
          <w:bCs w:val="0"/>
          <w:kern w:val="0"/>
          <w:sz w:val="36"/>
          <w:szCs w:val="36"/>
          <w:highlight w:val="none"/>
        </w:rPr>
        <w:t>目  录</w:t>
      </w:r>
    </w:p>
    <w:p>
      <w:pPr>
        <w:pStyle w:val="6"/>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TOC \o "1-3" \n  \h \u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
          <w:bCs/>
          <w:sz w:val="32"/>
          <w:szCs w:val="32"/>
          <w:highlight w:val="none"/>
        </w:rPr>
        <w:fldChar w:fldCharType="begin"/>
      </w:r>
      <w:r>
        <w:rPr>
          <w:rFonts w:hint="eastAsia" w:ascii="仿宋_GB2312" w:hAnsi="仿宋_GB2312" w:eastAsia="仿宋_GB2312" w:cs="仿宋_GB2312"/>
          <w:b/>
          <w:bCs/>
          <w:sz w:val="32"/>
          <w:szCs w:val="32"/>
          <w:highlight w:val="none"/>
        </w:rPr>
        <w:instrText xml:space="preserve"> HYPERLINK \l _Toc31918 </w:instrText>
      </w:r>
      <w:r>
        <w:rPr>
          <w:rFonts w:hint="eastAsia" w:ascii="仿宋_GB2312" w:hAnsi="仿宋_GB2312" w:eastAsia="仿宋_GB2312" w:cs="仿宋_GB2312"/>
          <w:b/>
          <w:bCs/>
          <w:sz w:val="32"/>
          <w:szCs w:val="32"/>
          <w:highlight w:val="none"/>
        </w:rPr>
        <w:fldChar w:fldCharType="separate"/>
      </w:r>
      <w:r>
        <w:rPr>
          <w:rFonts w:hint="eastAsia" w:ascii="仿宋_GB2312" w:hAnsi="仿宋_GB2312" w:eastAsia="仿宋_GB2312" w:cs="仿宋_GB2312"/>
          <w:b/>
          <w:bCs/>
          <w:sz w:val="32"/>
          <w:szCs w:val="32"/>
          <w:highlight w:val="none"/>
        </w:rPr>
        <w:t>第一部分 部门（单位）概况</w:t>
      </w:r>
      <w:r>
        <w:rPr>
          <w:rFonts w:hint="eastAsia" w:ascii="仿宋_GB2312" w:hAnsi="仿宋_GB2312" w:eastAsia="仿宋_GB2312" w:cs="仿宋_GB2312"/>
          <w:b/>
          <w:bCs/>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_Toc2898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一、主要职能</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_Toc1387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二、机构设置</w:t>
      </w:r>
      <w:r>
        <w:rPr>
          <w:rFonts w:hint="eastAsia" w:ascii="仿宋_GB2312" w:hAnsi="仿宋_GB2312" w:eastAsia="仿宋_GB2312" w:cs="仿宋_GB2312"/>
          <w:bCs/>
          <w:kern w:val="0"/>
          <w:sz w:val="32"/>
          <w:szCs w:val="32"/>
          <w:highlight w:val="none"/>
          <w:lang w:eastAsia="zh-CN"/>
        </w:rPr>
        <w:t>及人员</w:t>
      </w:r>
      <w:r>
        <w:rPr>
          <w:rFonts w:hint="eastAsia" w:ascii="仿宋_GB2312" w:hAnsi="仿宋_GB2312" w:eastAsia="仿宋_GB2312" w:cs="仿宋_GB2312"/>
          <w:bCs/>
          <w:kern w:val="0"/>
          <w:sz w:val="32"/>
          <w:szCs w:val="32"/>
          <w:highlight w:val="none"/>
        </w:rPr>
        <w:t>情况</w:t>
      </w:r>
      <w:r>
        <w:rPr>
          <w:rFonts w:hint="eastAsia" w:ascii="仿宋_GB2312" w:hAnsi="仿宋_GB2312" w:eastAsia="仿宋_GB2312" w:cs="仿宋_GB2312"/>
          <w:sz w:val="32"/>
          <w:szCs w:val="32"/>
          <w:highlight w:val="none"/>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highlight w:val="none"/>
        </w:rPr>
        <w:fldChar w:fldCharType="begin"/>
      </w:r>
      <w:r>
        <w:rPr>
          <w:rFonts w:hint="eastAsia" w:ascii="仿宋_GB2312" w:hAnsi="仿宋_GB2312" w:eastAsia="仿宋_GB2312" w:cs="仿宋_GB2312"/>
          <w:b/>
          <w:bCs/>
          <w:sz w:val="32"/>
          <w:szCs w:val="32"/>
          <w:highlight w:val="none"/>
        </w:rPr>
        <w:instrText xml:space="preserve"> HYPERLINK \l _Toc7559 </w:instrText>
      </w:r>
      <w:r>
        <w:rPr>
          <w:rFonts w:hint="eastAsia" w:ascii="仿宋_GB2312" w:hAnsi="仿宋_GB2312" w:eastAsia="仿宋_GB2312" w:cs="仿宋_GB2312"/>
          <w:b/>
          <w:bCs/>
          <w:sz w:val="32"/>
          <w:szCs w:val="32"/>
          <w:highlight w:val="none"/>
        </w:rPr>
        <w:fldChar w:fldCharType="separate"/>
      </w:r>
      <w:r>
        <w:rPr>
          <w:rFonts w:hint="eastAsia" w:ascii="仿宋_GB2312" w:hAnsi="仿宋_GB2312" w:eastAsia="仿宋_GB2312" w:cs="仿宋_GB2312"/>
          <w:b/>
          <w:bCs/>
          <w:sz w:val="32"/>
          <w:szCs w:val="32"/>
          <w:highlight w:val="none"/>
        </w:rPr>
        <w:t>第</w:t>
      </w:r>
      <w:r>
        <w:rPr>
          <w:rFonts w:hint="eastAsia" w:ascii="仿宋_GB2312" w:hAnsi="仿宋_GB2312" w:eastAsia="仿宋_GB2312" w:cs="仿宋_GB2312"/>
          <w:b/>
          <w:bCs/>
          <w:sz w:val="32"/>
          <w:szCs w:val="32"/>
          <w:highlight w:val="none"/>
          <w:lang w:val="en-US" w:eastAsia="zh-CN"/>
        </w:rPr>
        <w:t>二</w:t>
      </w:r>
      <w:r>
        <w:rPr>
          <w:rFonts w:hint="eastAsia" w:ascii="仿宋_GB2312" w:hAnsi="仿宋_GB2312" w:eastAsia="仿宋_GB2312" w:cs="仿宋_GB2312"/>
          <w:b/>
          <w:bCs/>
          <w:sz w:val="32"/>
          <w:szCs w:val="32"/>
          <w:highlight w:val="none"/>
        </w:rPr>
        <w:t>部分 部门决算情况说明</w:t>
      </w:r>
      <w:r>
        <w:rPr>
          <w:rFonts w:hint="eastAsia" w:ascii="仿宋_GB2312" w:hAnsi="仿宋_GB2312" w:eastAsia="仿宋_GB2312" w:cs="仿宋_GB2312"/>
          <w:b/>
          <w:bCs/>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_Toc6321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一、收入支出决算总体情况说明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_Toc6311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二、</w:t>
      </w:r>
      <w:r>
        <w:rPr>
          <w:rFonts w:hint="eastAsia" w:ascii="仿宋_GB2312" w:hAnsi="仿宋_GB2312" w:eastAsia="仿宋_GB2312" w:cs="仿宋_GB2312"/>
          <w:bCs/>
          <w:kern w:val="0"/>
          <w:sz w:val="32"/>
          <w:szCs w:val="32"/>
          <w:highlight w:val="none"/>
        </w:rPr>
        <w:t>收入</w:t>
      </w:r>
      <w:r>
        <w:rPr>
          <w:rFonts w:hint="eastAsia" w:ascii="仿宋_GB2312" w:hAnsi="仿宋_GB2312" w:eastAsia="仿宋_GB2312" w:cs="仿宋_GB2312"/>
          <w:bCs/>
          <w:kern w:val="0"/>
          <w:sz w:val="32"/>
          <w:szCs w:val="32"/>
          <w:highlight w:val="none"/>
          <w:lang w:eastAsia="zh-CN"/>
        </w:rPr>
        <w:t>决算</w:t>
      </w:r>
      <w:r>
        <w:rPr>
          <w:rFonts w:hint="eastAsia" w:ascii="仿宋_GB2312" w:hAnsi="仿宋_GB2312" w:eastAsia="仿宋_GB2312" w:cs="仿宋_GB2312"/>
          <w:bCs/>
          <w:kern w:val="0"/>
          <w:sz w:val="32"/>
          <w:szCs w:val="32"/>
          <w:highlight w:val="none"/>
        </w:rPr>
        <w:t>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_Toc20629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三、支出决算情况说明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_Toc7371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四、财政拨款收入支出决算总体情况说明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_Toc18905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五、一般公共预算财政拨款支出决算情况说明</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_Toc1165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（一）一般公共预算财政拨款支出决算总体情况</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_Toc27147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（二）一般公共预算</w:t>
      </w:r>
      <w:r>
        <w:rPr>
          <w:rFonts w:hint="eastAsia" w:ascii="仿宋_GB2312" w:hAnsi="仿宋_GB2312" w:eastAsia="仿宋_GB2312" w:cs="仿宋_GB2312"/>
          <w:sz w:val="32"/>
          <w:szCs w:val="32"/>
          <w:highlight w:val="none"/>
          <w:lang w:val="en-US" w:eastAsia="zh-CN"/>
        </w:rPr>
        <w:t>财政拨款支出决算</w:t>
      </w:r>
      <w:r>
        <w:rPr>
          <w:rFonts w:hint="eastAsia" w:ascii="仿宋_GB2312" w:hAnsi="仿宋_GB2312" w:eastAsia="仿宋_GB2312" w:cs="仿宋_GB2312"/>
          <w:sz w:val="32"/>
          <w:szCs w:val="32"/>
          <w:highlight w:val="none"/>
          <w:lang w:eastAsia="zh-CN"/>
        </w:rPr>
        <w:t>结构情况</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_Toc10037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（三）一般公共预算财政拨款支出决算具体情况</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_Toc23415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六、一般公共预算财政拨款基本支出决算情况说明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_Toc7523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val="en-US" w:eastAsia="zh-CN"/>
        </w:rPr>
        <w:t>七、</w:t>
      </w:r>
      <w:r>
        <w:rPr>
          <w:rFonts w:hint="eastAsia" w:ascii="仿宋_GB2312" w:hAnsi="仿宋_GB2312" w:eastAsia="仿宋_GB2312" w:cs="仿宋_GB2312"/>
          <w:bCs/>
          <w:kern w:val="0"/>
          <w:sz w:val="32"/>
          <w:szCs w:val="32"/>
          <w:highlight w:val="none"/>
          <w:lang w:eastAsia="zh-CN"/>
        </w:rPr>
        <w:t>政府性基金预算财政拨款收入支出决算情况说明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_Toc5563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val="en-US" w:eastAsia="zh-CN"/>
        </w:rPr>
        <w:t>八</w:t>
      </w:r>
      <w:r>
        <w:rPr>
          <w:rFonts w:hint="eastAsia" w:ascii="仿宋_GB2312" w:hAnsi="仿宋_GB2312" w:eastAsia="仿宋_GB2312" w:cs="仿宋_GB2312"/>
          <w:bCs/>
          <w:kern w:val="0"/>
          <w:sz w:val="32"/>
          <w:szCs w:val="32"/>
          <w:highlight w:val="none"/>
          <w:lang w:eastAsia="zh-CN"/>
        </w:rPr>
        <w:t>、国有资本经营预算财政拨款收入支出决算情况说明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_Toc9161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val="en-US" w:eastAsia="zh-CN"/>
        </w:rPr>
        <w:t>九</w:t>
      </w:r>
      <w:r>
        <w:rPr>
          <w:rFonts w:hint="eastAsia" w:ascii="仿宋_GB2312" w:hAnsi="仿宋_GB2312" w:eastAsia="仿宋_GB2312" w:cs="仿宋_GB2312"/>
          <w:bCs/>
          <w:kern w:val="0"/>
          <w:sz w:val="32"/>
          <w:szCs w:val="32"/>
          <w:highlight w:val="none"/>
          <w:lang w:eastAsia="zh-CN"/>
        </w:rPr>
        <w:t>、财政拨款</w:t>
      </w:r>
      <w:r>
        <w:rPr>
          <w:rFonts w:hint="eastAsia" w:ascii="仿宋_GB2312" w:hAnsi="仿宋_GB2312" w:eastAsia="仿宋_GB2312" w:cs="仿宋_GB2312"/>
          <w:bCs/>
          <w:kern w:val="0"/>
          <w:sz w:val="32"/>
          <w:szCs w:val="32"/>
          <w:highlight w:val="none"/>
        </w:rPr>
        <w:t>“三公”经费支出</w:t>
      </w:r>
      <w:r>
        <w:rPr>
          <w:rFonts w:hint="eastAsia" w:ascii="仿宋_GB2312" w:hAnsi="仿宋_GB2312" w:eastAsia="仿宋_GB2312" w:cs="仿宋_GB2312"/>
          <w:bCs/>
          <w:kern w:val="0"/>
          <w:sz w:val="32"/>
          <w:szCs w:val="32"/>
          <w:highlight w:val="none"/>
          <w:lang w:eastAsia="zh-CN"/>
        </w:rPr>
        <w:t>决算</w:t>
      </w:r>
      <w:r>
        <w:rPr>
          <w:rFonts w:hint="eastAsia" w:ascii="仿宋_GB2312" w:hAnsi="仿宋_GB2312" w:eastAsia="仿宋_GB2312" w:cs="仿宋_GB2312"/>
          <w:bCs/>
          <w:kern w:val="0"/>
          <w:sz w:val="32"/>
          <w:szCs w:val="32"/>
          <w:highlight w:val="none"/>
        </w:rPr>
        <w:t>情况</w:t>
      </w:r>
      <w:r>
        <w:rPr>
          <w:rFonts w:hint="eastAsia" w:ascii="仿宋_GB2312" w:hAnsi="仿宋_GB2312" w:eastAsia="仿宋_GB2312" w:cs="仿宋_GB2312"/>
          <w:bCs/>
          <w:kern w:val="0"/>
          <w:sz w:val="32"/>
          <w:szCs w:val="32"/>
          <w:highlight w:val="none"/>
          <w:lang w:eastAsia="zh-CN"/>
        </w:rPr>
        <w:t>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_Toc16395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十</w:t>
      </w:r>
      <w:r>
        <w:rPr>
          <w:rFonts w:hint="eastAsia" w:ascii="仿宋_GB2312" w:hAnsi="仿宋_GB2312" w:eastAsia="仿宋_GB2312" w:cs="仿宋_GB2312"/>
          <w:bCs/>
          <w:kern w:val="0"/>
          <w:sz w:val="32"/>
          <w:szCs w:val="32"/>
          <w:highlight w:val="none"/>
        </w:rPr>
        <w:t>、其他重要事项的情况</w:t>
      </w:r>
      <w:r>
        <w:rPr>
          <w:rFonts w:hint="eastAsia" w:ascii="仿宋_GB2312" w:hAnsi="仿宋_GB2312" w:eastAsia="仿宋_GB2312" w:cs="仿宋_GB2312"/>
          <w:bCs/>
          <w:kern w:val="0"/>
          <w:sz w:val="32"/>
          <w:szCs w:val="32"/>
          <w:highlight w:val="none"/>
          <w:lang w:eastAsia="zh-CN"/>
        </w:rPr>
        <w:t>说明</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_Toc21748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（一）</w:t>
      </w:r>
      <w:r>
        <w:rPr>
          <w:rFonts w:hint="eastAsia" w:ascii="仿宋_GB2312" w:hAnsi="仿宋_GB2312" w:eastAsia="仿宋_GB2312" w:cs="仿宋_GB2312"/>
          <w:sz w:val="32"/>
          <w:szCs w:val="32"/>
          <w:highlight w:val="none"/>
        </w:rPr>
        <w:t>机关运行经费</w:t>
      </w:r>
      <w:r>
        <w:rPr>
          <w:rFonts w:hint="eastAsia" w:ascii="仿宋_GB2312" w:hAnsi="仿宋_GB2312" w:eastAsia="仿宋_GB2312" w:cs="仿宋_GB2312"/>
          <w:sz w:val="32"/>
          <w:szCs w:val="32"/>
          <w:highlight w:val="none"/>
          <w:lang w:val="en-US" w:eastAsia="zh-CN"/>
        </w:rPr>
        <w:t>及公用经费</w:t>
      </w:r>
      <w:r>
        <w:rPr>
          <w:rFonts w:hint="eastAsia" w:ascii="仿宋_GB2312" w:hAnsi="仿宋_GB2312" w:eastAsia="仿宋_GB2312" w:cs="仿宋_GB2312"/>
          <w:sz w:val="32"/>
          <w:szCs w:val="32"/>
          <w:highlight w:val="none"/>
        </w:rPr>
        <w:t>支出情况</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_Toc25177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（二）政府采购情况</w:t>
      </w:r>
      <w:r>
        <w:rPr>
          <w:rFonts w:hint="eastAsia" w:ascii="仿宋_GB2312" w:hAnsi="仿宋_GB2312" w:eastAsia="仿宋_GB2312" w:cs="仿宋_GB2312"/>
          <w:sz w:val="32"/>
          <w:szCs w:val="32"/>
          <w:highlight w:val="none"/>
        </w:rPr>
        <w:fldChar w:fldCharType="end"/>
      </w:r>
    </w:p>
    <w:p>
      <w:pPr>
        <w:pStyle w:val="3"/>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_Toc31294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sz w:val="32"/>
          <w:szCs w:val="32"/>
          <w:highlight w:val="none"/>
          <w:lang w:eastAsia="zh-CN"/>
        </w:rPr>
        <w:t>（三）国有资产占用情况说明</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_Toc17664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eastAsia="zh-CN"/>
        </w:rPr>
        <w:t>十</w:t>
      </w:r>
      <w:r>
        <w:rPr>
          <w:rFonts w:hint="eastAsia" w:ascii="仿宋_GB2312" w:hAnsi="仿宋_GB2312" w:eastAsia="仿宋_GB2312" w:cs="仿宋_GB2312"/>
          <w:bCs/>
          <w:kern w:val="0"/>
          <w:sz w:val="32"/>
          <w:szCs w:val="32"/>
          <w:highlight w:val="none"/>
          <w:lang w:val="en-US" w:eastAsia="zh-CN"/>
        </w:rPr>
        <w:t>一</w:t>
      </w:r>
      <w:r>
        <w:rPr>
          <w:rFonts w:hint="eastAsia" w:ascii="仿宋_GB2312" w:hAnsi="仿宋_GB2312" w:eastAsia="仿宋_GB2312" w:cs="仿宋_GB2312"/>
          <w:bCs/>
          <w:kern w:val="0"/>
          <w:sz w:val="32"/>
          <w:szCs w:val="32"/>
          <w:highlight w:val="none"/>
          <w:lang w:eastAsia="zh-CN"/>
        </w:rPr>
        <w:t>、预算绩效的情况说明</w:t>
      </w:r>
      <w:r>
        <w:rPr>
          <w:rFonts w:hint="eastAsia" w:ascii="仿宋_GB2312" w:hAnsi="仿宋_GB2312" w:eastAsia="仿宋_GB2312" w:cs="仿宋_GB2312"/>
          <w:sz w:val="32"/>
          <w:szCs w:val="32"/>
          <w:highlight w:val="none"/>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highlight w:val="none"/>
        </w:rPr>
        <w:fldChar w:fldCharType="begin"/>
      </w:r>
      <w:r>
        <w:rPr>
          <w:rFonts w:hint="eastAsia" w:ascii="仿宋_GB2312" w:hAnsi="仿宋_GB2312" w:eastAsia="仿宋_GB2312" w:cs="仿宋_GB2312"/>
          <w:b/>
          <w:bCs/>
          <w:sz w:val="32"/>
          <w:szCs w:val="32"/>
          <w:highlight w:val="none"/>
        </w:rPr>
        <w:instrText xml:space="preserve"> HYPERLINK \l _Toc30038 </w:instrText>
      </w:r>
      <w:r>
        <w:rPr>
          <w:rFonts w:hint="eastAsia" w:ascii="仿宋_GB2312" w:hAnsi="仿宋_GB2312" w:eastAsia="仿宋_GB2312" w:cs="仿宋_GB2312"/>
          <w:b/>
          <w:bCs/>
          <w:sz w:val="32"/>
          <w:szCs w:val="32"/>
          <w:highlight w:val="none"/>
        </w:rPr>
        <w:fldChar w:fldCharType="separate"/>
      </w:r>
      <w:r>
        <w:rPr>
          <w:rFonts w:hint="eastAsia" w:ascii="仿宋_GB2312" w:hAnsi="仿宋_GB2312" w:eastAsia="仿宋_GB2312" w:cs="仿宋_GB2312"/>
          <w:b/>
          <w:bCs/>
          <w:sz w:val="32"/>
          <w:szCs w:val="32"/>
          <w:highlight w:val="none"/>
        </w:rPr>
        <w:t>第</w:t>
      </w:r>
      <w:r>
        <w:rPr>
          <w:rFonts w:hint="eastAsia" w:ascii="仿宋_GB2312" w:hAnsi="仿宋_GB2312" w:eastAsia="仿宋_GB2312" w:cs="仿宋_GB2312"/>
          <w:b/>
          <w:bCs/>
          <w:sz w:val="32"/>
          <w:szCs w:val="32"/>
          <w:highlight w:val="none"/>
          <w:lang w:val="en-US" w:eastAsia="zh-CN"/>
        </w:rPr>
        <w:t>三</w:t>
      </w:r>
      <w:r>
        <w:rPr>
          <w:rFonts w:hint="eastAsia" w:ascii="仿宋_GB2312" w:hAnsi="仿宋_GB2312" w:eastAsia="仿宋_GB2312" w:cs="仿宋_GB2312"/>
          <w:b/>
          <w:bCs/>
          <w:sz w:val="32"/>
          <w:szCs w:val="32"/>
          <w:highlight w:val="none"/>
        </w:rPr>
        <w:t>部分 专业名词解释</w:t>
      </w:r>
      <w:r>
        <w:rPr>
          <w:rFonts w:hint="eastAsia" w:ascii="仿宋_GB2312" w:hAnsi="仿宋_GB2312" w:eastAsia="仿宋_GB2312" w:cs="仿宋_GB2312"/>
          <w:b/>
          <w:bCs/>
          <w:sz w:val="32"/>
          <w:szCs w:val="32"/>
          <w:highlight w:val="none"/>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highlight w:val="none"/>
        </w:rPr>
        <w:fldChar w:fldCharType="begin"/>
      </w:r>
      <w:r>
        <w:rPr>
          <w:rFonts w:hint="eastAsia" w:ascii="仿宋_GB2312" w:hAnsi="仿宋_GB2312" w:eastAsia="仿宋_GB2312" w:cs="仿宋_GB2312"/>
          <w:b/>
          <w:bCs/>
          <w:sz w:val="32"/>
          <w:szCs w:val="32"/>
          <w:highlight w:val="none"/>
        </w:rPr>
        <w:instrText xml:space="preserve"> HYPERLINK \l _Toc6831 </w:instrText>
      </w:r>
      <w:r>
        <w:rPr>
          <w:rFonts w:hint="eastAsia" w:ascii="仿宋_GB2312" w:hAnsi="仿宋_GB2312" w:eastAsia="仿宋_GB2312" w:cs="仿宋_GB2312"/>
          <w:b/>
          <w:bCs/>
          <w:sz w:val="32"/>
          <w:szCs w:val="32"/>
          <w:highlight w:val="none"/>
        </w:rPr>
        <w:fldChar w:fldCharType="separate"/>
      </w:r>
      <w:r>
        <w:rPr>
          <w:rFonts w:hint="eastAsia" w:ascii="仿宋_GB2312" w:hAnsi="仿宋_GB2312" w:eastAsia="仿宋_GB2312" w:cs="仿宋_GB2312"/>
          <w:b/>
          <w:bCs/>
          <w:sz w:val="32"/>
          <w:szCs w:val="32"/>
          <w:highlight w:val="none"/>
        </w:rPr>
        <w:t>第四部分 部门决算报表（见附表）</w:t>
      </w:r>
      <w:r>
        <w:rPr>
          <w:rFonts w:hint="eastAsia" w:ascii="仿宋_GB2312" w:hAnsi="仿宋_GB2312" w:eastAsia="仿宋_GB2312" w:cs="仿宋_GB2312"/>
          <w:b/>
          <w:bCs/>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_Toc3845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一、《收入支出决算总表》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_Toc11927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二、《收入决算表》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_Toc7443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三、《支出决算表》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_Toc24884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四、《财政拨款收入支出决算总表》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_Toc16518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五、《一般公共预算财政拨款支出决算表》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_Toc20514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六、《一般公共预算财政拨款基本支出决算表》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_Toc18055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七、《政府性基金预算财政拨款收入支出决算表》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_Toc10719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rPr>
        <w:t>八、《</w:t>
      </w:r>
      <w:r>
        <w:rPr>
          <w:rFonts w:hint="eastAsia" w:ascii="仿宋_GB2312" w:hAnsi="仿宋_GB2312" w:eastAsia="仿宋_GB2312" w:cs="仿宋_GB2312"/>
          <w:bCs/>
          <w:kern w:val="0"/>
          <w:sz w:val="32"/>
          <w:szCs w:val="32"/>
          <w:highlight w:val="none"/>
          <w:lang w:eastAsia="zh-CN"/>
        </w:rPr>
        <w:t>国有资本经营</w:t>
      </w:r>
      <w:r>
        <w:rPr>
          <w:rFonts w:hint="eastAsia" w:ascii="仿宋_GB2312" w:hAnsi="仿宋_GB2312" w:eastAsia="仿宋_GB2312" w:cs="仿宋_GB2312"/>
          <w:bCs/>
          <w:kern w:val="0"/>
          <w:sz w:val="32"/>
          <w:szCs w:val="32"/>
          <w:highlight w:val="none"/>
        </w:rPr>
        <w:t>预算财政拨款收入支出决算表》</w:t>
      </w:r>
      <w:r>
        <w:rPr>
          <w:rFonts w:hint="eastAsia" w:ascii="仿宋_GB2312" w:hAnsi="仿宋_GB2312" w:eastAsia="仿宋_GB2312" w:cs="仿宋_GB2312"/>
          <w:sz w:val="32"/>
          <w:szCs w:val="32"/>
          <w:highlight w:val="none"/>
        </w:rPr>
        <w:fldChar w:fldCharType="end"/>
      </w:r>
    </w:p>
    <w:p>
      <w:pPr>
        <w:pStyle w:val="7"/>
        <w:keepNext w:val="0"/>
        <w:keepLines w:val="0"/>
        <w:pageBreakBefore w:val="0"/>
        <w:widowControl w:val="0"/>
        <w:tabs>
          <w:tab w:val="right" w:leader="dot" w:pos="8306"/>
        </w:tabs>
        <w:kinsoku/>
        <w:wordWrap/>
        <w:overflowPunct/>
        <w:topLinePunct w:val="0"/>
        <w:autoSpaceDE/>
        <w:autoSpaceDN/>
        <w:bidi w:val="0"/>
        <w:adjustRightInd/>
        <w:snapToGrid/>
        <w:ind w:left="0" w:left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highlight w:val="none"/>
        </w:rPr>
        <w:fldChar w:fldCharType="begin"/>
      </w:r>
      <w:r>
        <w:rPr>
          <w:rFonts w:hint="eastAsia" w:ascii="仿宋_GB2312" w:hAnsi="仿宋_GB2312" w:eastAsia="仿宋_GB2312" w:cs="仿宋_GB2312"/>
          <w:sz w:val="32"/>
          <w:szCs w:val="32"/>
          <w:highlight w:val="none"/>
        </w:rPr>
        <w:instrText xml:space="preserve"> HYPERLINK \l _Toc18861 </w:instrText>
      </w:r>
      <w:r>
        <w:rPr>
          <w:rFonts w:hint="eastAsia" w:ascii="仿宋_GB2312" w:hAnsi="仿宋_GB2312" w:eastAsia="仿宋_GB2312" w:cs="仿宋_GB2312"/>
          <w:sz w:val="32"/>
          <w:szCs w:val="32"/>
          <w:highlight w:val="none"/>
        </w:rPr>
        <w:fldChar w:fldCharType="separate"/>
      </w:r>
      <w:r>
        <w:rPr>
          <w:rFonts w:hint="eastAsia" w:ascii="仿宋_GB2312" w:hAnsi="仿宋_GB2312" w:eastAsia="仿宋_GB2312" w:cs="仿宋_GB2312"/>
          <w:bCs/>
          <w:kern w:val="0"/>
          <w:sz w:val="32"/>
          <w:szCs w:val="32"/>
          <w:highlight w:val="none"/>
          <w:lang w:val="en-US" w:eastAsia="zh-CN"/>
        </w:rPr>
        <w:t>九</w:t>
      </w:r>
      <w:r>
        <w:rPr>
          <w:rFonts w:hint="eastAsia" w:ascii="仿宋_GB2312" w:hAnsi="仿宋_GB2312" w:eastAsia="仿宋_GB2312" w:cs="仿宋_GB2312"/>
          <w:bCs/>
          <w:kern w:val="0"/>
          <w:sz w:val="32"/>
          <w:szCs w:val="32"/>
          <w:highlight w:val="none"/>
        </w:rPr>
        <w:t>、《财政拨款“三公”经费支出决算表》</w:t>
      </w:r>
      <w:r>
        <w:rPr>
          <w:rFonts w:hint="eastAsia" w:ascii="仿宋_GB2312" w:hAnsi="仿宋_GB2312" w:eastAsia="仿宋_GB2312" w:cs="仿宋_GB2312"/>
          <w:sz w:val="32"/>
          <w:szCs w:val="32"/>
          <w:highlight w:val="none"/>
        </w:rPr>
        <w:fldChar w:fldCharType="end"/>
      </w:r>
    </w:p>
    <w:p>
      <w:pPr>
        <w:keepNext w:val="0"/>
        <w:keepLines w:val="0"/>
        <w:pageBreakBefore w:val="0"/>
        <w:widowControl w:val="0"/>
        <w:kinsoku/>
        <w:wordWrap/>
        <w:overflowPunct/>
        <w:topLinePunct w:val="0"/>
        <w:autoSpaceDE/>
        <w:autoSpaceDN/>
        <w:bidi w:val="0"/>
        <w:adjustRightInd/>
        <w:snapToGrid/>
        <w:ind w:left="0" w:leftChars="0"/>
        <w:jc w:val="center"/>
        <w:textAlignment w:val="auto"/>
        <w:rPr>
          <w:rFonts w:hint="eastAsia" w:ascii="黑体" w:hAnsi="黑体" w:eastAsia="黑体"/>
          <w:sz w:val="32"/>
          <w:szCs w:val="32"/>
          <w:highlight w:val="none"/>
        </w:rPr>
      </w:pPr>
      <w:r>
        <w:rPr>
          <w:rFonts w:hint="eastAsia" w:ascii="仿宋_GB2312" w:hAnsi="仿宋_GB2312" w:eastAsia="仿宋_GB2312" w:cs="仿宋_GB2312"/>
          <w:sz w:val="32"/>
          <w:szCs w:val="32"/>
          <w:highlight w:val="none"/>
        </w:rPr>
        <w:fldChar w:fldCharType="end"/>
      </w:r>
      <w:r>
        <w:rPr>
          <w:rFonts w:hint="eastAsia" w:ascii="仿宋_GB2312" w:eastAsia="仿宋_GB2312"/>
          <w:sz w:val="32"/>
          <w:szCs w:val="32"/>
          <w:highlight w:val="none"/>
        </w:rPr>
        <w:br w:type="page"/>
      </w:r>
      <w:bookmarkStart w:id="0" w:name="_Toc24028"/>
      <w:bookmarkStart w:id="1" w:name="_Toc31918"/>
      <w:r>
        <w:rPr>
          <w:rFonts w:hint="eastAsia" w:ascii="黑体" w:hAnsi="黑体" w:eastAsia="黑体"/>
          <w:sz w:val="32"/>
          <w:szCs w:val="32"/>
          <w:highlight w:val="none"/>
        </w:rPr>
        <w:t>第一部分 部门（单位）概况</w:t>
      </w:r>
      <w:bookmarkEnd w:id="0"/>
      <w:bookmarkEnd w:id="1"/>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ascii="黑体" w:hAnsi="黑体" w:eastAsia="黑体" w:cs="宋体"/>
          <w:bCs/>
          <w:kern w:val="0"/>
          <w:sz w:val="32"/>
          <w:szCs w:val="32"/>
          <w:highlight w:val="none"/>
        </w:rPr>
      </w:pPr>
      <w:bookmarkStart w:id="2" w:name="_Toc30738"/>
      <w:bookmarkStart w:id="3" w:name="_Toc2898"/>
      <w:r>
        <w:rPr>
          <w:rFonts w:hint="eastAsia" w:ascii="黑体" w:hAnsi="黑体" w:eastAsia="黑体" w:cs="宋体"/>
          <w:bCs/>
          <w:kern w:val="0"/>
          <w:sz w:val="32"/>
          <w:szCs w:val="32"/>
          <w:highlight w:val="none"/>
        </w:rPr>
        <w:t>一、主要职能</w:t>
      </w:r>
      <w:bookmarkEnd w:id="2"/>
      <w:bookmarkEnd w:id="3"/>
    </w:p>
    <w:p>
      <w:pPr>
        <w:keepNext w:val="0"/>
        <w:keepLines w:val="0"/>
        <w:pageBreakBefore w:val="0"/>
        <w:widowControl w:val="0"/>
        <w:kinsoku/>
        <w:wordWrap/>
        <w:overflowPunct/>
        <w:topLinePunct w:val="0"/>
        <w:bidi w:val="0"/>
        <w:adjustRightInd/>
        <w:snapToGrid/>
        <w:spacing w:line="240" w:lineRule="auto"/>
        <w:ind w:firstLine="640" w:firstLineChars="200"/>
        <w:jc w:val="both"/>
        <w:textAlignment w:val="auto"/>
        <w:rPr>
          <w:rFonts w:hint="eastAsia" w:ascii="仿宋_GB2312" w:eastAsia="仿宋_GB2312"/>
          <w:sz w:val="32"/>
          <w:szCs w:val="32"/>
          <w:highlight w:val="none"/>
        </w:rPr>
      </w:pPr>
      <w:r>
        <w:rPr>
          <w:rFonts w:hint="eastAsia" w:ascii="仿宋_GB2312" w:eastAsia="仿宋_GB2312"/>
          <w:sz w:val="32"/>
          <w:szCs w:val="32"/>
          <w:highlight w:val="none"/>
        </w:rPr>
        <w:t>负责应急管理工作，指导各乡镇场街道，市属各部门对安全生产类、自然灾害类突发事件和综合防灾减灾工作；负责安全生产类、自然灾害类应急预案体系建设，健全自然灾害信息资源获取和共享机制，依法统一发布灾情；统筹应急救援力量建设，负责消防、森林和草原火灾扑救、抗洪抢险、地震和地质灾害救援、生产安全事故救援专业应急救援力量建设，管理指挥库尔勒市综合性应急救援队伍，指挥各乡镇场、街道及社会力量建设；负责消防管理工作，指导消防监督、火灾预防、火灾扑救等工作；指导协调森林和草原火灾、水旱灾害、地震和地质灾害防治工作，组织协调灾害救助工作，组织指导灾情核查、损失评估、救灾捐赠工作；负责应急管理、安全生产宣传教育培训工作，组织指导全市应急管理、安全生产的科学技术研究、推广应用和信息化建设工作；负责全市非煤矿山、危险化学品、煤矿等企业安全生产日常监督管理工作，承担库尔勒市安委会办公室、应急指挥中心日常业务等职能。</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rPr>
      </w:pPr>
      <w:bookmarkStart w:id="4" w:name="_Toc31238"/>
      <w:bookmarkStart w:id="5" w:name="_Toc1387"/>
      <w:r>
        <w:rPr>
          <w:rFonts w:hint="eastAsia" w:ascii="黑体" w:hAnsi="黑体" w:eastAsia="黑体" w:cs="宋体"/>
          <w:bCs/>
          <w:kern w:val="0"/>
          <w:sz w:val="32"/>
          <w:szCs w:val="32"/>
          <w:highlight w:val="none"/>
        </w:rPr>
        <w:t>二、机构设置</w:t>
      </w:r>
      <w:r>
        <w:rPr>
          <w:rFonts w:hint="eastAsia" w:ascii="黑体" w:hAnsi="黑体" w:eastAsia="黑体" w:cs="宋体"/>
          <w:bCs/>
          <w:kern w:val="0"/>
          <w:sz w:val="32"/>
          <w:szCs w:val="32"/>
          <w:highlight w:val="none"/>
          <w:lang w:eastAsia="zh-CN"/>
        </w:rPr>
        <w:t>及</w:t>
      </w:r>
      <w:bookmarkEnd w:id="4"/>
      <w:r>
        <w:rPr>
          <w:rFonts w:hint="eastAsia" w:ascii="黑体" w:hAnsi="黑体" w:eastAsia="黑体" w:cs="宋体"/>
          <w:bCs/>
          <w:kern w:val="0"/>
          <w:sz w:val="32"/>
          <w:szCs w:val="32"/>
          <w:highlight w:val="none"/>
          <w:lang w:eastAsia="zh-CN"/>
        </w:rPr>
        <w:t>人员</w:t>
      </w:r>
      <w:r>
        <w:rPr>
          <w:rFonts w:hint="eastAsia" w:ascii="黑体" w:hAnsi="黑体" w:eastAsia="黑体" w:cs="宋体"/>
          <w:bCs/>
          <w:kern w:val="0"/>
          <w:sz w:val="32"/>
          <w:szCs w:val="32"/>
          <w:highlight w:val="none"/>
        </w:rPr>
        <w:t>情况</w:t>
      </w:r>
      <w:bookmarkEnd w:id="5"/>
    </w:p>
    <w:p>
      <w:pPr>
        <w:keepNext w:val="0"/>
        <w:keepLines w:val="0"/>
        <w:pageBreakBefore w:val="0"/>
        <w:widowControl w:val="0"/>
        <w:kinsoku/>
        <w:wordWrap/>
        <w:overflowPunct/>
        <w:topLinePunct w:val="0"/>
        <w:bidi w:val="0"/>
        <w:adjustRightInd/>
        <w:snapToGrid/>
        <w:spacing w:line="240" w:lineRule="auto"/>
        <w:ind w:firstLine="640" w:firstLineChars="200"/>
        <w:jc w:val="both"/>
        <w:textAlignment w:val="auto"/>
        <w:rPr>
          <w:rFonts w:hint="eastAsia" w:ascii="仿宋_GB2312" w:eastAsia="仿宋_GB2312"/>
          <w:sz w:val="32"/>
          <w:szCs w:val="32"/>
          <w:highlight w:val="none"/>
        </w:rPr>
      </w:pPr>
      <w:r>
        <w:rPr>
          <w:rFonts w:hint="eastAsia" w:ascii="仿宋_GB2312" w:eastAsia="仿宋_GB2312"/>
          <w:sz w:val="32"/>
          <w:szCs w:val="32"/>
          <w:highlight w:val="none"/>
        </w:rPr>
        <w:t>库尔勒市应急管理局</w:t>
      </w:r>
      <w:r>
        <w:rPr>
          <w:rFonts w:hint="eastAsia" w:ascii="仿宋_GB2312" w:eastAsia="仿宋_GB2312"/>
          <w:spacing w:val="0"/>
          <w:sz w:val="32"/>
          <w:szCs w:val="32"/>
          <w:highlight w:val="none"/>
          <w:lang w:eastAsia="zh-CN"/>
        </w:rPr>
        <w:t>2024年度</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实有人数</w:t>
      </w:r>
      <w:r>
        <w:rPr>
          <w:rFonts w:hint="eastAsia" w:ascii="仿宋_GB2312" w:eastAsia="仿宋_GB2312"/>
          <w:sz w:val="32"/>
          <w:szCs w:val="32"/>
          <w:highlight w:val="none"/>
          <w:lang w:val="en-US" w:eastAsia="zh-CN"/>
        </w:rPr>
        <w:t>53</w:t>
      </w:r>
      <w:r>
        <w:rPr>
          <w:rFonts w:hint="eastAsia" w:ascii="仿宋_GB2312" w:eastAsia="仿宋_GB2312"/>
          <w:sz w:val="32"/>
          <w:szCs w:val="32"/>
          <w:highlight w:val="none"/>
        </w:rPr>
        <w:t>人，其中：在职人员</w:t>
      </w:r>
      <w:r>
        <w:rPr>
          <w:rFonts w:hint="eastAsia" w:ascii="仿宋_GB2312" w:eastAsia="仿宋_GB2312"/>
          <w:sz w:val="32"/>
          <w:szCs w:val="32"/>
          <w:highlight w:val="none"/>
          <w:lang w:val="en-US" w:eastAsia="zh-CN"/>
        </w:rPr>
        <w:t>42</w:t>
      </w:r>
      <w:r>
        <w:rPr>
          <w:rFonts w:hint="eastAsia" w:ascii="仿宋_GB2312" w:eastAsia="仿宋_GB2312"/>
          <w:sz w:val="32"/>
          <w:szCs w:val="32"/>
          <w:highlight w:val="none"/>
        </w:rPr>
        <w:t>人</w:t>
      </w:r>
      <w:r>
        <w:rPr>
          <w:rFonts w:hint="eastAsia" w:ascii="仿宋_GB2312" w:hAnsi="宋体" w:eastAsia="仿宋_GB2312" w:cs="宋体"/>
          <w:color w:val="auto"/>
          <w:kern w:val="0"/>
          <w:sz w:val="32"/>
          <w:szCs w:val="32"/>
          <w:highlight w:val="none"/>
        </w:rPr>
        <w:t>，</w:t>
      </w:r>
      <w:r>
        <w:rPr>
          <w:rFonts w:hint="eastAsia" w:ascii="仿宋_GB2312" w:hAnsi="宋体" w:eastAsia="仿宋_GB2312" w:cs="宋体"/>
          <w:color w:val="auto"/>
          <w:kern w:val="0"/>
          <w:sz w:val="32"/>
          <w:szCs w:val="32"/>
          <w:highlight w:val="none"/>
          <w:lang w:val="en-US" w:eastAsia="zh-CN"/>
        </w:rPr>
        <w:t>减少2人</w:t>
      </w:r>
      <w:r>
        <w:rPr>
          <w:rFonts w:hint="eastAsia" w:ascii="仿宋_GB2312" w:hAnsi="宋体" w:eastAsia="仿宋_GB2312" w:cs="宋体"/>
          <w:color w:val="auto"/>
          <w:kern w:val="0"/>
          <w:sz w:val="32"/>
          <w:szCs w:val="32"/>
          <w:highlight w:val="none"/>
        </w:rPr>
        <w:t>；</w:t>
      </w:r>
      <w:r>
        <w:rPr>
          <w:rFonts w:hint="eastAsia" w:ascii="仿宋_GB2312" w:eastAsia="仿宋_GB2312"/>
          <w:sz w:val="32"/>
          <w:szCs w:val="32"/>
          <w:highlight w:val="none"/>
        </w:rPr>
        <w:t>离休人员</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人</w:t>
      </w:r>
      <w:r>
        <w:rPr>
          <w:rFonts w:hint="eastAsia" w:ascii="仿宋_GB2312" w:eastAsia="仿宋_GB2312"/>
          <w:sz w:val="32"/>
          <w:szCs w:val="32"/>
          <w:highlight w:val="none"/>
          <w:lang w:val="en-US" w:eastAsia="zh-CN"/>
        </w:rPr>
        <w:t>,较上年无变化</w:t>
      </w:r>
      <w:r>
        <w:rPr>
          <w:rFonts w:hint="eastAsia" w:ascii="仿宋_GB2312" w:hAnsi="宋体" w:eastAsia="仿宋_GB2312" w:cs="宋体"/>
          <w:color w:val="auto"/>
          <w:kern w:val="0"/>
          <w:sz w:val="32"/>
          <w:szCs w:val="32"/>
          <w:highlight w:val="none"/>
        </w:rPr>
        <w:t>；</w:t>
      </w:r>
      <w:r>
        <w:rPr>
          <w:rFonts w:hint="eastAsia" w:ascii="仿宋_GB2312" w:eastAsia="仿宋_GB2312"/>
          <w:sz w:val="32"/>
          <w:szCs w:val="32"/>
          <w:highlight w:val="none"/>
        </w:rPr>
        <w:t>退休人员</w:t>
      </w:r>
      <w:r>
        <w:rPr>
          <w:rFonts w:hint="eastAsia" w:ascii="仿宋_GB2312" w:eastAsia="仿宋_GB2312"/>
          <w:sz w:val="32"/>
          <w:szCs w:val="32"/>
          <w:highlight w:val="none"/>
          <w:lang w:val="en-US" w:eastAsia="zh-CN"/>
        </w:rPr>
        <w:t>11</w:t>
      </w:r>
      <w:r>
        <w:rPr>
          <w:rFonts w:hint="eastAsia" w:ascii="仿宋_GB2312" w:eastAsia="仿宋_GB2312"/>
          <w:sz w:val="32"/>
          <w:szCs w:val="32"/>
          <w:highlight w:val="none"/>
        </w:rPr>
        <w:t>人</w:t>
      </w:r>
      <w:r>
        <w:rPr>
          <w:rFonts w:hint="eastAsia" w:ascii="仿宋_GB2312" w:eastAsia="仿宋_GB2312"/>
          <w:sz w:val="32"/>
          <w:szCs w:val="32"/>
          <w:highlight w:val="none"/>
          <w:lang w:eastAsia="zh-CN"/>
        </w:rPr>
        <w:t>，</w:t>
      </w:r>
      <w:r>
        <w:rPr>
          <w:rFonts w:hint="eastAsia" w:ascii="仿宋_GB2312" w:hAnsi="宋体" w:eastAsia="仿宋_GB2312" w:cs="宋体"/>
          <w:color w:val="auto"/>
          <w:kern w:val="0"/>
          <w:sz w:val="32"/>
          <w:szCs w:val="32"/>
          <w:highlight w:val="none"/>
        </w:rPr>
        <w:t>增加</w:t>
      </w:r>
      <w:r>
        <w:rPr>
          <w:rFonts w:hint="eastAsia" w:ascii="仿宋_GB2312" w:hAnsi="宋体" w:eastAsia="仿宋_GB2312" w:cs="宋体"/>
          <w:color w:val="auto"/>
          <w:kern w:val="0"/>
          <w:sz w:val="32"/>
          <w:szCs w:val="32"/>
          <w:highlight w:val="none"/>
          <w:lang w:val="en-US" w:eastAsia="zh-CN"/>
        </w:rPr>
        <w:t>4</w:t>
      </w:r>
      <w:r>
        <w:rPr>
          <w:rFonts w:hint="eastAsia" w:ascii="仿宋_GB2312" w:hAnsi="宋体" w:eastAsia="仿宋_GB2312" w:cs="宋体"/>
          <w:color w:val="auto"/>
          <w:kern w:val="0"/>
          <w:sz w:val="32"/>
          <w:szCs w:val="32"/>
          <w:highlight w:val="none"/>
        </w:rPr>
        <w:t>人</w:t>
      </w:r>
      <w:r>
        <w:rPr>
          <w:rFonts w:hint="eastAsia" w:ascii="仿宋_GB2312" w:eastAsia="仿宋_GB2312"/>
          <w:sz w:val="32"/>
          <w:szCs w:val="32"/>
          <w:highlight w:val="none"/>
        </w:rPr>
        <w:t>。</w:t>
      </w:r>
    </w:p>
    <w:p>
      <w:pPr>
        <w:keepNext w:val="0"/>
        <w:keepLines w:val="0"/>
        <w:pageBreakBefore w:val="0"/>
        <w:widowControl w:val="0"/>
        <w:kinsoku/>
        <w:wordWrap/>
        <w:overflowPunct/>
        <w:topLinePunct w:val="0"/>
        <w:bidi w:val="0"/>
        <w:adjustRightInd/>
        <w:snapToGrid/>
        <w:spacing w:line="240" w:lineRule="auto"/>
        <w:ind w:firstLine="640" w:firstLineChars="200"/>
        <w:jc w:val="both"/>
        <w:textAlignment w:val="auto"/>
        <w:rPr>
          <w:rFonts w:hint="eastAsia" w:ascii="仿宋_GB2312" w:eastAsia="仿宋_GB2312"/>
          <w:sz w:val="32"/>
          <w:szCs w:val="32"/>
          <w:highlight w:val="none"/>
          <w:lang w:val="en-US" w:eastAsia="zh-CN"/>
        </w:rPr>
      </w:pPr>
    </w:p>
    <w:p>
      <w:pPr>
        <w:keepNext w:val="0"/>
        <w:keepLines w:val="0"/>
        <w:pageBreakBefore w:val="0"/>
        <w:widowControl w:val="0"/>
        <w:kinsoku/>
        <w:wordWrap/>
        <w:overflowPunct/>
        <w:topLinePunct w:val="0"/>
        <w:bidi w:val="0"/>
        <w:adjustRightInd/>
        <w:snapToGrid/>
        <w:spacing w:line="240" w:lineRule="auto"/>
        <w:ind w:firstLine="640" w:firstLineChars="200"/>
        <w:jc w:val="both"/>
        <w:textAlignment w:val="auto"/>
        <w:rPr>
          <w:rFonts w:hint="eastAsia" w:ascii="仿宋_GB2312" w:eastAsia="仿宋_GB2312"/>
          <w:sz w:val="32"/>
          <w:szCs w:val="32"/>
          <w:highlight w:val="none"/>
        </w:rPr>
      </w:pPr>
      <w:r>
        <w:rPr>
          <w:rFonts w:hint="eastAsia" w:ascii="仿宋_GB2312" w:eastAsia="仿宋_GB2312"/>
          <w:sz w:val="32"/>
          <w:szCs w:val="32"/>
          <w:highlight w:val="none"/>
          <w:lang w:val="en-US" w:eastAsia="zh-CN"/>
        </w:rPr>
        <w:t>库尔勒市应急管理局无下属单位，</w:t>
      </w:r>
      <w:r>
        <w:rPr>
          <w:rFonts w:hint="eastAsia" w:ascii="仿宋_GB2312" w:hAnsi="黑体" w:eastAsia="仿宋_GB2312" w:cs="宋体"/>
          <w:bCs/>
          <w:kern w:val="0"/>
          <w:sz w:val="32"/>
          <w:szCs w:val="32"/>
          <w:highlight w:val="none"/>
        </w:rPr>
        <w:t>下设</w:t>
      </w:r>
      <w:r>
        <w:rPr>
          <w:rFonts w:hint="eastAsia" w:ascii="仿宋_GB2312" w:eastAsia="仿宋_GB2312"/>
          <w:sz w:val="32"/>
          <w:szCs w:val="32"/>
          <w:highlight w:val="none"/>
          <w:lang w:val="en-US" w:eastAsia="zh-CN"/>
        </w:rPr>
        <w:t>3</w:t>
      </w:r>
      <w:r>
        <w:rPr>
          <w:rFonts w:hint="eastAsia" w:ascii="仿宋_GB2312" w:hAnsi="黑体" w:eastAsia="仿宋_GB2312" w:cs="宋体"/>
          <w:bCs/>
          <w:kern w:val="0"/>
          <w:sz w:val="32"/>
          <w:szCs w:val="32"/>
          <w:highlight w:val="none"/>
        </w:rPr>
        <w:t>个</w:t>
      </w:r>
      <w:r>
        <w:rPr>
          <w:rFonts w:hint="eastAsia" w:ascii="仿宋_GB2312" w:hAnsi="黑体" w:eastAsia="仿宋_GB2312" w:cs="宋体"/>
          <w:bCs/>
          <w:color w:val="auto"/>
          <w:kern w:val="0"/>
          <w:sz w:val="32"/>
          <w:szCs w:val="32"/>
          <w:highlight w:val="none"/>
        </w:rPr>
        <w:t>处室</w:t>
      </w:r>
      <w:r>
        <w:rPr>
          <w:rFonts w:hint="eastAsia" w:ascii="仿宋_GB2312" w:hAnsi="黑体" w:eastAsia="仿宋_GB2312" w:cs="宋体"/>
          <w:bCs/>
          <w:kern w:val="0"/>
          <w:sz w:val="32"/>
          <w:szCs w:val="32"/>
          <w:highlight w:val="none"/>
        </w:rPr>
        <w:t>，分别是：</w:t>
      </w:r>
      <w:r>
        <w:rPr>
          <w:rFonts w:hint="eastAsia" w:ascii="仿宋_GB2312" w:hAnsi="宋体" w:eastAsia="仿宋_GB2312" w:cs="宋体"/>
          <w:kern w:val="0"/>
          <w:sz w:val="32"/>
          <w:szCs w:val="32"/>
          <w:highlight w:val="none"/>
        </w:rPr>
        <w:t>办公室（党建办）、应急指挥中心、安全生产综合协调股。</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0"/>
        <w:rPr>
          <w:rFonts w:hint="eastAsia" w:ascii="黑体" w:hAnsi="黑体" w:eastAsia="黑体"/>
          <w:sz w:val="32"/>
          <w:szCs w:val="32"/>
          <w:highlight w:val="none"/>
        </w:rPr>
      </w:pPr>
      <w:bookmarkStart w:id="6" w:name="_Toc7559"/>
      <w:bookmarkStart w:id="7" w:name="_Toc3092"/>
      <w:r>
        <w:rPr>
          <w:rFonts w:hint="eastAsia" w:ascii="黑体" w:hAnsi="黑体" w:eastAsia="黑体"/>
          <w:sz w:val="32"/>
          <w:szCs w:val="32"/>
          <w:highlight w:val="none"/>
        </w:rPr>
        <w:t>第</w:t>
      </w:r>
      <w:r>
        <w:rPr>
          <w:rFonts w:hint="eastAsia" w:ascii="黑体" w:hAnsi="黑体" w:eastAsia="黑体"/>
          <w:sz w:val="32"/>
          <w:szCs w:val="32"/>
          <w:highlight w:val="none"/>
          <w:lang w:val="en-US" w:eastAsia="zh-CN"/>
        </w:rPr>
        <w:t>二</w:t>
      </w:r>
      <w:r>
        <w:rPr>
          <w:rFonts w:hint="eastAsia" w:ascii="黑体" w:hAnsi="黑体" w:eastAsia="黑体"/>
          <w:sz w:val="32"/>
          <w:szCs w:val="32"/>
          <w:highlight w:val="none"/>
        </w:rPr>
        <w:t>部分 部门决算情况说明</w:t>
      </w:r>
      <w:bookmarkEnd w:id="6"/>
      <w:bookmarkEnd w:id="7"/>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rPr>
      </w:pPr>
      <w:bookmarkStart w:id="8" w:name="_Toc6321"/>
      <w:bookmarkStart w:id="9" w:name="_Toc12566"/>
      <w:r>
        <w:rPr>
          <w:rFonts w:hint="eastAsia" w:ascii="黑体" w:hAnsi="黑体" w:eastAsia="黑体" w:cs="宋体"/>
          <w:bCs/>
          <w:kern w:val="0"/>
          <w:sz w:val="32"/>
          <w:szCs w:val="32"/>
          <w:highlight w:val="none"/>
        </w:rPr>
        <w:t>一、收入支出决算总体情况说明</w:t>
      </w:r>
      <w:bookmarkEnd w:id="8"/>
      <w:bookmarkEnd w:id="9"/>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lang w:eastAsia="zh-CN"/>
        </w:rPr>
      </w:pPr>
      <w:r>
        <w:rPr>
          <w:rFonts w:hint="eastAsia" w:ascii="仿宋_GB2312" w:eastAsia="仿宋_GB2312"/>
          <w:b/>
          <w:bCs/>
          <w:spacing w:val="0"/>
          <w:sz w:val="32"/>
          <w:szCs w:val="32"/>
          <w:highlight w:val="none"/>
          <w:lang w:eastAsia="zh-CN"/>
        </w:rPr>
        <w:t>2024年度</w:t>
      </w:r>
      <w:r>
        <w:rPr>
          <w:rFonts w:hint="eastAsia" w:ascii="仿宋_GB2312" w:eastAsia="仿宋_GB2312"/>
          <w:b/>
          <w:bCs/>
          <w:spacing w:val="0"/>
          <w:sz w:val="32"/>
          <w:szCs w:val="32"/>
          <w:highlight w:val="none"/>
          <w:lang w:val="en-US" w:eastAsia="zh-CN"/>
        </w:rPr>
        <w:t>收入总计</w:t>
      </w:r>
      <w:r>
        <w:rPr>
          <w:rFonts w:hint="eastAsia" w:ascii="仿宋_GB2312" w:eastAsia="仿宋_GB2312"/>
          <w:b/>
          <w:bCs/>
          <w:sz w:val="32"/>
          <w:szCs w:val="32"/>
          <w:highlight w:val="none"/>
        </w:rPr>
        <w:t>1,619.26万元</w:t>
      </w:r>
      <w:r>
        <w:rPr>
          <w:rFonts w:hint="eastAsia" w:ascii="仿宋_GB2312" w:eastAsia="仿宋_GB2312"/>
          <w:b/>
          <w:bCs/>
          <w:sz w:val="32"/>
          <w:szCs w:val="32"/>
          <w:highlight w:val="none"/>
          <w:lang w:eastAsia="zh-CN"/>
        </w:rPr>
        <w:t>，</w:t>
      </w:r>
      <w:r>
        <w:rPr>
          <w:rFonts w:hint="eastAsia" w:ascii="仿宋_GB2312" w:eastAsia="仿宋_GB2312"/>
          <w:sz w:val="32"/>
          <w:szCs w:val="32"/>
          <w:highlight w:val="none"/>
          <w:lang w:val="en-US" w:eastAsia="zh-CN"/>
        </w:rPr>
        <w:t>其中：本年收入合计</w:t>
      </w:r>
      <w:r>
        <w:rPr>
          <w:rFonts w:hint="eastAsia" w:ascii="仿宋_GB2312" w:eastAsia="仿宋_GB2312"/>
          <w:sz w:val="32"/>
          <w:szCs w:val="32"/>
          <w:highlight w:val="none"/>
        </w:rPr>
        <w:t>1,619.26万元</w:t>
      </w:r>
      <w:r>
        <w:rPr>
          <w:rFonts w:hint="eastAsia" w:ascii="仿宋_GB2312" w:eastAsia="仿宋_GB2312"/>
          <w:sz w:val="32"/>
          <w:szCs w:val="32"/>
          <w:highlight w:val="none"/>
          <w:lang w:eastAsia="zh-CN"/>
        </w:rPr>
        <w:t>，使用非财政拨款结余（含专用结余）</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，年初结转和结余</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lang w:eastAsia="zh-CN"/>
        </w:rPr>
      </w:pPr>
      <w:r>
        <w:rPr>
          <w:rFonts w:hint="eastAsia" w:ascii="仿宋_GB2312" w:eastAsia="仿宋_GB2312"/>
          <w:b/>
          <w:bCs/>
          <w:spacing w:val="0"/>
          <w:sz w:val="32"/>
          <w:szCs w:val="32"/>
          <w:highlight w:val="none"/>
          <w:lang w:eastAsia="zh-CN"/>
        </w:rPr>
        <w:t>2024年度</w:t>
      </w:r>
      <w:r>
        <w:rPr>
          <w:rFonts w:hint="eastAsia" w:ascii="仿宋_GB2312" w:eastAsia="仿宋_GB2312"/>
          <w:b/>
          <w:bCs/>
          <w:sz w:val="32"/>
          <w:szCs w:val="32"/>
          <w:highlight w:val="none"/>
        </w:rPr>
        <w:t>支出</w:t>
      </w:r>
      <w:r>
        <w:rPr>
          <w:rFonts w:hint="eastAsia" w:ascii="仿宋_GB2312" w:eastAsia="仿宋_GB2312"/>
          <w:b/>
          <w:bCs/>
          <w:sz w:val="32"/>
          <w:szCs w:val="32"/>
          <w:highlight w:val="none"/>
          <w:lang w:val="en-US" w:eastAsia="zh-CN"/>
        </w:rPr>
        <w:t>总计</w:t>
      </w:r>
      <w:r>
        <w:rPr>
          <w:rFonts w:hint="eastAsia" w:ascii="仿宋_GB2312" w:eastAsia="仿宋_GB2312"/>
          <w:b/>
          <w:bCs/>
          <w:sz w:val="32"/>
          <w:szCs w:val="32"/>
          <w:highlight w:val="none"/>
        </w:rPr>
        <w:t>1,619.26万元</w:t>
      </w:r>
      <w:r>
        <w:rPr>
          <w:rFonts w:hint="eastAsia" w:ascii="仿宋_GB2312" w:eastAsia="仿宋_GB2312"/>
          <w:b/>
          <w:bCs/>
          <w:sz w:val="32"/>
          <w:szCs w:val="32"/>
          <w:highlight w:val="none"/>
          <w:lang w:eastAsia="zh-CN"/>
        </w:rPr>
        <w:t>，</w:t>
      </w:r>
      <w:r>
        <w:rPr>
          <w:rFonts w:hint="eastAsia" w:ascii="仿宋_GB2312" w:eastAsia="仿宋_GB2312"/>
          <w:sz w:val="32"/>
          <w:szCs w:val="32"/>
          <w:highlight w:val="none"/>
          <w:lang w:val="en-US" w:eastAsia="zh-CN"/>
        </w:rPr>
        <w:t>其中：本年支出合计</w:t>
      </w:r>
      <w:r>
        <w:rPr>
          <w:rFonts w:hint="eastAsia" w:ascii="仿宋_GB2312" w:eastAsia="仿宋_GB2312"/>
          <w:sz w:val="32"/>
          <w:szCs w:val="32"/>
          <w:highlight w:val="none"/>
        </w:rPr>
        <w:t>1,619.26万元</w:t>
      </w:r>
      <w:r>
        <w:rPr>
          <w:rFonts w:hint="eastAsia" w:ascii="仿宋_GB2312" w:eastAsia="仿宋_GB2312"/>
          <w:sz w:val="32"/>
          <w:szCs w:val="32"/>
          <w:highlight w:val="none"/>
          <w:lang w:eastAsia="zh-CN"/>
        </w:rPr>
        <w:t>，</w:t>
      </w:r>
      <w:r>
        <w:rPr>
          <w:rFonts w:hint="eastAsia" w:ascii="仿宋_GB2312" w:eastAsia="仿宋_GB2312"/>
          <w:sz w:val="32"/>
          <w:szCs w:val="32"/>
          <w:highlight w:val="none"/>
          <w:lang w:val="en-US" w:eastAsia="zh-CN"/>
        </w:rPr>
        <w:t>结余分配0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，年末结转和结余</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hAnsi="仿宋_GB2312" w:eastAsia="仿宋_GB2312" w:cs="仿宋_GB2312"/>
          <w:b/>
          <w:bCs w:val="0"/>
          <w:kern w:val="0"/>
          <w:sz w:val="32"/>
          <w:szCs w:val="32"/>
          <w:highlight w:val="none"/>
        </w:rPr>
        <w:t>收入支出总体</w:t>
      </w:r>
      <w:r>
        <w:rPr>
          <w:rFonts w:hint="eastAsia" w:ascii="仿宋_GB2312" w:eastAsia="仿宋_GB2312"/>
          <w:b/>
          <w:bCs w:val="0"/>
          <w:sz w:val="32"/>
          <w:szCs w:val="32"/>
          <w:highlight w:val="none"/>
        </w:rPr>
        <w:t>与上年相比</w:t>
      </w:r>
      <w:r>
        <w:rPr>
          <w:rFonts w:hint="eastAsia" w:ascii="仿宋_GB2312" w:eastAsia="仿宋_GB2312"/>
          <w:b/>
          <w:bCs w:val="0"/>
          <w:sz w:val="32"/>
          <w:szCs w:val="32"/>
          <w:highlight w:val="none"/>
          <w:lang w:eastAsia="zh-CN"/>
        </w:rPr>
        <w:t>，</w:t>
      </w:r>
      <w:r>
        <w:rPr>
          <w:rFonts w:hint="eastAsia" w:ascii="仿宋_GB2312" w:eastAsia="仿宋_GB2312"/>
          <w:sz w:val="32"/>
          <w:szCs w:val="32"/>
          <w:highlight w:val="none"/>
        </w:rPr>
        <w:t>减少79.72万元</w:t>
      </w:r>
      <w:r>
        <w:rPr>
          <w:rFonts w:hint="eastAsia" w:ascii="仿宋_GB2312" w:eastAsia="仿宋_GB2312"/>
          <w:sz w:val="32"/>
          <w:szCs w:val="32"/>
          <w:highlight w:val="none"/>
          <w:lang w:eastAsia="zh-CN"/>
        </w:rPr>
        <w:t>，下降</w:t>
      </w:r>
      <w:r>
        <w:rPr>
          <w:rFonts w:hint="eastAsia" w:ascii="仿宋_GB2312" w:eastAsia="仿宋_GB2312"/>
          <w:sz w:val="32"/>
          <w:szCs w:val="32"/>
          <w:highlight w:val="none"/>
        </w:rPr>
        <w:t>4.69%</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：2024年度中央自然灾害救灾资金减少，导致比去年下降</w:t>
      </w:r>
      <w:r>
        <w:rPr>
          <w:rFonts w:hint="eastAsia" w:ascii="仿宋_GB2312" w:eastAsia="仿宋_GB231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rPr>
      </w:pPr>
      <w:bookmarkStart w:id="10" w:name="_Toc6311"/>
      <w:bookmarkStart w:id="11" w:name="_Toc1979"/>
      <w:r>
        <w:rPr>
          <w:rFonts w:hint="eastAsia" w:ascii="黑体" w:hAnsi="黑体" w:eastAsia="黑体" w:cs="宋体"/>
          <w:bCs/>
          <w:kern w:val="0"/>
          <w:sz w:val="32"/>
          <w:szCs w:val="32"/>
          <w:highlight w:val="none"/>
          <w:lang w:eastAsia="zh-CN"/>
        </w:rPr>
        <w:t>二、</w:t>
      </w:r>
      <w:r>
        <w:rPr>
          <w:rFonts w:hint="eastAsia" w:ascii="黑体" w:hAnsi="黑体" w:eastAsia="黑体" w:cs="宋体"/>
          <w:bCs/>
          <w:kern w:val="0"/>
          <w:sz w:val="32"/>
          <w:szCs w:val="32"/>
          <w:highlight w:val="none"/>
        </w:rPr>
        <w:t>收入</w:t>
      </w:r>
      <w:r>
        <w:rPr>
          <w:rFonts w:hint="eastAsia" w:ascii="黑体" w:hAnsi="黑体" w:eastAsia="黑体" w:cs="宋体"/>
          <w:bCs/>
          <w:kern w:val="0"/>
          <w:sz w:val="32"/>
          <w:szCs w:val="32"/>
          <w:highlight w:val="none"/>
          <w:lang w:eastAsia="zh-CN"/>
        </w:rPr>
        <w:t>决算</w:t>
      </w:r>
      <w:r>
        <w:rPr>
          <w:rFonts w:hint="eastAsia" w:ascii="黑体" w:hAnsi="黑体" w:eastAsia="黑体" w:cs="宋体"/>
          <w:bCs/>
          <w:kern w:val="0"/>
          <w:sz w:val="32"/>
          <w:szCs w:val="32"/>
          <w:highlight w:val="none"/>
        </w:rPr>
        <w:t>情况说明</w:t>
      </w:r>
      <w:bookmarkEnd w:id="10"/>
      <w:bookmarkEnd w:id="11"/>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rPr>
        <w:t>本年收入1,619.26万元，</w:t>
      </w:r>
      <w:r>
        <w:rPr>
          <w:rFonts w:hint="eastAsia" w:ascii="仿宋_GB2312" w:eastAsia="仿宋_GB2312"/>
          <w:sz w:val="32"/>
          <w:szCs w:val="32"/>
          <w:highlight w:val="none"/>
        </w:rPr>
        <w:t>其中：财政拨款收入1,619.26万元，占</w:t>
      </w:r>
      <w:r>
        <w:rPr>
          <w:rFonts w:hint="eastAsia" w:ascii="仿宋_GB2312" w:eastAsia="仿宋_GB2312"/>
          <w:sz w:val="32"/>
          <w:szCs w:val="32"/>
          <w:highlight w:val="none"/>
          <w:lang w:val="en-US" w:eastAsia="zh-CN"/>
        </w:rPr>
        <w:t>100</w:t>
      </w:r>
      <w:r>
        <w:rPr>
          <w:rFonts w:hint="eastAsia" w:ascii="仿宋_GB2312" w:eastAsia="仿宋_GB2312"/>
          <w:sz w:val="32"/>
          <w:szCs w:val="32"/>
          <w:highlight w:val="none"/>
        </w:rPr>
        <w:t>%；上级补助收入</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%；事业收入</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%；经营收入</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附属单位上缴收入</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%；其他收入</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12" w:name="_Toc20629"/>
      <w:bookmarkStart w:id="13" w:name="_Toc27961"/>
      <w:r>
        <w:rPr>
          <w:rFonts w:hint="eastAsia" w:ascii="黑体" w:hAnsi="黑体" w:eastAsia="黑体" w:cs="宋体"/>
          <w:bCs/>
          <w:kern w:val="0"/>
          <w:sz w:val="32"/>
          <w:szCs w:val="32"/>
          <w:highlight w:val="none"/>
          <w:lang w:eastAsia="zh-CN"/>
        </w:rPr>
        <w:t>三、支出决算情况说明</w:t>
      </w:r>
      <w:bookmarkEnd w:id="12"/>
      <w:bookmarkEnd w:id="13"/>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lang w:eastAsia="zh-CN"/>
        </w:rPr>
      </w:pPr>
      <w:r>
        <w:rPr>
          <w:rFonts w:hint="eastAsia" w:ascii="仿宋_GB2312" w:eastAsia="仿宋_GB2312"/>
          <w:b/>
          <w:bCs/>
          <w:sz w:val="32"/>
          <w:szCs w:val="32"/>
          <w:highlight w:val="none"/>
        </w:rPr>
        <w:t>本年支出1,619.26万元，</w:t>
      </w:r>
      <w:r>
        <w:rPr>
          <w:rFonts w:hint="eastAsia" w:ascii="仿宋_GB2312" w:eastAsia="仿宋_GB2312"/>
          <w:sz w:val="32"/>
          <w:szCs w:val="32"/>
          <w:highlight w:val="none"/>
        </w:rPr>
        <w:t>其中：基本支出1,406.33万元，占86.85%；项目支出212.93万元，占13.15%；上缴上级支出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%；经营支出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%；对附属单位补助支出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14" w:name="_Toc4393"/>
      <w:bookmarkStart w:id="15" w:name="_Toc7371"/>
      <w:r>
        <w:rPr>
          <w:rFonts w:hint="eastAsia" w:ascii="黑体" w:hAnsi="黑体" w:eastAsia="黑体" w:cs="宋体"/>
          <w:bCs/>
          <w:kern w:val="0"/>
          <w:sz w:val="32"/>
          <w:szCs w:val="32"/>
          <w:highlight w:val="none"/>
          <w:lang w:eastAsia="zh-CN"/>
        </w:rPr>
        <w:t>四、财政拨款收入支出决算总体情况说明</w:t>
      </w:r>
      <w:bookmarkEnd w:id="14"/>
      <w:bookmarkEnd w:id="15"/>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lang w:eastAsia="zh-CN"/>
        </w:rPr>
      </w:pPr>
      <w:r>
        <w:rPr>
          <w:rFonts w:hint="eastAsia" w:ascii="仿宋_GB2312" w:eastAsia="仿宋_GB2312"/>
          <w:b/>
          <w:bCs/>
          <w:spacing w:val="0"/>
          <w:sz w:val="32"/>
          <w:szCs w:val="32"/>
          <w:highlight w:val="none"/>
          <w:lang w:eastAsia="zh-CN"/>
        </w:rPr>
        <w:t>2024年度</w:t>
      </w:r>
      <w:r>
        <w:rPr>
          <w:rFonts w:hint="eastAsia" w:ascii="仿宋_GB2312" w:eastAsia="仿宋_GB2312"/>
          <w:b/>
          <w:bCs/>
          <w:sz w:val="32"/>
          <w:szCs w:val="32"/>
          <w:highlight w:val="none"/>
        </w:rPr>
        <w:t>财政拨款收入</w:t>
      </w:r>
      <w:r>
        <w:rPr>
          <w:rFonts w:hint="eastAsia" w:ascii="仿宋_GB2312" w:eastAsia="仿宋_GB2312"/>
          <w:b/>
          <w:bCs/>
          <w:sz w:val="32"/>
          <w:szCs w:val="32"/>
          <w:highlight w:val="none"/>
          <w:lang w:val="en-US" w:eastAsia="zh-CN"/>
        </w:rPr>
        <w:t>总计</w:t>
      </w:r>
      <w:r>
        <w:rPr>
          <w:rFonts w:hint="eastAsia" w:ascii="仿宋_GB2312" w:eastAsia="仿宋_GB2312"/>
          <w:b/>
          <w:bCs/>
          <w:sz w:val="32"/>
          <w:szCs w:val="32"/>
          <w:highlight w:val="none"/>
        </w:rPr>
        <w:t>1,619.26万元，</w:t>
      </w:r>
      <w:r>
        <w:rPr>
          <w:rFonts w:hint="eastAsia" w:ascii="仿宋_GB2312" w:eastAsia="仿宋_GB2312"/>
          <w:sz w:val="32"/>
          <w:szCs w:val="32"/>
          <w:highlight w:val="none"/>
          <w:lang w:val="en-US" w:eastAsia="zh-CN"/>
        </w:rPr>
        <w:t>其中：年初财政拨款结转和结余0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r>
        <w:rPr>
          <w:rFonts w:hint="eastAsia" w:ascii="仿宋_GB2312" w:eastAsia="仿宋_GB2312"/>
          <w:sz w:val="32"/>
          <w:szCs w:val="32"/>
          <w:highlight w:val="none"/>
          <w:lang w:val="en-US" w:eastAsia="zh-CN"/>
        </w:rPr>
        <w:t>本年财政拨款收入</w:t>
      </w:r>
      <w:r>
        <w:rPr>
          <w:rFonts w:hint="eastAsia" w:ascii="仿宋_GB2312" w:eastAsia="仿宋_GB2312"/>
          <w:sz w:val="32"/>
          <w:szCs w:val="32"/>
          <w:highlight w:val="none"/>
        </w:rPr>
        <w:t>1,619.26万元</w:t>
      </w:r>
      <w:r>
        <w:rPr>
          <w:rFonts w:hint="eastAsia" w:ascii="仿宋_GB2312" w:eastAsia="仿宋_GB2312"/>
          <w:sz w:val="32"/>
          <w:szCs w:val="32"/>
          <w:highlight w:val="none"/>
          <w:lang w:eastAsia="zh-CN"/>
        </w:rPr>
        <w:t>。</w:t>
      </w:r>
      <w:r>
        <w:rPr>
          <w:rFonts w:hint="eastAsia" w:ascii="仿宋_GB2312" w:eastAsia="仿宋_GB2312"/>
          <w:b/>
          <w:bCs/>
          <w:sz w:val="32"/>
          <w:szCs w:val="32"/>
          <w:highlight w:val="none"/>
        </w:rPr>
        <w:t>财政拨款支出</w:t>
      </w:r>
      <w:r>
        <w:rPr>
          <w:rFonts w:hint="eastAsia" w:ascii="仿宋_GB2312" w:eastAsia="仿宋_GB2312"/>
          <w:b/>
          <w:bCs/>
          <w:sz w:val="32"/>
          <w:szCs w:val="32"/>
          <w:highlight w:val="none"/>
          <w:lang w:val="en-US" w:eastAsia="zh-CN"/>
        </w:rPr>
        <w:t>总计</w:t>
      </w:r>
      <w:r>
        <w:rPr>
          <w:rFonts w:hint="eastAsia" w:ascii="仿宋_GB2312" w:eastAsia="仿宋_GB2312"/>
          <w:b/>
          <w:bCs/>
          <w:sz w:val="32"/>
          <w:szCs w:val="32"/>
          <w:highlight w:val="none"/>
        </w:rPr>
        <w:t>1,619.26万元，</w:t>
      </w:r>
      <w:r>
        <w:rPr>
          <w:rFonts w:hint="eastAsia" w:ascii="仿宋_GB2312" w:eastAsia="仿宋_GB2312"/>
          <w:sz w:val="32"/>
          <w:szCs w:val="32"/>
          <w:highlight w:val="none"/>
          <w:lang w:val="en-US" w:eastAsia="zh-CN"/>
        </w:rPr>
        <w:t>其中：年末财政拨款结转和结余0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r>
        <w:rPr>
          <w:rFonts w:hint="eastAsia" w:ascii="仿宋_GB2312" w:eastAsia="仿宋_GB2312"/>
          <w:sz w:val="32"/>
          <w:szCs w:val="32"/>
          <w:highlight w:val="none"/>
          <w:lang w:val="en-US" w:eastAsia="zh-CN"/>
        </w:rPr>
        <w:t>本年财政拨款支出</w:t>
      </w:r>
      <w:r>
        <w:rPr>
          <w:rFonts w:hint="eastAsia" w:ascii="仿宋_GB2312" w:eastAsia="仿宋_GB2312"/>
          <w:sz w:val="32"/>
          <w:szCs w:val="32"/>
          <w:highlight w:val="none"/>
        </w:rPr>
        <w:t>1,619.26万元</w:t>
      </w:r>
      <w:r>
        <w:rPr>
          <w:rFonts w:hint="eastAsia" w:ascii="仿宋_GB2312" w:eastAsia="仿宋_GB231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hAnsi="仿宋_GB2312" w:eastAsia="仿宋_GB2312" w:cs="仿宋_GB2312"/>
          <w:b/>
          <w:bCs w:val="0"/>
          <w:kern w:val="0"/>
          <w:sz w:val="32"/>
          <w:szCs w:val="32"/>
          <w:highlight w:val="none"/>
          <w:lang w:eastAsia="zh-CN"/>
        </w:rPr>
        <w:t>财政拨款收入支出总体</w:t>
      </w:r>
      <w:r>
        <w:rPr>
          <w:rFonts w:hint="eastAsia" w:ascii="仿宋_GB2312" w:eastAsia="仿宋_GB2312"/>
          <w:b/>
          <w:bCs w:val="0"/>
          <w:sz w:val="32"/>
          <w:szCs w:val="32"/>
          <w:highlight w:val="none"/>
        </w:rPr>
        <w:t>与上年相比，</w:t>
      </w:r>
      <w:r>
        <w:rPr>
          <w:rFonts w:hint="eastAsia" w:ascii="仿宋_GB2312" w:eastAsia="仿宋_GB2312"/>
          <w:sz w:val="32"/>
          <w:szCs w:val="32"/>
          <w:highlight w:val="none"/>
        </w:rPr>
        <w:t>减少79.72万元，</w:t>
      </w:r>
      <w:r>
        <w:rPr>
          <w:rFonts w:hint="eastAsia" w:ascii="仿宋_GB2312" w:eastAsia="仿宋_GB2312"/>
          <w:sz w:val="32"/>
          <w:szCs w:val="32"/>
          <w:highlight w:val="none"/>
          <w:lang w:eastAsia="zh-CN"/>
        </w:rPr>
        <w:t>下降</w:t>
      </w:r>
      <w:r>
        <w:rPr>
          <w:rFonts w:hint="eastAsia" w:ascii="仿宋_GB2312" w:eastAsia="仿宋_GB2312"/>
          <w:sz w:val="32"/>
          <w:szCs w:val="32"/>
          <w:highlight w:val="none"/>
        </w:rPr>
        <w:t>4.69%，</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：2024年度中央自然灾害救灾资金减少，导致比去年下降。</w:t>
      </w:r>
      <w:r>
        <w:rPr>
          <w:rFonts w:hint="eastAsia" w:ascii="仿宋_GB2312" w:eastAsia="仿宋_GB2312"/>
          <w:b/>
          <w:bCs/>
          <w:sz w:val="32"/>
          <w:szCs w:val="32"/>
          <w:highlight w:val="none"/>
        </w:rPr>
        <w:t>与</w:t>
      </w:r>
      <w:r>
        <w:rPr>
          <w:rFonts w:hint="eastAsia" w:ascii="仿宋_GB2312" w:eastAsia="仿宋_GB2312"/>
          <w:b/>
          <w:bCs/>
          <w:sz w:val="32"/>
          <w:szCs w:val="32"/>
          <w:highlight w:val="none"/>
          <w:lang w:eastAsia="zh-CN"/>
        </w:rPr>
        <w:t>年初预算</w:t>
      </w:r>
      <w:r>
        <w:rPr>
          <w:rFonts w:hint="eastAsia" w:ascii="仿宋_GB2312" w:eastAsia="仿宋_GB2312"/>
          <w:b/>
          <w:bCs/>
          <w:sz w:val="32"/>
          <w:szCs w:val="32"/>
          <w:highlight w:val="none"/>
        </w:rPr>
        <w:t>相比</w:t>
      </w:r>
      <w:r>
        <w:rPr>
          <w:rFonts w:hint="eastAsia" w:ascii="仿宋_GB2312" w:eastAsia="仿宋_GB2312"/>
          <w:b/>
          <w:bCs/>
          <w:sz w:val="32"/>
          <w:szCs w:val="32"/>
          <w:highlight w:val="none"/>
          <w:lang w:eastAsia="zh-CN"/>
        </w:rPr>
        <w:t>，</w:t>
      </w:r>
      <w:r>
        <w:rPr>
          <w:rFonts w:hint="eastAsia" w:ascii="仿宋_GB2312" w:eastAsia="仿宋_GB2312"/>
          <w:sz w:val="32"/>
          <w:szCs w:val="32"/>
          <w:highlight w:val="none"/>
          <w:lang w:eastAsia="zh-CN"/>
        </w:rPr>
        <w:t>年初预算数</w:t>
      </w:r>
      <w:r>
        <w:rPr>
          <w:rFonts w:hint="eastAsia" w:ascii="仿宋_GB2312" w:eastAsia="仿宋_GB2312"/>
          <w:sz w:val="32"/>
          <w:szCs w:val="32"/>
          <w:highlight w:val="none"/>
        </w:rPr>
        <w:t>1,623.25万元，决算数1,619.26万元，预决算差异率-0.25%</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2024年度减少了安全生产、应急管理投入力度。</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16" w:name="_Toc18905"/>
      <w:bookmarkStart w:id="17" w:name="_Toc13833"/>
      <w:r>
        <w:rPr>
          <w:rFonts w:hint="eastAsia" w:ascii="黑体" w:hAnsi="黑体" w:eastAsia="黑体" w:cs="宋体"/>
          <w:bCs/>
          <w:kern w:val="0"/>
          <w:sz w:val="32"/>
          <w:szCs w:val="32"/>
          <w:highlight w:val="none"/>
          <w:lang w:eastAsia="zh-CN"/>
        </w:rPr>
        <w:t>五、一般公共预算财政拨款支出决算情况说明</w:t>
      </w:r>
      <w:bookmarkEnd w:id="16"/>
      <w:bookmarkEnd w:id="17"/>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lang w:eastAsia="zh-CN"/>
        </w:rPr>
      </w:pPr>
      <w:bookmarkStart w:id="18" w:name="_Toc1165"/>
      <w:r>
        <w:rPr>
          <w:rFonts w:hint="eastAsia" w:ascii="黑体" w:hAnsi="黑体" w:eastAsia="黑体"/>
          <w:sz w:val="32"/>
          <w:szCs w:val="32"/>
          <w:highlight w:val="none"/>
          <w:lang w:eastAsia="zh-CN"/>
        </w:rPr>
        <w:t>（一）一般公共预算财政拨款支出决算总体情况</w:t>
      </w:r>
      <w:bookmarkEnd w:id="18"/>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jc w:val="both"/>
        <w:textAlignment w:val="auto"/>
        <w:rPr>
          <w:rFonts w:hint="eastAsia" w:ascii="仿宋_GB2312" w:eastAsia="仿宋_GB2312"/>
          <w:spacing w:val="0"/>
          <w:sz w:val="32"/>
          <w:szCs w:val="32"/>
          <w:highlight w:val="none"/>
        </w:rPr>
      </w:pPr>
      <w:r>
        <w:rPr>
          <w:rFonts w:hint="eastAsia" w:ascii="仿宋_GB2312" w:eastAsia="仿宋_GB2312"/>
          <w:b/>
          <w:bCs/>
          <w:spacing w:val="0"/>
          <w:sz w:val="32"/>
          <w:szCs w:val="32"/>
          <w:highlight w:val="none"/>
          <w:lang w:eastAsia="zh-CN"/>
        </w:rPr>
        <w:t>2024年度一般公共预算财政拨款支出</w:t>
      </w:r>
      <w:r>
        <w:rPr>
          <w:rFonts w:hint="eastAsia" w:ascii="仿宋_GB2312" w:eastAsia="仿宋_GB2312"/>
          <w:b/>
          <w:bCs/>
          <w:spacing w:val="0"/>
          <w:sz w:val="32"/>
          <w:szCs w:val="32"/>
          <w:highlight w:val="none"/>
        </w:rPr>
        <w:t>1,619.26</w:t>
      </w:r>
      <w:r>
        <w:rPr>
          <w:rFonts w:hint="eastAsia" w:ascii="仿宋_GB2312" w:eastAsia="仿宋_GB2312"/>
          <w:b/>
          <w:bCs/>
          <w:spacing w:val="0"/>
          <w:sz w:val="32"/>
          <w:szCs w:val="32"/>
          <w:highlight w:val="none"/>
          <w:lang w:eastAsia="zh-CN"/>
        </w:rPr>
        <w:t>万元，</w:t>
      </w:r>
      <w:r>
        <w:rPr>
          <w:rFonts w:hint="eastAsia" w:ascii="仿宋_GB2312" w:eastAsia="仿宋_GB2312"/>
          <w:spacing w:val="0"/>
          <w:sz w:val="32"/>
          <w:szCs w:val="32"/>
          <w:highlight w:val="none"/>
          <w:lang w:eastAsia="zh-CN"/>
        </w:rPr>
        <w:t>占本年支出合计的</w:t>
      </w:r>
      <w:r>
        <w:rPr>
          <w:rFonts w:hint="eastAsia" w:ascii="仿宋_GB2312" w:eastAsia="仿宋_GB2312"/>
          <w:spacing w:val="0"/>
          <w:sz w:val="32"/>
          <w:szCs w:val="32"/>
          <w:highlight w:val="none"/>
          <w:lang w:val="en-US" w:eastAsia="zh-CN"/>
        </w:rPr>
        <w:t>100</w:t>
      </w:r>
      <w:r>
        <w:rPr>
          <w:rFonts w:hint="eastAsia" w:ascii="仿宋_GB2312" w:eastAsia="仿宋_GB2312"/>
          <w:spacing w:val="0"/>
          <w:sz w:val="32"/>
          <w:szCs w:val="32"/>
          <w:highlight w:val="none"/>
          <w:lang w:eastAsia="zh-CN"/>
        </w:rPr>
        <w:t>%。</w:t>
      </w:r>
      <w:r>
        <w:rPr>
          <w:rFonts w:hint="eastAsia" w:ascii="仿宋_GB2312" w:eastAsia="仿宋_GB2312"/>
          <w:b/>
          <w:bCs/>
          <w:spacing w:val="0"/>
          <w:sz w:val="32"/>
          <w:szCs w:val="32"/>
          <w:highlight w:val="none"/>
        </w:rPr>
        <w:t>与上年相比，</w:t>
      </w:r>
      <w:r>
        <w:rPr>
          <w:rFonts w:hint="eastAsia" w:ascii="仿宋_GB2312" w:eastAsia="仿宋_GB2312"/>
          <w:spacing w:val="0"/>
          <w:sz w:val="32"/>
          <w:szCs w:val="32"/>
          <w:highlight w:val="none"/>
        </w:rPr>
        <w:t>减少79.72万元，</w:t>
      </w:r>
      <w:r>
        <w:rPr>
          <w:rFonts w:hint="eastAsia" w:ascii="仿宋_GB2312" w:eastAsia="仿宋_GB2312"/>
          <w:spacing w:val="0"/>
          <w:sz w:val="32"/>
          <w:szCs w:val="32"/>
          <w:highlight w:val="none"/>
          <w:lang w:eastAsia="zh-CN"/>
        </w:rPr>
        <w:t>下降</w:t>
      </w:r>
      <w:r>
        <w:rPr>
          <w:rFonts w:hint="eastAsia" w:ascii="仿宋_GB2312" w:eastAsia="仿宋_GB2312"/>
          <w:spacing w:val="0"/>
          <w:sz w:val="32"/>
          <w:szCs w:val="32"/>
          <w:highlight w:val="none"/>
        </w:rPr>
        <w:t>4.69%</w:t>
      </w:r>
      <w:r>
        <w:rPr>
          <w:rFonts w:hint="eastAsia" w:ascii="仿宋_GB2312" w:eastAsia="仿宋_GB2312"/>
          <w:spacing w:val="0"/>
          <w:sz w:val="32"/>
          <w:szCs w:val="32"/>
          <w:highlight w:val="none"/>
          <w:lang w:eastAsia="zh-CN"/>
        </w:rPr>
        <w:t>，</w:t>
      </w:r>
      <w:r>
        <w:rPr>
          <w:rFonts w:hint="eastAsia" w:ascii="仿宋_GB2312" w:eastAsia="仿宋_GB2312"/>
          <w:spacing w:val="0"/>
          <w:sz w:val="32"/>
          <w:szCs w:val="32"/>
          <w:highlight w:val="none"/>
        </w:rPr>
        <w:t>主要原因是：</w:t>
      </w:r>
      <w:r>
        <w:rPr>
          <w:rFonts w:hint="eastAsia" w:ascii="仿宋_GB2312" w:eastAsia="仿宋_GB2312"/>
          <w:sz w:val="32"/>
          <w:szCs w:val="32"/>
          <w:highlight w:val="none"/>
        </w:rPr>
        <w:t>2024年度中央自然灾害救灾资金减少，</w:t>
      </w:r>
      <w:r>
        <w:rPr>
          <w:rFonts w:hint="eastAsia" w:ascii="仿宋_GB2312" w:eastAsia="仿宋_GB2312"/>
          <w:color w:val="auto"/>
          <w:sz w:val="32"/>
          <w:szCs w:val="32"/>
          <w:highlight w:val="none"/>
        </w:rPr>
        <w:t>导致比去年下降</w:t>
      </w:r>
      <w:r>
        <w:rPr>
          <w:rFonts w:hint="eastAsia" w:ascii="仿宋_GB2312" w:eastAsia="仿宋_GB2312"/>
          <w:spacing w:val="0"/>
          <w:sz w:val="32"/>
          <w:szCs w:val="32"/>
          <w:highlight w:val="none"/>
        </w:rPr>
        <w:t>。</w:t>
      </w:r>
      <w:r>
        <w:rPr>
          <w:rFonts w:hint="eastAsia" w:ascii="仿宋_GB2312" w:eastAsia="仿宋_GB2312"/>
          <w:b/>
          <w:bCs/>
          <w:sz w:val="32"/>
          <w:szCs w:val="32"/>
          <w:highlight w:val="none"/>
        </w:rPr>
        <w:t>与</w:t>
      </w:r>
      <w:r>
        <w:rPr>
          <w:rFonts w:hint="eastAsia" w:ascii="仿宋_GB2312" w:eastAsia="仿宋_GB2312"/>
          <w:b/>
          <w:bCs/>
          <w:sz w:val="32"/>
          <w:szCs w:val="32"/>
          <w:highlight w:val="none"/>
          <w:lang w:eastAsia="zh-CN"/>
        </w:rPr>
        <w:t>年初预算</w:t>
      </w:r>
      <w:r>
        <w:rPr>
          <w:rFonts w:hint="eastAsia" w:ascii="仿宋_GB2312" w:eastAsia="仿宋_GB2312"/>
          <w:b/>
          <w:bCs/>
          <w:sz w:val="32"/>
          <w:szCs w:val="32"/>
          <w:highlight w:val="none"/>
        </w:rPr>
        <w:t>相比</w:t>
      </w:r>
      <w:r>
        <w:rPr>
          <w:rFonts w:hint="eastAsia" w:ascii="仿宋_GB2312" w:eastAsia="仿宋_GB2312"/>
          <w:b/>
          <w:bCs/>
          <w:sz w:val="32"/>
          <w:szCs w:val="32"/>
          <w:highlight w:val="none"/>
          <w:lang w:val="en-US" w:eastAsia="zh-CN"/>
        </w:rPr>
        <w:t>,</w:t>
      </w:r>
      <w:r>
        <w:rPr>
          <w:rFonts w:hint="eastAsia" w:ascii="仿宋_GB2312" w:eastAsia="仿宋_GB2312"/>
          <w:sz w:val="32"/>
          <w:szCs w:val="32"/>
          <w:highlight w:val="none"/>
          <w:lang w:eastAsia="zh-CN"/>
        </w:rPr>
        <w:t>年初预算数</w:t>
      </w:r>
      <w:r>
        <w:rPr>
          <w:rFonts w:hint="eastAsia" w:ascii="仿宋_GB2312" w:eastAsia="仿宋_GB2312"/>
          <w:sz w:val="32"/>
          <w:szCs w:val="32"/>
          <w:highlight w:val="none"/>
        </w:rPr>
        <w:t>1,623.25万元，决算数1,619.26万元，预决算差异率-0.25%</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2024年度减少了安全生产、应急管理投入力度。</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lang w:eastAsia="zh-CN"/>
        </w:rPr>
      </w:pPr>
      <w:bookmarkStart w:id="19" w:name="_Toc27147"/>
      <w:r>
        <w:rPr>
          <w:rFonts w:hint="eastAsia" w:ascii="黑体" w:hAnsi="黑体" w:eastAsia="黑体"/>
          <w:sz w:val="32"/>
          <w:szCs w:val="32"/>
          <w:highlight w:val="none"/>
          <w:lang w:eastAsia="zh-CN"/>
        </w:rPr>
        <w:t>（二）一般公共预算</w:t>
      </w:r>
      <w:r>
        <w:rPr>
          <w:rFonts w:hint="eastAsia" w:ascii="黑体" w:hAnsi="黑体" w:eastAsia="黑体"/>
          <w:sz w:val="32"/>
          <w:szCs w:val="32"/>
          <w:highlight w:val="none"/>
          <w:lang w:val="en-US" w:eastAsia="zh-CN"/>
        </w:rPr>
        <w:t>财政拨款支出决算</w:t>
      </w:r>
      <w:r>
        <w:rPr>
          <w:rFonts w:hint="eastAsia" w:ascii="黑体" w:hAnsi="黑体" w:eastAsia="黑体"/>
          <w:sz w:val="32"/>
          <w:szCs w:val="32"/>
          <w:highlight w:val="none"/>
          <w:lang w:eastAsia="zh-CN"/>
        </w:rPr>
        <w:t>结构情况</w:t>
      </w:r>
      <w:bookmarkEnd w:id="19"/>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jc w:val="both"/>
        <w:textAlignment w:val="auto"/>
        <w:rPr>
          <w:rFonts w:hint="eastAsia" w:ascii="仿宋_GB2312" w:hAnsi="仿宋_GB2312" w:eastAsia="仿宋_GB2312" w:cs="仿宋_GB2312"/>
          <w:kern w:val="0"/>
          <w:sz w:val="32"/>
          <w:szCs w:val="32"/>
          <w:highlight w:val="none"/>
        </w:rPr>
      </w:pPr>
      <w:r>
        <w:rPr>
          <w:rFonts w:hint="eastAsia" w:ascii="仿宋_GB2312" w:hAnsi="仿宋_GB2312" w:eastAsia="仿宋_GB2312" w:cs="仿宋_GB2312"/>
          <w:sz w:val="32"/>
          <w:szCs w:val="32"/>
          <w:highlight w:val="none"/>
        </w:rPr>
        <w:t>1.教育支出（类）1.52万元，占0.09%</w:t>
      </w:r>
      <w:r>
        <w:rPr>
          <w:rFonts w:hint="eastAsia" w:ascii="仿宋_GB2312" w:hAnsi="仿宋_GB2312" w:eastAsia="仿宋_GB2312" w:cs="仿宋_GB2312"/>
          <w:kern w:val="0"/>
          <w:sz w:val="32"/>
          <w:szCs w:val="32"/>
          <w:highlight w:val="none"/>
        </w:rPr>
        <w:t>。</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eastAsia="zh-CN"/>
        </w:rPr>
      </w:pPr>
      <w:r>
        <w:rPr>
          <w:rFonts w:hint="eastAsia" w:ascii="仿宋_GB2312" w:hAnsi="仿宋_GB2312" w:eastAsia="仿宋_GB2312" w:cs="仿宋_GB2312"/>
          <w:kern w:val="0"/>
          <w:sz w:val="32"/>
          <w:szCs w:val="32"/>
          <w:highlight w:val="none"/>
        </w:rPr>
        <w:t>2.社会保障和就业支出（类）113.18万元，占6.99%</w:t>
      </w:r>
      <w:r>
        <w:rPr>
          <w:rFonts w:hint="eastAsia" w:ascii="仿宋_GB2312" w:hAnsi="仿宋_GB2312" w:eastAsia="仿宋_GB2312" w:cs="仿宋_GB2312"/>
          <w:kern w:val="0"/>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3.卫生健康支出（类）44.19万元，占2.73%。</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4.住房保障支出（类）59.2万元，占3.66%。</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default"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5.灾害防治及应急管理支出（类）1,401.17万元，占86.53%。</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lang w:eastAsia="zh-CN"/>
        </w:rPr>
      </w:pPr>
      <w:bookmarkStart w:id="20" w:name="_Toc10037"/>
      <w:r>
        <w:rPr>
          <w:rFonts w:hint="eastAsia" w:ascii="黑体" w:hAnsi="黑体" w:eastAsia="黑体"/>
          <w:sz w:val="32"/>
          <w:szCs w:val="32"/>
          <w:highlight w:val="none"/>
          <w:lang w:eastAsia="zh-CN"/>
        </w:rPr>
        <w:t>（三）一般公共预算财政拨款支出决算具体情况</w:t>
      </w:r>
      <w:bookmarkEnd w:id="20"/>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default"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rPr>
        <w:t>1.一般公共服务支出（类）组织事务（款）其他组织事务支出（项）：支出决算数为0万元，与上年决算相比减少8.09万元，下降100%，主要原因是：2024年度无</w:t>
      </w:r>
      <w:r>
        <w:rPr>
          <w:rFonts w:hint="eastAsia" w:ascii="仿宋_GB2312" w:hAnsi="仿宋_GB2312" w:eastAsia="仿宋_GB2312" w:cs="仿宋_GB2312"/>
          <w:kern w:val="0"/>
          <w:sz w:val="32"/>
          <w:szCs w:val="32"/>
          <w:highlight w:val="none"/>
          <w:lang w:val="en-US" w:eastAsia="zh-CN"/>
        </w:rPr>
        <w:t>安排驻村工作队工作经费，导致比去年减少</w:t>
      </w:r>
      <w:r>
        <w:rPr>
          <w:rFonts w:hint="eastAsia" w:ascii="仿宋_GB2312" w:hAnsi="仿宋_GB2312" w:eastAsia="仿宋_GB2312" w:cs="仿宋_GB2312"/>
          <w:kern w:val="0"/>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eastAsia="zh-CN"/>
        </w:rPr>
      </w:pPr>
      <w:r>
        <w:rPr>
          <w:rFonts w:hint="eastAsia" w:ascii="仿宋_GB2312" w:hAnsi="仿宋_GB2312" w:eastAsia="仿宋_GB2312" w:cs="仿宋_GB2312"/>
          <w:kern w:val="0"/>
          <w:sz w:val="32"/>
          <w:szCs w:val="32"/>
          <w:highlight w:val="none"/>
        </w:rPr>
        <w:t>2.教育支出（类）进修及培训（款）培训支出（项）：支出决算数为1.52万元，与上年决算相比增加0.35万元，增长29.91%，主要原因是：2024年度加大安全生产教育培训力度，导致比去年增加</w:t>
      </w:r>
      <w:r>
        <w:rPr>
          <w:rFonts w:hint="eastAsia" w:ascii="仿宋_GB2312" w:hAnsi="仿宋_GB2312" w:eastAsia="仿宋_GB2312" w:cs="仿宋_GB2312"/>
          <w:kern w:val="0"/>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3.社会保障和就业支出（类）行政事业单位养老支出（款）行政单位离退休（项）：支出决算数为6.32万元，与上年决算相比增加2.16万元，增长51.92%，主要原因是：2024年度退休人员增加，导致比去年增加。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4.社会保障和就业支出（类）行政事业单位养老支出（款）机关事业单位基本养老保险缴费支出（项）：支出决算数为74.97万元，与上年决算相比增加10.33万元，增长15.98%，主要原因是：2024年度养老保险</w:t>
      </w:r>
      <w:bookmarkStart w:id="59" w:name="_GoBack"/>
      <w:bookmarkEnd w:id="59"/>
      <w:r>
        <w:rPr>
          <w:rFonts w:hint="eastAsia" w:ascii="仿宋_GB2312" w:hAnsi="仿宋_GB2312" w:eastAsia="仿宋_GB2312" w:cs="仿宋_GB2312"/>
          <w:kern w:val="0"/>
          <w:sz w:val="32"/>
          <w:szCs w:val="32"/>
          <w:highlight w:val="none"/>
          <w:lang w:val="en-US" w:eastAsia="zh-CN"/>
        </w:rPr>
        <w:t>缴费基数增高，导致比去年增加。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5.社会保障和就业支出（类）行政事业单位养老支出（款）机关事业单位职业年金缴费支出（项）：支出决算数为31.89万元，与上年决算相比增加25.02万元，增长364.19%，主要原因是：2024年度退休人员增加，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6.卫生健康支出（类）行政事业单位医疗（款）行政单位医疗（项）：支出决算数为37.02万元，与上年决算相比增加7.56万元，增长25.66%，主要原因是：2024年度缴费基数增长，导致比去年增加。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7.卫生健康支出（类）行政事业单位医疗（款）公务员医疗补助（项）：支出决算数为7.17万元，与上年决算相比增加1.1万元，增长18.12%，主要原因是：2024年度社保缴费基数增长，导致去比去年增加。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8.住房保障支出（类）住房改革支出（款）住房公积金（项）：支出决算数为59.2万元，与上年决算相比增加3.27万元，增长5.85%，主要原因是：2024年度住房公积金缴费基数增长，导致比去年增加。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9.灾害防治及应急管理支出（类）应急管理事务（款）行政运行（项）：支出决算数为1,188.24万元，与上年决算相比减少113.31万元，下降8.71%，主要原因是：2023-2024年度冬春生活补助经费需救助人员减少，导致比去年下降。</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10.灾害防治及应急管理支出（类）应急管理事务（款）灾害风险防治（项）：支出决算数为108万元，与上年决算相比增加108万元，增长100%，主要原因是：上年度无安排应急管理事务项目支出，导致比去年增加。</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eastAsia"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11.灾害防治及应急管理支出（类）应急管理事务（款）安全监管（项）：支出决算数为94.06万元，与上年决算相比减少14.19万元，下降13.11%，主要原因是：2024年度减少安全生产、应急管理投入力度，导致比去年下降。</w:t>
      </w:r>
    </w:p>
    <w:p>
      <w:pPr>
        <w:keepNext w:val="0"/>
        <w:keepLines w:val="0"/>
        <w:widowControl/>
        <w:suppressLineNumbers w:val="0"/>
        <w:shd w:val="clear" w:fill="FFFFFF"/>
        <w:ind w:left="0" w:firstLine="504"/>
        <w:jc w:val="left"/>
        <w:rPr>
          <w:rFonts w:hint="default"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12.灾害防治及应急管理支出（类）地震事务（款）地震事业机构（项）：支出决算数为1.34万元，与上年决算相比减少1.35万元，下降50.19%，主要原因是：上年度安排2022年、2023年度防震减灾“三网一员”工作经费资金支出，导致比去年减少。</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640" w:firstLineChars="200"/>
        <w:jc w:val="both"/>
        <w:textAlignment w:val="auto"/>
        <w:rPr>
          <w:rFonts w:hint="default" w:ascii="仿宋_GB2312" w:hAnsi="仿宋_GB2312" w:eastAsia="仿宋_GB2312" w:cs="仿宋_GB2312"/>
          <w:kern w:val="0"/>
          <w:sz w:val="32"/>
          <w:szCs w:val="32"/>
          <w:highlight w:val="none"/>
          <w:lang w:val="en-US" w:eastAsia="zh-CN"/>
        </w:rPr>
      </w:pPr>
      <w:r>
        <w:rPr>
          <w:rFonts w:hint="eastAsia" w:ascii="仿宋_GB2312" w:hAnsi="仿宋_GB2312" w:eastAsia="仿宋_GB2312" w:cs="仿宋_GB2312"/>
          <w:kern w:val="0"/>
          <w:sz w:val="32"/>
          <w:szCs w:val="32"/>
          <w:highlight w:val="none"/>
          <w:lang w:val="en-US" w:eastAsia="zh-CN"/>
        </w:rPr>
        <w:t>13.灾害防治及应急管理支出（类）自然灾害救灾及恢复重建支出（款）自然灾害救灾补助（项）：支出决算数为9.52万元，与上年决算相比减少100.59万元，下降91.35%，主要原因是：2023-2024年度冬春生活补助经费需救助人员减少，导致比去年下降。</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21" w:name="_Toc23415"/>
      <w:bookmarkStart w:id="22" w:name="_Toc11146"/>
      <w:r>
        <w:rPr>
          <w:rFonts w:hint="eastAsia" w:ascii="黑体" w:hAnsi="黑体" w:eastAsia="黑体" w:cs="宋体"/>
          <w:bCs/>
          <w:kern w:val="0"/>
          <w:sz w:val="32"/>
          <w:szCs w:val="32"/>
          <w:highlight w:val="none"/>
          <w:lang w:eastAsia="zh-CN"/>
        </w:rPr>
        <w:t>六、一般公共预算财政拨款基本支出决算情况说明</w:t>
      </w:r>
      <w:bookmarkEnd w:id="21"/>
      <w:bookmarkEnd w:id="22"/>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lang w:eastAsia="zh-CN"/>
        </w:rPr>
      </w:pPr>
      <w:r>
        <w:rPr>
          <w:rFonts w:hint="eastAsia" w:ascii="仿宋_GB2312" w:eastAsia="仿宋_GB2312"/>
          <w:spacing w:val="0"/>
          <w:sz w:val="32"/>
          <w:szCs w:val="32"/>
          <w:highlight w:val="none"/>
          <w:lang w:eastAsia="zh-CN"/>
        </w:rPr>
        <w:t>2024年度</w:t>
      </w:r>
      <w:r>
        <w:rPr>
          <w:rFonts w:hint="eastAsia" w:ascii="仿宋_GB2312" w:eastAsia="仿宋_GB2312"/>
          <w:sz w:val="32"/>
          <w:szCs w:val="32"/>
          <w:highlight w:val="none"/>
        </w:rPr>
        <w:t>一般公共预算财政拨款基本支出1,406.33万元，其中：</w:t>
      </w:r>
      <w:r>
        <w:rPr>
          <w:rFonts w:hint="eastAsia" w:ascii="仿宋_GB2312" w:eastAsia="仿宋_GB2312"/>
          <w:b/>
          <w:bCs/>
          <w:sz w:val="32"/>
          <w:szCs w:val="32"/>
          <w:highlight w:val="none"/>
        </w:rPr>
        <w:t>人员经费1,371.92万元，</w:t>
      </w:r>
      <w:r>
        <w:rPr>
          <w:rFonts w:hint="eastAsia" w:ascii="仿宋_GB2312" w:eastAsia="仿宋_GB2312"/>
          <w:sz w:val="32"/>
          <w:szCs w:val="32"/>
          <w:highlight w:val="none"/>
        </w:rPr>
        <w:t>包括：基本工资</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津贴补贴</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奖金</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机关事业单位基本养老保险缴费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职业年金缴费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职工基本医疗保险缴费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公务员医疗补助缴费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其他社会保障缴费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住房公积金</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其他工资福利支出</w:t>
      </w:r>
      <w:r>
        <w:rPr>
          <w:rFonts w:hint="eastAsia" w:ascii="仿宋_GB2312" w:eastAsia="仿宋_GB2312"/>
          <w:sz w:val="32"/>
          <w:szCs w:val="32"/>
          <w:highlight w:val="none"/>
          <w:lang w:eastAsia="zh-CN"/>
        </w:rPr>
        <w:t>、退休费。</w:t>
      </w:r>
    </w:p>
    <w:p>
      <w:pPr>
        <w:keepNext w:val="0"/>
        <w:keepLines w:val="0"/>
        <w:pageBreakBefore w:val="0"/>
        <w:widowControl w:val="0"/>
        <w:kinsoku/>
        <w:wordWrap/>
        <w:overflowPunct/>
        <w:topLinePunct w:val="0"/>
        <w:bidi w:val="0"/>
        <w:adjustRightInd/>
        <w:snapToGrid/>
        <w:spacing w:line="240" w:lineRule="auto"/>
        <w:ind w:firstLine="643" w:firstLineChars="200"/>
        <w:textAlignment w:val="auto"/>
        <w:rPr>
          <w:rFonts w:hint="eastAsia" w:ascii="仿宋_GB2312" w:hAnsi="宋体" w:eastAsia="仿宋_GB2312" w:cs="宋体"/>
          <w:kern w:val="0"/>
          <w:sz w:val="32"/>
          <w:szCs w:val="32"/>
          <w:highlight w:val="none"/>
        </w:rPr>
      </w:pPr>
      <w:r>
        <w:rPr>
          <w:rFonts w:hint="eastAsia" w:ascii="仿宋_GB2312" w:eastAsia="仿宋_GB2312"/>
          <w:b/>
          <w:bCs/>
          <w:sz w:val="32"/>
          <w:szCs w:val="32"/>
          <w:highlight w:val="none"/>
        </w:rPr>
        <w:t>公用经费34.41万元，</w:t>
      </w:r>
      <w:r>
        <w:rPr>
          <w:rFonts w:hint="eastAsia" w:ascii="仿宋_GB2312" w:eastAsia="仿宋_GB2312"/>
          <w:sz w:val="32"/>
          <w:szCs w:val="32"/>
          <w:highlight w:val="none"/>
        </w:rPr>
        <w:t>包括：办公费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差旅费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培训费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工会经费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福利费</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公务用车运行维护费</w:t>
      </w:r>
      <w:r>
        <w:rPr>
          <w:rFonts w:hint="eastAsia" w:ascii="仿宋_GB2312" w:eastAsia="仿宋_GB2312"/>
          <w:sz w:val="32"/>
          <w:szCs w:val="32"/>
          <w:highlight w:val="none"/>
          <w:lang w:eastAsia="zh-CN"/>
        </w:rPr>
        <w:t>、办公设备购置。</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yellow"/>
          <w:lang w:eastAsia="zh-CN"/>
        </w:rPr>
      </w:pPr>
      <w:bookmarkStart w:id="23" w:name="_Toc7523"/>
      <w:bookmarkStart w:id="24" w:name="_Toc7927"/>
      <w:r>
        <w:rPr>
          <w:rFonts w:hint="eastAsia" w:ascii="黑体" w:hAnsi="黑体" w:eastAsia="黑体" w:cs="宋体"/>
          <w:bCs/>
          <w:kern w:val="0"/>
          <w:sz w:val="32"/>
          <w:szCs w:val="32"/>
          <w:highlight w:val="none"/>
          <w:lang w:val="en-US" w:eastAsia="zh-CN"/>
        </w:rPr>
        <w:t>七、</w:t>
      </w:r>
      <w:r>
        <w:rPr>
          <w:rFonts w:hint="eastAsia" w:ascii="黑体" w:hAnsi="黑体" w:eastAsia="黑体" w:cs="宋体"/>
          <w:bCs/>
          <w:kern w:val="0"/>
          <w:sz w:val="32"/>
          <w:szCs w:val="32"/>
          <w:highlight w:val="none"/>
          <w:lang w:eastAsia="zh-CN"/>
        </w:rPr>
        <w:t>政府性基金预算财政拨款收入支出决算情况说明</w:t>
      </w:r>
      <w:bookmarkEnd w:id="23"/>
      <w:bookmarkEnd w:id="24"/>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0" w:firstLineChars="200"/>
        <w:textAlignment w:val="auto"/>
        <w:rPr>
          <w:rFonts w:hint="eastAsia" w:ascii="仿宋_GB2312" w:eastAsia="仿宋_GB2312"/>
          <w:sz w:val="32"/>
          <w:szCs w:val="32"/>
          <w:highlight w:val="none"/>
          <w:lang w:eastAsia="zh-CN"/>
        </w:rPr>
      </w:pPr>
      <w:r>
        <w:rPr>
          <w:rFonts w:hint="eastAsia" w:ascii="仿宋_GB2312" w:eastAsia="仿宋_GB2312"/>
          <w:sz w:val="32"/>
          <w:szCs w:val="32"/>
          <w:highlight w:val="none"/>
          <w:lang w:eastAsia="zh-CN"/>
        </w:rPr>
        <w:t>我</w:t>
      </w:r>
      <w:r>
        <w:rPr>
          <w:rFonts w:hint="eastAsia" w:ascii="仿宋_GB2312" w:eastAsia="仿宋_GB2312"/>
          <w:sz w:val="32"/>
          <w:szCs w:val="32"/>
          <w:highlight w:val="none"/>
          <w:lang w:val="en-US" w:eastAsia="zh-CN"/>
        </w:rPr>
        <w:t>部门</w:t>
      </w:r>
      <w:r>
        <w:rPr>
          <w:rFonts w:hint="eastAsia" w:ascii="仿宋_GB2312" w:eastAsia="仿宋_GB2312"/>
          <w:sz w:val="32"/>
          <w:szCs w:val="32"/>
          <w:highlight w:val="none"/>
          <w:lang w:eastAsia="zh-CN"/>
        </w:rPr>
        <w:t>本年度无政府性基金预算财政拨款收入、支出</w:t>
      </w:r>
      <w:r>
        <w:rPr>
          <w:rFonts w:hint="eastAsia" w:ascii="仿宋_GB2312" w:eastAsia="仿宋_GB2312"/>
          <w:sz w:val="32"/>
          <w:szCs w:val="32"/>
          <w:highlight w:val="none"/>
          <w:lang w:val="en-US" w:eastAsia="zh-CN"/>
        </w:rPr>
        <w:t>及结转和结余</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政府性基金预算财政拨款收入支出决算表为空表。</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yellow"/>
          <w:lang w:eastAsia="zh-CN"/>
        </w:rPr>
      </w:pPr>
      <w:bookmarkStart w:id="25" w:name="_Toc5563"/>
      <w:r>
        <w:rPr>
          <w:rFonts w:hint="eastAsia" w:ascii="黑体" w:hAnsi="黑体" w:eastAsia="黑体" w:cs="宋体"/>
          <w:bCs/>
          <w:kern w:val="0"/>
          <w:sz w:val="32"/>
          <w:szCs w:val="32"/>
          <w:highlight w:val="none"/>
          <w:lang w:val="en-US" w:eastAsia="zh-CN"/>
        </w:rPr>
        <w:t>八</w:t>
      </w:r>
      <w:r>
        <w:rPr>
          <w:rFonts w:hint="eastAsia" w:ascii="黑体" w:hAnsi="黑体" w:eastAsia="黑体" w:cs="宋体"/>
          <w:bCs/>
          <w:kern w:val="0"/>
          <w:sz w:val="32"/>
          <w:szCs w:val="32"/>
          <w:highlight w:val="none"/>
          <w:lang w:eastAsia="zh-CN"/>
        </w:rPr>
        <w:t>、国有资本经营预算财政拨款收入支出决算情况说明</w:t>
      </w:r>
      <w:bookmarkEnd w:id="25"/>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40" w:firstLineChars="200"/>
        <w:textAlignment w:val="auto"/>
        <w:rPr>
          <w:rFonts w:hint="eastAsia" w:ascii="仿宋_GB2312" w:eastAsia="仿宋_GB2312"/>
          <w:sz w:val="32"/>
          <w:szCs w:val="32"/>
          <w:highlight w:val="none"/>
          <w:lang w:eastAsia="zh-CN"/>
        </w:rPr>
      </w:pPr>
      <w:r>
        <w:rPr>
          <w:rFonts w:hint="eastAsia" w:ascii="仿宋_GB2312" w:eastAsia="仿宋_GB2312"/>
          <w:sz w:val="32"/>
          <w:szCs w:val="32"/>
          <w:highlight w:val="none"/>
          <w:lang w:eastAsia="zh-CN"/>
        </w:rPr>
        <w:t>我</w:t>
      </w:r>
      <w:r>
        <w:rPr>
          <w:rFonts w:hint="eastAsia" w:ascii="仿宋_GB2312" w:eastAsia="仿宋_GB2312"/>
          <w:sz w:val="32"/>
          <w:szCs w:val="32"/>
          <w:highlight w:val="none"/>
          <w:lang w:val="en-US" w:eastAsia="zh-CN"/>
        </w:rPr>
        <w:t>部门</w:t>
      </w:r>
      <w:r>
        <w:rPr>
          <w:rFonts w:hint="eastAsia" w:ascii="仿宋_GB2312" w:eastAsia="仿宋_GB2312"/>
          <w:sz w:val="32"/>
          <w:szCs w:val="32"/>
          <w:highlight w:val="none"/>
          <w:lang w:eastAsia="zh-CN"/>
        </w:rPr>
        <w:t>本年度无国有资本经营预算财政拨款收入、支出</w:t>
      </w:r>
      <w:r>
        <w:rPr>
          <w:rFonts w:hint="eastAsia" w:ascii="仿宋_GB2312" w:eastAsia="仿宋_GB2312"/>
          <w:sz w:val="32"/>
          <w:szCs w:val="32"/>
          <w:highlight w:val="none"/>
          <w:lang w:val="en-US" w:eastAsia="zh-CN"/>
        </w:rPr>
        <w:t>及结转和结余</w:t>
      </w:r>
      <w:r>
        <w:rPr>
          <w:rFonts w:hint="eastAsia" w:ascii="仿宋_GB2312" w:eastAsia="仿宋_GB2312"/>
          <w:sz w:val="32"/>
          <w:szCs w:val="32"/>
          <w:highlight w:val="none"/>
          <w:lang w:eastAsia="zh-CN"/>
        </w:rPr>
        <w:t>，国有资本经营</w:t>
      </w:r>
      <w:r>
        <w:rPr>
          <w:rFonts w:hint="eastAsia" w:ascii="仿宋_GB2312" w:eastAsia="仿宋_GB2312"/>
          <w:sz w:val="32"/>
          <w:szCs w:val="32"/>
          <w:highlight w:val="none"/>
        </w:rPr>
        <w:t>预算财政拨款收入支出决算表为空表。</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26" w:name="_Toc7190"/>
      <w:bookmarkStart w:id="27" w:name="_Toc9161"/>
      <w:r>
        <w:rPr>
          <w:rFonts w:hint="eastAsia" w:ascii="黑体" w:hAnsi="黑体" w:eastAsia="黑体" w:cs="宋体"/>
          <w:bCs/>
          <w:kern w:val="0"/>
          <w:sz w:val="32"/>
          <w:szCs w:val="32"/>
          <w:highlight w:val="none"/>
          <w:lang w:val="en-US" w:eastAsia="zh-CN"/>
        </w:rPr>
        <w:t>九</w:t>
      </w:r>
      <w:r>
        <w:rPr>
          <w:rFonts w:hint="eastAsia" w:ascii="黑体" w:hAnsi="黑体" w:eastAsia="黑体" w:cs="宋体"/>
          <w:bCs/>
          <w:kern w:val="0"/>
          <w:sz w:val="32"/>
          <w:szCs w:val="32"/>
          <w:highlight w:val="none"/>
          <w:lang w:eastAsia="zh-CN"/>
        </w:rPr>
        <w:t>、财政拨款</w:t>
      </w:r>
      <w:r>
        <w:rPr>
          <w:rFonts w:hint="eastAsia" w:ascii="黑体" w:hAnsi="黑体" w:eastAsia="黑体" w:cs="宋体"/>
          <w:bCs/>
          <w:kern w:val="0"/>
          <w:sz w:val="32"/>
          <w:szCs w:val="32"/>
          <w:highlight w:val="none"/>
        </w:rPr>
        <w:t>“三公”经费支出</w:t>
      </w:r>
      <w:r>
        <w:rPr>
          <w:rFonts w:hint="eastAsia" w:ascii="黑体" w:hAnsi="黑体" w:eastAsia="黑体" w:cs="宋体"/>
          <w:bCs/>
          <w:kern w:val="0"/>
          <w:sz w:val="32"/>
          <w:szCs w:val="32"/>
          <w:highlight w:val="none"/>
          <w:lang w:eastAsia="zh-CN"/>
        </w:rPr>
        <w:t>决算</w:t>
      </w:r>
      <w:r>
        <w:rPr>
          <w:rFonts w:hint="eastAsia" w:ascii="黑体" w:hAnsi="黑体" w:eastAsia="黑体" w:cs="宋体"/>
          <w:bCs/>
          <w:kern w:val="0"/>
          <w:sz w:val="32"/>
          <w:szCs w:val="32"/>
          <w:highlight w:val="none"/>
        </w:rPr>
        <w:t>情况</w:t>
      </w:r>
      <w:r>
        <w:rPr>
          <w:rFonts w:hint="eastAsia" w:ascii="黑体" w:hAnsi="黑体" w:eastAsia="黑体" w:cs="宋体"/>
          <w:bCs/>
          <w:kern w:val="0"/>
          <w:sz w:val="32"/>
          <w:szCs w:val="32"/>
          <w:highlight w:val="none"/>
          <w:lang w:eastAsia="zh-CN"/>
        </w:rPr>
        <w:t>说明</w:t>
      </w:r>
      <w:bookmarkEnd w:id="26"/>
      <w:bookmarkEnd w:id="27"/>
    </w:p>
    <w:p>
      <w:pPr>
        <w:keepNext w:val="0"/>
        <w:keepLines w:val="0"/>
        <w:pageBreakBefore w:val="0"/>
        <w:widowControl w:val="0"/>
        <w:kinsoku/>
        <w:wordWrap/>
        <w:overflowPunct/>
        <w:topLinePunct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pacing w:val="0"/>
          <w:sz w:val="32"/>
          <w:szCs w:val="32"/>
          <w:highlight w:val="none"/>
          <w:lang w:eastAsia="zh-CN"/>
        </w:rPr>
        <w:t>2024年度</w:t>
      </w:r>
      <w:r>
        <w:rPr>
          <w:rFonts w:hint="eastAsia" w:ascii="仿宋_GB2312" w:eastAsia="仿宋_GB2312"/>
          <w:b/>
          <w:bCs/>
          <w:sz w:val="32"/>
          <w:szCs w:val="32"/>
          <w:highlight w:val="none"/>
          <w:lang w:val="en-US" w:eastAsia="zh-CN"/>
        </w:rPr>
        <w:t>财政拨款</w:t>
      </w:r>
      <w:r>
        <w:rPr>
          <w:rFonts w:hint="eastAsia" w:ascii="仿宋_GB2312" w:eastAsia="仿宋_GB2312"/>
          <w:b/>
          <w:bCs/>
          <w:sz w:val="32"/>
          <w:szCs w:val="32"/>
          <w:highlight w:val="none"/>
        </w:rPr>
        <w:t>“三公”经费支出2.31万元，</w:t>
      </w:r>
      <w:r>
        <w:rPr>
          <w:rFonts w:hint="eastAsia" w:ascii="仿宋_GB2312" w:eastAsia="仿宋_GB2312"/>
          <w:sz w:val="32"/>
          <w:szCs w:val="32"/>
          <w:highlight w:val="none"/>
        </w:rPr>
        <w:t>比上年增加0.12万元，增长5.48%，</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车辆老化、维修和保养费用增高，导致比去年增加。其中</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因公出国（境）费支出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%，比上年增加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万元，增长</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我单位无因公出国（境）费</w:t>
      </w:r>
      <w:r>
        <w:rPr>
          <w:rFonts w:hint="eastAsia" w:ascii="仿宋_GB2312" w:eastAsia="仿宋_GB2312"/>
          <w:sz w:val="32"/>
          <w:szCs w:val="32"/>
          <w:highlight w:val="none"/>
          <w:lang w:val="en-US" w:eastAsia="zh-CN"/>
        </w:rPr>
        <w:t>支出</w:t>
      </w:r>
      <w:r>
        <w:rPr>
          <w:rFonts w:hint="eastAsia" w:ascii="仿宋_GB2312" w:eastAsia="仿宋_GB2312"/>
          <w:sz w:val="32"/>
          <w:szCs w:val="32"/>
          <w:highlight w:val="none"/>
        </w:rPr>
        <w:t>；公务用车购置及运行维护费支出2.31万元，占</w:t>
      </w:r>
      <w:r>
        <w:rPr>
          <w:rFonts w:hint="eastAsia" w:ascii="仿宋_GB2312" w:eastAsia="仿宋_GB2312"/>
          <w:sz w:val="32"/>
          <w:szCs w:val="32"/>
          <w:highlight w:val="none"/>
          <w:lang w:val="en-US" w:eastAsia="zh-CN"/>
        </w:rPr>
        <w:t>100</w:t>
      </w:r>
      <w:r>
        <w:rPr>
          <w:rFonts w:hint="eastAsia" w:ascii="仿宋_GB2312" w:eastAsia="仿宋_GB2312"/>
          <w:sz w:val="32"/>
          <w:szCs w:val="32"/>
          <w:highlight w:val="none"/>
        </w:rPr>
        <w:t>%，比上年增加0.12万元，增长5.48%，</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车辆老化、维修和保养费用增高，导致比去年增加；公务接待费支出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%，比上年增加</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万元，增长</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我单位无公务接待费支出。</w:t>
      </w:r>
    </w:p>
    <w:p>
      <w:pPr>
        <w:keepNext w:val="0"/>
        <w:keepLines w:val="0"/>
        <w:pageBreakBefore w:val="0"/>
        <w:widowControl w:val="0"/>
        <w:kinsoku/>
        <w:wordWrap/>
        <w:overflowPunct/>
        <w:topLinePunct w:val="0"/>
        <w:bidi w:val="0"/>
        <w:adjustRightInd/>
        <w:snapToGrid/>
        <w:spacing w:line="240" w:lineRule="auto"/>
        <w:ind w:firstLine="643" w:firstLineChars="200"/>
        <w:textAlignment w:val="auto"/>
        <w:rPr>
          <w:rFonts w:hint="eastAsia" w:ascii="仿宋_GB2312" w:eastAsia="仿宋_GB2312"/>
          <w:b/>
          <w:bCs/>
          <w:sz w:val="32"/>
          <w:szCs w:val="32"/>
          <w:highlight w:val="none"/>
        </w:rPr>
      </w:pPr>
      <w:r>
        <w:rPr>
          <w:rFonts w:hint="eastAsia" w:ascii="仿宋_GB2312" w:eastAsia="仿宋_GB2312"/>
          <w:b/>
          <w:bCs/>
          <w:sz w:val="32"/>
          <w:szCs w:val="32"/>
          <w:highlight w:val="none"/>
        </w:rPr>
        <w:t>具体情况如下：</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sz w:val="32"/>
          <w:szCs w:val="32"/>
          <w:highlight w:val="none"/>
        </w:rPr>
        <w:t>因公出国（境）费支出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，开支内容包括：</w:t>
      </w:r>
      <w:r>
        <w:rPr>
          <w:rFonts w:hint="eastAsia" w:ascii="仿宋_GB2312" w:eastAsia="仿宋_GB2312"/>
          <w:sz w:val="32"/>
          <w:szCs w:val="32"/>
          <w:highlight w:val="none"/>
          <w:lang w:val="en-US" w:eastAsia="zh-CN"/>
        </w:rPr>
        <w:t>我单位无因公出国（境）费开支</w:t>
      </w:r>
      <w:r>
        <w:rPr>
          <w:rFonts w:hint="eastAsia" w:ascii="仿宋_GB2312" w:eastAsia="仿宋_GB2312"/>
          <w:sz w:val="32"/>
          <w:szCs w:val="32"/>
          <w:highlight w:val="none"/>
        </w:rPr>
        <w:t>。单位全年安排的因公出国（境）团组</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个，因公出国（境）</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人次。</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lang w:val="en-US" w:eastAsia="zh-CN"/>
        </w:rPr>
      </w:pPr>
      <w:r>
        <w:rPr>
          <w:rFonts w:hint="eastAsia" w:ascii="仿宋_GB2312" w:eastAsia="仿宋_GB2312"/>
          <w:sz w:val="32"/>
          <w:szCs w:val="32"/>
          <w:highlight w:val="none"/>
        </w:rPr>
        <w:t>公务用车购置及运行维护费2.31万元</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其中</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公务用车购置费</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万元，公务用车运行维护费2.31万元。公务用车运行维护费开支内容包括车辆维修、保险、燃油费用。公务用车购置数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辆，公务用车保有量</w:t>
      </w:r>
      <w:r>
        <w:rPr>
          <w:rFonts w:hint="eastAsia" w:ascii="仿宋_GB2312" w:eastAsia="仿宋_GB2312"/>
          <w:sz w:val="32"/>
          <w:szCs w:val="32"/>
          <w:highlight w:val="none"/>
          <w:lang w:val="en-US" w:eastAsia="zh-CN"/>
        </w:rPr>
        <w:t>5</w:t>
      </w:r>
      <w:r>
        <w:rPr>
          <w:rFonts w:hint="eastAsia" w:ascii="仿宋_GB2312" w:eastAsia="仿宋_GB2312"/>
          <w:sz w:val="32"/>
          <w:szCs w:val="32"/>
          <w:highlight w:val="none"/>
        </w:rPr>
        <w:t>辆。国有资产占用情况</w:t>
      </w:r>
      <w:r>
        <w:rPr>
          <w:rFonts w:hint="eastAsia" w:ascii="仿宋_GB2312" w:eastAsia="仿宋_GB2312"/>
          <w:sz w:val="32"/>
          <w:szCs w:val="32"/>
          <w:highlight w:val="none"/>
          <w:lang w:val="en-US" w:eastAsia="zh-CN"/>
        </w:rPr>
        <w:t>中固定资产车辆5</w:t>
      </w:r>
      <w:r>
        <w:rPr>
          <w:rFonts w:hint="eastAsia" w:ascii="仿宋_GB2312" w:eastAsia="仿宋_GB2312"/>
          <w:sz w:val="32"/>
          <w:szCs w:val="32"/>
          <w:highlight w:val="none"/>
        </w:rPr>
        <w:t>辆</w:t>
      </w:r>
      <w:r>
        <w:rPr>
          <w:rFonts w:hint="eastAsia" w:ascii="仿宋_GB2312" w:eastAsia="仿宋_GB2312"/>
          <w:sz w:val="32"/>
          <w:szCs w:val="32"/>
          <w:highlight w:val="none"/>
          <w:lang w:eastAsia="zh-CN"/>
        </w:rPr>
        <w:t>，</w:t>
      </w:r>
      <w:r>
        <w:rPr>
          <w:rFonts w:hint="eastAsia" w:ascii="仿宋_GB2312" w:eastAsia="仿宋_GB2312"/>
          <w:sz w:val="32"/>
          <w:szCs w:val="32"/>
          <w:highlight w:val="none"/>
          <w:lang w:val="en-US" w:eastAsia="zh-CN"/>
        </w:rPr>
        <w:t>与</w:t>
      </w:r>
      <w:r>
        <w:rPr>
          <w:rFonts w:hint="eastAsia" w:ascii="仿宋_GB2312" w:eastAsia="仿宋_GB2312"/>
          <w:sz w:val="32"/>
          <w:szCs w:val="32"/>
          <w:highlight w:val="none"/>
        </w:rPr>
        <w:t>公务用车</w:t>
      </w:r>
      <w:r>
        <w:rPr>
          <w:rFonts w:hint="eastAsia" w:ascii="仿宋_GB2312" w:eastAsia="仿宋_GB2312"/>
          <w:sz w:val="32"/>
          <w:szCs w:val="32"/>
          <w:highlight w:val="none"/>
          <w:lang w:val="en-US" w:eastAsia="zh-CN"/>
        </w:rPr>
        <w:t>保有量差异</w:t>
      </w:r>
      <w:r>
        <w:rPr>
          <w:rFonts w:hint="eastAsia" w:ascii="仿宋_GB2312" w:eastAsia="仿宋_GB2312"/>
          <w:sz w:val="32"/>
          <w:szCs w:val="32"/>
          <w:highlight w:val="none"/>
          <w:lang w:eastAsia="zh-CN"/>
        </w:rPr>
        <w:t>原因是</w:t>
      </w:r>
      <w:r>
        <w:rPr>
          <w:rFonts w:hint="eastAsia" w:ascii="仿宋_GB2312" w:eastAsia="仿宋_GB2312"/>
          <w:sz w:val="32"/>
          <w:szCs w:val="32"/>
          <w:highlight w:val="none"/>
        </w:rPr>
        <w:t>：本单位固定资产车辆与公务用车保有量一致无差异。</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sz w:val="32"/>
          <w:szCs w:val="32"/>
          <w:highlight w:val="none"/>
        </w:rPr>
        <w:t>公务接待费</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开支内容包括：</w:t>
      </w:r>
      <w:r>
        <w:rPr>
          <w:rFonts w:hint="eastAsia" w:ascii="仿宋_GB2312" w:eastAsia="仿宋_GB2312"/>
          <w:sz w:val="32"/>
          <w:szCs w:val="32"/>
          <w:highlight w:val="none"/>
        </w:rPr>
        <w:t>2024年度未安排公务接待费支出。单位全年安排的国内公务接待</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批次，</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人次。</w:t>
      </w:r>
    </w:p>
    <w:p>
      <w:pPr>
        <w:keepNext w:val="0"/>
        <w:keepLines w:val="0"/>
        <w:pageBreakBefore w:val="0"/>
        <w:widowControl w:val="0"/>
        <w:kinsoku/>
        <w:wordWrap/>
        <w:overflowPunct/>
        <w:topLinePunct w:val="0"/>
        <w:autoSpaceDE/>
        <w:autoSpaceDN/>
        <w:bidi w:val="0"/>
        <w:adjustRightInd/>
        <w:snapToGrid/>
        <w:spacing w:line="240" w:lineRule="auto"/>
        <w:ind w:left="0" w:leftChars="0" w:firstLine="643" w:firstLineChars="200"/>
        <w:jc w:val="both"/>
        <w:textAlignment w:val="auto"/>
        <w:rPr>
          <w:rFonts w:hint="eastAsia" w:ascii="仿宋_GB2312" w:eastAsia="仿宋_GB2312"/>
          <w:sz w:val="32"/>
          <w:szCs w:val="32"/>
          <w:highlight w:val="none"/>
          <w:lang w:eastAsia="zh-CN"/>
        </w:rPr>
      </w:pPr>
      <w:r>
        <w:rPr>
          <w:rFonts w:hint="eastAsia" w:ascii="仿宋_GB2312" w:eastAsia="仿宋_GB2312"/>
          <w:b/>
          <w:bCs/>
          <w:sz w:val="32"/>
          <w:szCs w:val="32"/>
          <w:highlight w:val="none"/>
        </w:rPr>
        <w:t>与</w:t>
      </w:r>
      <w:r>
        <w:rPr>
          <w:rFonts w:hint="eastAsia" w:ascii="仿宋_GB2312" w:eastAsia="仿宋_GB2312"/>
          <w:b/>
          <w:bCs/>
          <w:sz w:val="32"/>
          <w:szCs w:val="32"/>
          <w:highlight w:val="none"/>
          <w:lang w:val="en-US" w:eastAsia="zh-CN"/>
        </w:rPr>
        <w:t>全年</w:t>
      </w:r>
      <w:r>
        <w:rPr>
          <w:rFonts w:hint="eastAsia" w:ascii="仿宋_GB2312" w:eastAsia="仿宋_GB2312"/>
          <w:b/>
          <w:bCs/>
          <w:sz w:val="32"/>
          <w:szCs w:val="32"/>
          <w:highlight w:val="none"/>
          <w:lang w:eastAsia="zh-CN"/>
        </w:rPr>
        <w:t>预算</w:t>
      </w:r>
      <w:r>
        <w:rPr>
          <w:rFonts w:hint="eastAsia" w:ascii="仿宋_GB2312" w:eastAsia="仿宋_GB2312"/>
          <w:b/>
          <w:bCs/>
          <w:sz w:val="32"/>
          <w:szCs w:val="32"/>
          <w:highlight w:val="none"/>
        </w:rPr>
        <w:t>相比</w:t>
      </w:r>
      <w:r>
        <w:rPr>
          <w:rFonts w:hint="eastAsia" w:ascii="仿宋_GB2312" w:eastAsia="仿宋_GB2312"/>
          <w:b/>
          <w:bCs/>
          <w:sz w:val="32"/>
          <w:szCs w:val="32"/>
          <w:highlight w:val="none"/>
          <w:lang w:eastAsia="zh-CN"/>
        </w:rPr>
        <w:t>，</w:t>
      </w:r>
      <w:r>
        <w:rPr>
          <w:rFonts w:hint="eastAsia" w:ascii="仿宋_GB2312" w:eastAsia="仿宋_GB2312"/>
          <w:b w:val="0"/>
          <w:bCs w:val="0"/>
          <w:sz w:val="32"/>
          <w:szCs w:val="32"/>
          <w:highlight w:val="none"/>
          <w:lang w:eastAsia="zh-CN"/>
        </w:rPr>
        <w:t>财政拨款</w:t>
      </w:r>
      <w:r>
        <w:rPr>
          <w:rFonts w:hint="eastAsia" w:ascii="仿宋_GB2312" w:eastAsia="仿宋_GB2312"/>
          <w:b w:val="0"/>
          <w:bCs w:val="0"/>
          <w:sz w:val="32"/>
          <w:szCs w:val="32"/>
          <w:highlight w:val="none"/>
        </w:rPr>
        <w:t>“</w:t>
      </w:r>
      <w:r>
        <w:rPr>
          <w:rFonts w:hint="eastAsia" w:ascii="仿宋_GB2312" w:eastAsia="仿宋_GB2312"/>
          <w:sz w:val="32"/>
          <w:szCs w:val="32"/>
          <w:highlight w:val="none"/>
        </w:rPr>
        <w:t>三公”经费支出</w:t>
      </w:r>
      <w:r>
        <w:rPr>
          <w:rFonts w:hint="eastAsia" w:ascii="仿宋_GB2312" w:eastAsia="仿宋_GB2312"/>
          <w:sz w:val="32"/>
          <w:szCs w:val="32"/>
          <w:highlight w:val="none"/>
          <w:lang w:val="en-US" w:eastAsia="zh-CN"/>
        </w:rPr>
        <w:t>全年</w:t>
      </w:r>
      <w:r>
        <w:rPr>
          <w:rFonts w:hint="eastAsia" w:ascii="仿宋_GB2312" w:eastAsia="仿宋_GB2312"/>
          <w:sz w:val="32"/>
          <w:szCs w:val="32"/>
          <w:highlight w:val="none"/>
          <w:lang w:eastAsia="zh-CN"/>
        </w:rPr>
        <w:t>预算数</w:t>
      </w:r>
      <w:r>
        <w:rPr>
          <w:rFonts w:hint="eastAsia" w:ascii="仿宋_GB2312" w:eastAsia="仿宋_GB2312"/>
          <w:sz w:val="32"/>
          <w:szCs w:val="32"/>
          <w:highlight w:val="none"/>
        </w:rPr>
        <w:t>2.31万元，决算数2.31万元，预决算差异率</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严格控制三公经费，预决算无差异。</w:t>
      </w:r>
      <w:r>
        <w:rPr>
          <w:rFonts w:hint="eastAsia" w:ascii="仿宋_GB2312" w:hAnsi="宋体" w:eastAsia="仿宋_GB2312" w:cs="宋体"/>
          <w:kern w:val="0"/>
          <w:sz w:val="32"/>
          <w:szCs w:val="32"/>
          <w:highlight w:val="none"/>
        </w:rPr>
        <w:t>其中：因公出国（境）费</w:t>
      </w:r>
      <w:r>
        <w:rPr>
          <w:rFonts w:hint="eastAsia" w:ascii="仿宋_GB2312" w:hAnsi="宋体" w:eastAsia="仿宋_GB2312" w:cs="宋体"/>
          <w:kern w:val="0"/>
          <w:sz w:val="32"/>
          <w:szCs w:val="32"/>
          <w:highlight w:val="none"/>
          <w:lang w:val="en-US" w:eastAsia="zh-CN"/>
        </w:rPr>
        <w:t>全年预算数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万元，决算数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万元，预决算差异率</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我单位无因公出国（境）费；</w:t>
      </w:r>
      <w:r>
        <w:rPr>
          <w:rFonts w:hint="eastAsia" w:ascii="仿宋_GB2312" w:hAnsi="宋体" w:eastAsia="仿宋_GB2312" w:cs="宋体"/>
          <w:kern w:val="0"/>
          <w:sz w:val="32"/>
          <w:szCs w:val="32"/>
          <w:highlight w:val="none"/>
        </w:rPr>
        <w:t>公务用车购置</w:t>
      </w:r>
      <w:r>
        <w:rPr>
          <w:rFonts w:hint="eastAsia" w:ascii="仿宋_GB2312" w:eastAsia="仿宋_GB2312"/>
          <w:sz w:val="32"/>
          <w:szCs w:val="32"/>
          <w:highlight w:val="none"/>
        </w:rPr>
        <w:t>费</w:t>
      </w:r>
      <w:r>
        <w:rPr>
          <w:rFonts w:hint="eastAsia" w:ascii="仿宋_GB2312" w:eastAsia="仿宋_GB2312"/>
          <w:sz w:val="32"/>
          <w:szCs w:val="32"/>
          <w:highlight w:val="none"/>
          <w:lang w:val="en-US" w:eastAsia="zh-CN"/>
        </w:rPr>
        <w:t>全年</w:t>
      </w:r>
      <w:r>
        <w:rPr>
          <w:rFonts w:hint="eastAsia" w:ascii="仿宋_GB2312" w:eastAsia="仿宋_GB2312"/>
          <w:sz w:val="32"/>
          <w:szCs w:val="32"/>
          <w:highlight w:val="none"/>
        </w:rPr>
        <w:t>预算数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万元，决算数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万元，预决算差异率</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我单位无公务用车购置费；</w:t>
      </w:r>
      <w:r>
        <w:rPr>
          <w:rFonts w:hint="eastAsia" w:ascii="仿宋_GB2312" w:hAnsi="宋体" w:eastAsia="仿宋_GB2312" w:cs="宋体"/>
          <w:kern w:val="0"/>
          <w:sz w:val="32"/>
          <w:szCs w:val="32"/>
          <w:highlight w:val="none"/>
        </w:rPr>
        <w:t>公务用车运行费</w:t>
      </w:r>
      <w:r>
        <w:rPr>
          <w:rFonts w:hint="eastAsia" w:ascii="仿宋_GB2312" w:hAnsi="宋体" w:eastAsia="仿宋_GB2312" w:cs="宋体"/>
          <w:kern w:val="0"/>
          <w:sz w:val="32"/>
          <w:szCs w:val="32"/>
          <w:highlight w:val="none"/>
          <w:lang w:val="en-US" w:eastAsia="zh-CN"/>
        </w:rPr>
        <w:t>全年</w:t>
      </w:r>
      <w:r>
        <w:rPr>
          <w:rFonts w:hint="eastAsia" w:ascii="仿宋_GB2312" w:eastAsia="仿宋_GB2312"/>
          <w:sz w:val="32"/>
          <w:szCs w:val="32"/>
          <w:highlight w:val="none"/>
        </w:rPr>
        <w:t>预算数2.31万元，决算数2.31万元，预决算差异率</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严格控制三公经费，预决算无差异；</w:t>
      </w:r>
      <w:r>
        <w:rPr>
          <w:rFonts w:hint="eastAsia" w:ascii="仿宋_GB2312" w:hAnsi="宋体" w:eastAsia="仿宋_GB2312" w:cs="宋体"/>
          <w:kern w:val="0"/>
          <w:sz w:val="32"/>
          <w:szCs w:val="32"/>
          <w:highlight w:val="none"/>
        </w:rPr>
        <w:t>公务接待费</w:t>
      </w:r>
      <w:r>
        <w:rPr>
          <w:rFonts w:hint="eastAsia" w:ascii="仿宋_GB2312" w:hAnsi="宋体" w:eastAsia="仿宋_GB2312" w:cs="宋体"/>
          <w:kern w:val="0"/>
          <w:sz w:val="32"/>
          <w:szCs w:val="32"/>
          <w:highlight w:val="none"/>
          <w:lang w:val="en-US" w:eastAsia="zh-CN"/>
        </w:rPr>
        <w:t>全年</w:t>
      </w:r>
      <w:r>
        <w:rPr>
          <w:rFonts w:hint="eastAsia" w:ascii="仿宋_GB2312" w:eastAsia="仿宋_GB2312"/>
          <w:sz w:val="32"/>
          <w:szCs w:val="32"/>
          <w:highlight w:val="none"/>
        </w:rPr>
        <w:t>预算数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万元，决算数</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万元，预决算差异率</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主要原因是：</w:t>
      </w:r>
      <w:r>
        <w:rPr>
          <w:rFonts w:hint="eastAsia" w:ascii="仿宋_GB2312" w:eastAsia="仿宋_GB2312"/>
          <w:sz w:val="32"/>
          <w:szCs w:val="32"/>
          <w:highlight w:val="none"/>
        </w:rPr>
        <w:t>我单位无公务接待费。</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none"/>
          <w:lang w:eastAsia="zh-CN"/>
        </w:rPr>
      </w:pPr>
      <w:bookmarkStart w:id="28" w:name="_Toc16395"/>
      <w:bookmarkStart w:id="29" w:name="_Toc7314"/>
      <w:r>
        <w:rPr>
          <w:rFonts w:hint="eastAsia" w:ascii="黑体" w:hAnsi="黑体" w:eastAsia="黑体" w:cs="宋体"/>
          <w:bCs/>
          <w:kern w:val="0"/>
          <w:sz w:val="32"/>
          <w:szCs w:val="32"/>
          <w:highlight w:val="none"/>
          <w:lang w:eastAsia="zh-CN"/>
        </w:rPr>
        <w:t>十</w:t>
      </w:r>
      <w:r>
        <w:rPr>
          <w:rFonts w:hint="eastAsia" w:ascii="黑体" w:hAnsi="黑体" w:eastAsia="黑体" w:cs="宋体"/>
          <w:bCs/>
          <w:kern w:val="0"/>
          <w:sz w:val="32"/>
          <w:szCs w:val="32"/>
          <w:highlight w:val="none"/>
        </w:rPr>
        <w:t>、其他重要事项的情况</w:t>
      </w:r>
      <w:r>
        <w:rPr>
          <w:rFonts w:hint="eastAsia" w:ascii="黑体" w:hAnsi="黑体" w:eastAsia="黑体" w:cs="宋体"/>
          <w:bCs/>
          <w:kern w:val="0"/>
          <w:sz w:val="32"/>
          <w:szCs w:val="32"/>
          <w:highlight w:val="none"/>
          <w:lang w:eastAsia="zh-CN"/>
        </w:rPr>
        <w:t>说明</w:t>
      </w:r>
      <w:bookmarkEnd w:id="28"/>
      <w:bookmarkEnd w:id="29"/>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rPr>
      </w:pPr>
      <w:bookmarkStart w:id="30" w:name="_Toc21748"/>
      <w:bookmarkStart w:id="31" w:name="_Toc13105"/>
      <w:r>
        <w:rPr>
          <w:rFonts w:hint="eastAsia" w:ascii="黑体" w:hAnsi="黑体" w:eastAsia="黑体"/>
          <w:sz w:val="32"/>
          <w:szCs w:val="32"/>
          <w:highlight w:val="none"/>
          <w:lang w:eastAsia="zh-CN"/>
        </w:rPr>
        <w:t>（一）</w:t>
      </w:r>
      <w:r>
        <w:rPr>
          <w:rFonts w:hint="eastAsia" w:ascii="黑体" w:hAnsi="黑体" w:eastAsia="黑体"/>
          <w:sz w:val="32"/>
          <w:szCs w:val="32"/>
          <w:highlight w:val="none"/>
        </w:rPr>
        <w:t>机关运行经费</w:t>
      </w:r>
      <w:r>
        <w:rPr>
          <w:rFonts w:hint="eastAsia" w:ascii="黑体" w:hAnsi="黑体" w:eastAsia="黑体"/>
          <w:sz w:val="32"/>
          <w:szCs w:val="32"/>
          <w:highlight w:val="none"/>
          <w:lang w:val="en-US" w:eastAsia="zh-CN"/>
        </w:rPr>
        <w:t>及公用经费</w:t>
      </w:r>
      <w:r>
        <w:rPr>
          <w:rFonts w:hint="eastAsia" w:ascii="黑体" w:hAnsi="黑体" w:eastAsia="黑体"/>
          <w:sz w:val="32"/>
          <w:szCs w:val="32"/>
          <w:highlight w:val="none"/>
        </w:rPr>
        <w:t>支出情况</w:t>
      </w:r>
      <w:bookmarkEnd w:id="30"/>
      <w:bookmarkEnd w:id="31"/>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spacing w:val="0"/>
          <w:sz w:val="32"/>
          <w:szCs w:val="32"/>
          <w:highlight w:val="none"/>
          <w:lang w:eastAsia="zh-CN"/>
        </w:rPr>
        <w:t>2024年度</w:t>
      </w:r>
      <w:r>
        <w:rPr>
          <w:rFonts w:hint="eastAsia" w:ascii="仿宋_GB2312" w:eastAsia="仿宋_GB2312"/>
          <w:sz w:val="32"/>
          <w:szCs w:val="32"/>
          <w:highlight w:val="none"/>
          <w:lang w:val="en-US" w:eastAsia="zh-CN"/>
        </w:rPr>
        <w:t>库尔勒市应急管理局</w:t>
      </w:r>
      <w:r>
        <w:rPr>
          <w:rFonts w:hint="eastAsia" w:ascii="仿宋_GB2312" w:eastAsia="仿宋_GB2312"/>
          <w:sz w:val="32"/>
          <w:szCs w:val="32"/>
          <w:highlight w:val="none"/>
          <w:lang w:eastAsia="zh-CN"/>
        </w:rPr>
        <w:t>公用经费</w:t>
      </w:r>
      <w:r>
        <w:rPr>
          <w:rFonts w:hint="eastAsia" w:ascii="仿宋_GB2312" w:eastAsia="仿宋_GB2312"/>
          <w:sz w:val="32"/>
          <w:szCs w:val="32"/>
          <w:highlight w:val="none"/>
        </w:rPr>
        <w:t>支出34.41万元，比上年减少379.27万元，</w:t>
      </w:r>
      <w:r>
        <w:rPr>
          <w:rFonts w:hint="eastAsia" w:ascii="仿宋_GB2312" w:eastAsia="仿宋_GB2312"/>
          <w:sz w:val="32"/>
          <w:szCs w:val="32"/>
          <w:highlight w:val="none"/>
          <w:lang w:eastAsia="zh-CN"/>
        </w:rPr>
        <w:t>下降</w:t>
      </w:r>
      <w:r>
        <w:rPr>
          <w:rFonts w:hint="eastAsia" w:ascii="仿宋_GB2312" w:eastAsia="仿宋_GB2312"/>
          <w:sz w:val="32"/>
          <w:szCs w:val="32"/>
          <w:highlight w:val="none"/>
        </w:rPr>
        <w:t>91.68%，主要原因是</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2024年4月劳务派遣性事业岗人员已列入其他临聘人员系统里，导致</w:t>
      </w:r>
      <w:r>
        <w:rPr>
          <w:rFonts w:hint="eastAsia" w:ascii="仿宋_GB2312" w:eastAsia="仿宋_GB2312"/>
          <w:sz w:val="32"/>
          <w:szCs w:val="32"/>
          <w:highlight w:val="none"/>
          <w:lang w:val="en-US" w:eastAsia="zh-CN"/>
        </w:rPr>
        <w:t>比去年减少</w:t>
      </w:r>
      <w:r>
        <w:rPr>
          <w:rFonts w:hint="eastAsia" w:ascii="仿宋_GB2312" w:eastAsia="仿宋_GB2312"/>
          <w:sz w:val="32"/>
          <w:szCs w:val="32"/>
          <w:highlight w:val="none"/>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lang w:eastAsia="zh-CN"/>
        </w:rPr>
      </w:pPr>
      <w:bookmarkStart w:id="32" w:name="_Toc26704"/>
      <w:bookmarkStart w:id="33" w:name="_Toc25177"/>
      <w:r>
        <w:rPr>
          <w:rFonts w:hint="eastAsia" w:ascii="黑体" w:hAnsi="黑体" w:eastAsia="黑体"/>
          <w:sz w:val="32"/>
          <w:szCs w:val="32"/>
          <w:highlight w:val="none"/>
          <w:lang w:eastAsia="zh-CN"/>
        </w:rPr>
        <w:t>（二）政府采购情况</w:t>
      </w:r>
      <w:bookmarkEnd w:id="32"/>
      <w:bookmarkEnd w:id="33"/>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spacing w:val="0"/>
          <w:sz w:val="32"/>
          <w:szCs w:val="32"/>
          <w:highlight w:val="none"/>
          <w:lang w:eastAsia="zh-CN"/>
        </w:rPr>
        <w:t>2024年度</w:t>
      </w:r>
      <w:r>
        <w:rPr>
          <w:rFonts w:hint="eastAsia" w:ascii="仿宋_GB2312" w:eastAsia="仿宋_GB2312"/>
          <w:sz w:val="32"/>
          <w:szCs w:val="32"/>
          <w:highlight w:val="none"/>
        </w:rPr>
        <w:t>政府采购支出总额</w:t>
      </w:r>
      <w:r>
        <w:rPr>
          <w:rFonts w:hint="eastAsia" w:ascii="仿宋_GB2312" w:eastAsia="仿宋_GB2312"/>
          <w:sz w:val="32"/>
          <w:szCs w:val="32"/>
          <w:highlight w:val="none"/>
          <w:lang w:eastAsia="zh-CN"/>
        </w:rPr>
        <w:t>113.31</w:t>
      </w:r>
      <w:r>
        <w:rPr>
          <w:rFonts w:hint="eastAsia" w:ascii="仿宋_GB2312" w:eastAsia="仿宋_GB2312"/>
          <w:sz w:val="32"/>
          <w:szCs w:val="32"/>
          <w:highlight w:val="none"/>
        </w:rPr>
        <w:t>万元，其中：政府采购货物支出</w:t>
      </w:r>
      <w:r>
        <w:rPr>
          <w:rFonts w:hint="eastAsia" w:ascii="仿宋_GB2312" w:eastAsia="仿宋_GB2312"/>
          <w:sz w:val="32"/>
          <w:szCs w:val="32"/>
          <w:highlight w:val="none"/>
          <w:lang w:eastAsia="zh-CN"/>
        </w:rPr>
        <w:t>7.78</w:t>
      </w:r>
      <w:r>
        <w:rPr>
          <w:rFonts w:hint="eastAsia" w:ascii="仿宋_GB2312" w:eastAsia="仿宋_GB2312"/>
          <w:sz w:val="32"/>
          <w:szCs w:val="32"/>
          <w:highlight w:val="none"/>
        </w:rPr>
        <w:t>万元、政府采购工程支出</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万元、政府采购服务支出</w:t>
      </w:r>
      <w:r>
        <w:rPr>
          <w:rFonts w:hint="eastAsia" w:ascii="仿宋_GB2312" w:eastAsia="仿宋_GB2312"/>
          <w:sz w:val="32"/>
          <w:szCs w:val="32"/>
          <w:highlight w:val="none"/>
          <w:lang w:eastAsia="zh-CN"/>
        </w:rPr>
        <w:t>105.53</w:t>
      </w:r>
      <w:r>
        <w:rPr>
          <w:rFonts w:hint="eastAsia" w:ascii="仿宋_GB2312" w:eastAsia="仿宋_GB2312"/>
          <w:sz w:val="32"/>
          <w:szCs w:val="32"/>
          <w:highlight w:val="none"/>
        </w:rPr>
        <w:t>万元。</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lang w:val="en-US" w:eastAsia="zh-CN"/>
        </w:rPr>
      </w:pPr>
      <w:r>
        <w:rPr>
          <w:rFonts w:hint="eastAsia" w:ascii="仿宋_GB2312" w:eastAsia="仿宋_GB2312"/>
          <w:sz w:val="32"/>
          <w:szCs w:val="32"/>
          <w:highlight w:val="none"/>
        </w:rPr>
        <w:t>授予中小企业合同金额</w:t>
      </w:r>
      <w:r>
        <w:rPr>
          <w:rFonts w:hint="eastAsia" w:ascii="仿宋_GB2312" w:eastAsia="仿宋_GB2312"/>
          <w:sz w:val="32"/>
          <w:szCs w:val="32"/>
          <w:highlight w:val="none"/>
          <w:lang w:eastAsia="zh-CN"/>
        </w:rPr>
        <w:t>14.49</w:t>
      </w:r>
      <w:r>
        <w:rPr>
          <w:rFonts w:hint="eastAsia" w:ascii="仿宋_GB2312" w:eastAsia="仿宋_GB2312"/>
          <w:sz w:val="32"/>
          <w:szCs w:val="32"/>
          <w:highlight w:val="none"/>
        </w:rPr>
        <w:t>万元，占政府采购支出总额的</w:t>
      </w:r>
      <w:r>
        <w:rPr>
          <w:rFonts w:hint="eastAsia" w:ascii="仿宋_GB2312" w:eastAsia="仿宋_GB2312"/>
          <w:sz w:val="32"/>
          <w:szCs w:val="32"/>
          <w:highlight w:val="none"/>
          <w:lang w:eastAsia="zh-CN"/>
        </w:rPr>
        <w:t>12.79</w:t>
      </w:r>
      <w:r>
        <w:rPr>
          <w:rFonts w:hint="eastAsia" w:ascii="仿宋_GB2312" w:eastAsia="仿宋_GB2312"/>
          <w:sz w:val="32"/>
          <w:szCs w:val="32"/>
          <w:highlight w:val="none"/>
          <w:lang w:val="en-US" w:eastAsia="zh-CN"/>
        </w:rPr>
        <w:t>%</w:t>
      </w:r>
      <w:r>
        <w:rPr>
          <w:rFonts w:hint="eastAsia" w:ascii="仿宋_GB2312" w:eastAsia="仿宋_GB2312"/>
          <w:sz w:val="32"/>
          <w:szCs w:val="32"/>
          <w:highlight w:val="none"/>
        </w:rPr>
        <w:t>，其中：授予小微企业合同金额</w:t>
      </w:r>
      <w:r>
        <w:rPr>
          <w:rFonts w:hint="eastAsia" w:ascii="仿宋_GB2312" w:eastAsia="仿宋_GB2312"/>
          <w:sz w:val="32"/>
          <w:szCs w:val="32"/>
          <w:highlight w:val="none"/>
          <w:lang w:eastAsia="zh-CN"/>
        </w:rPr>
        <w:t>9.59</w:t>
      </w:r>
      <w:r>
        <w:rPr>
          <w:rFonts w:hint="eastAsia" w:ascii="仿宋_GB2312" w:eastAsia="仿宋_GB2312"/>
          <w:sz w:val="32"/>
          <w:szCs w:val="32"/>
          <w:highlight w:val="none"/>
        </w:rPr>
        <w:t>万元，占政府采购支出总额的</w:t>
      </w:r>
      <w:r>
        <w:rPr>
          <w:rFonts w:hint="eastAsia" w:ascii="仿宋_GB2312" w:eastAsia="仿宋_GB2312"/>
          <w:sz w:val="32"/>
          <w:szCs w:val="32"/>
          <w:highlight w:val="none"/>
          <w:lang w:eastAsia="zh-CN"/>
        </w:rPr>
        <w:t>8.46</w:t>
      </w:r>
      <w:r>
        <w:rPr>
          <w:rFonts w:hint="eastAsia" w:ascii="仿宋_GB2312" w:eastAsia="仿宋_GB2312"/>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textAlignment w:val="auto"/>
        <w:outlineLvl w:val="2"/>
        <w:rPr>
          <w:rFonts w:hint="eastAsia" w:ascii="黑体" w:hAnsi="黑体" w:eastAsia="黑体"/>
          <w:sz w:val="32"/>
          <w:szCs w:val="32"/>
          <w:highlight w:val="none"/>
          <w:lang w:eastAsia="zh-CN"/>
        </w:rPr>
      </w:pPr>
      <w:bookmarkStart w:id="34" w:name="_Toc4591"/>
      <w:bookmarkStart w:id="35" w:name="_Toc31294"/>
      <w:r>
        <w:rPr>
          <w:rFonts w:hint="eastAsia" w:ascii="黑体" w:hAnsi="黑体" w:eastAsia="黑体"/>
          <w:sz w:val="32"/>
          <w:szCs w:val="32"/>
          <w:highlight w:val="none"/>
          <w:lang w:eastAsia="zh-CN"/>
        </w:rPr>
        <w:t>（三）国有资产占用情况说明</w:t>
      </w:r>
      <w:bookmarkEnd w:id="34"/>
      <w:bookmarkEnd w:id="35"/>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sz w:val="32"/>
          <w:szCs w:val="32"/>
          <w:highlight w:val="none"/>
          <w:lang w:val="en-US" w:eastAsia="zh-CN"/>
        </w:rPr>
        <w:t>截至</w:t>
      </w:r>
      <w:r>
        <w:rPr>
          <w:rFonts w:hint="eastAsia" w:ascii="仿宋_GB2312" w:eastAsia="仿宋_GB2312"/>
          <w:spacing w:val="0"/>
          <w:sz w:val="32"/>
          <w:szCs w:val="32"/>
          <w:highlight w:val="none"/>
          <w:lang w:val="en-US" w:eastAsia="zh-CN"/>
        </w:rPr>
        <w:t>2024</w:t>
      </w:r>
      <w:r>
        <w:rPr>
          <w:rFonts w:hint="eastAsia" w:ascii="仿宋_GB2312" w:eastAsia="仿宋_GB2312"/>
          <w:spacing w:val="0"/>
          <w:sz w:val="32"/>
          <w:szCs w:val="32"/>
          <w:highlight w:val="none"/>
          <w:lang w:eastAsia="zh-CN"/>
        </w:rPr>
        <w:t>年</w:t>
      </w:r>
      <w:r>
        <w:rPr>
          <w:rFonts w:hint="eastAsia" w:ascii="仿宋_GB2312" w:eastAsia="仿宋_GB2312"/>
          <w:spacing w:val="0"/>
          <w:sz w:val="32"/>
          <w:szCs w:val="32"/>
          <w:highlight w:val="none"/>
          <w:lang w:val="en-US" w:eastAsia="zh-CN"/>
        </w:rPr>
        <w:t>12月31日</w:t>
      </w:r>
      <w:r>
        <w:rPr>
          <w:rFonts w:hint="eastAsia" w:ascii="仿宋_GB2312" w:eastAsia="仿宋_GB2312"/>
          <w:spacing w:val="0"/>
          <w:sz w:val="32"/>
          <w:szCs w:val="32"/>
          <w:highlight w:val="none"/>
          <w:lang w:eastAsia="zh-CN"/>
        </w:rPr>
        <w:t>，</w:t>
      </w:r>
      <w:r>
        <w:rPr>
          <w:rFonts w:hint="eastAsia" w:ascii="仿宋_GB2312" w:eastAsia="仿宋_GB2312"/>
          <w:sz w:val="32"/>
          <w:szCs w:val="32"/>
          <w:highlight w:val="none"/>
          <w:lang w:val="en-US" w:eastAsia="zh-CN"/>
        </w:rPr>
        <w:t>房</w:t>
      </w:r>
      <w:r>
        <w:rPr>
          <w:rFonts w:hint="eastAsia" w:ascii="仿宋_GB2312" w:eastAsia="仿宋_GB2312"/>
          <w:sz w:val="32"/>
          <w:szCs w:val="32"/>
          <w:highlight w:val="none"/>
        </w:rPr>
        <w:t>屋</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平方米</w:t>
      </w:r>
      <w:r>
        <w:rPr>
          <w:rFonts w:hint="eastAsia" w:ascii="仿宋_GB2312" w:eastAsia="仿宋_GB2312"/>
          <w:sz w:val="32"/>
          <w:szCs w:val="32"/>
          <w:highlight w:val="none"/>
          <w:lang w:eastAsia="zh-CN"/>
        </w:rPr>
        <w:t>，价值</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万元</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车辆</w:t>
      </w:r>
      <w:r>
        <w:rPr>
          <w:rFonts w:hint="eastAsia" w:ascii="仿宋_GB2312" w:eastAsia="仿宋_GB2312"/>
          <w:sz w:val="32"/>
          <w:szCs w:val="32"/>
          <w:highlight w:val="none"/>
          <w:lang w:val="en-US" w:eastAsia="zh-CN"/>
        </w:rPr>
        <w:t>5</w:t>
      </w:r>
      <w:r>
        <w:rPr>
          <w:rFonts w:hint="eastAsia" w:ascii="仿宋_GB2312" w:eastAsia="仿宋_GB2312"/>
          <w:sz w:val="32"/>
          <w:szCs w:val="32"/>
          <w:highlight w:val="none"/>
        </w:rPr>
        <w:t>辆，价值116.34万元，其中：副部（省）级及以上领导用车</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辆、主要</w:t>
      </w:r>
      <w:r>
        <w:rPr>
          <w:rFonts w:hint="eastAsia" w:ascii="仿宋_GB2312" w:eastAsia="仿宋_GB2312"/>
          <w:sz w:val="32"/>
          <w:szCs w:val="32"/>
          <w:highlight w:val="none"/>
          <w:lang w:val="en-US" w:eastAsia="zh-CN"/>
        </w:rPr>
        <w:t>负责人</w:t>
      </w:r>
      <w:r>
        <w:rPr>
          <w:rFonts w:hint="eastAsia" w:ascii="仿宋_GB2312" w:eastAsia="仿宋_GB2312"/>
          <w:sz w:val="32"/>
          <w:szCs w:val="32"/>
          <w:highlight w:val="none"/>
        </w:rPr>
        <w:t>用车</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辆、机要通信用车</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辆、应急保障用车</w:t>
      </w:r>
      <w:r>
        <w:rPr>
          <w:rFonts w:hint="eastAsia" w:ascii="仿宋_GB2312" w:eastAsia="仿宋_GB2312"/>
          <w:sz w:val="32"/>
          <w:szCs w:val="32"/>
          <w:highlight w:val="none"/>
          <w:lang w:val="en-US" w:eastAsia="zh-CN"/>
        </w:rPr>
        <w:t>1</w:t>
      </w:r>
      <w:r>
        <w:rPr>
          <w:rFonts w:hint="eastAsia" w:ascii="仿宋_GB2312" w:eastAsia="仿宋_GB2312"/>
          <w:sz w:val="32"/>
          <w:szCs w:val="32"/>
          <w:highlight w:val="none"/>
        </w:rPr>
        <w:t>辆、执法执勤用车</w:t>
      </w:r>
      <w:r>
        <w:rPr>
          <w:rFonts w:hint="eastAsia" w:ascii="仿宋_GB2312" w:eastAsia="仿宋_GB2312"/>
          <w:sz w:val="32"/>
          <w:szCs w:val="32"/>
          <w:highlight w:val="none"/>
          <w:lang w:val="en-US" w:eastAsia="zh-CN"/>
        </w:rPr>
        <w:t>3</w:t>
      </w:r>
      <w:r>
        <w:rPr>
          <w:rFonts w:hint="eastAsia" w:ascii="仿宋_GB2312" w:eastAsia="仿宋_GB2312"/>
          <w:sz w:val="32"/>
          <w:szCs w:val="32"/>
          <w:highlight w:val="none"/>
        </w:rPr>
        <w:t>辆、特种专业技术用车</w:t>
      </w:r>
      <w:r>
        <w:rPr>
          <w:rFonts w:hint="eastAsia" w:ascii="仿宋_GB2312" w:eastAsia="仿宋_GB2312"/>
          <w:sz w:val="32"/>
          <w:szCs w:val="32"/>
          <w:highlight w:val="none"/>
          <w:lang w:val="en-US" w:eastAsia="zh-CN"/>
        </w:rPr>
        <w:t>1</w:t>
      </w:r>
      <w:r>
        <w:rPr>
          <w:rFonts w:hint="eastAsia" w:ascii="仿宋_GB2312" w:eastAsia="仿宋_GB2312"/>
          <w:sz w:val="32"/>
          <w:szCs w:val="32"/>
          <w:highlight w:val="none"/>
        </w:rPr>
        <w:t>辆、离退休干部</w:t>
      </w:r>
      <w:r>
        <w:rPr>
          <w:rFonts w:hint="eastAsia" w:ascii="仿宋_GB2312" w:eastAsia="仿宋_GB2312"/>
          <w:sz w:val="32"/>
          <w:szCs w:val="32"/>
          <w:highlight w:val="none"/>
          <w:lang w:val="en-US" w:eastAsia="zh-CN"/>
        </w:rPr>
        <w:t>服务</w:t>
      </w:r>
      <w:r>
        <w:rPr>
          <w:rFonts w:hint="eastAsia" w:ascii="仿宋_GB2312" w:eastAsia="仿宋_GB2312"/>
          <w:sz w:val="32"/>
          <w:szCs w:val="32"/>
          <w:highlight w:val="none"/>
        </w:rPr>
        <w:t>用车</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辆、其他用车</w:t>
      </w:r>
      <w:r>
        <w:rPr>
          <w:rFonts w:hint="eastAsia" w:ascii="仿宋_GB2312" w:eastAsia="仿宋_GB2312"/>
          <w:sz w:val="32"/>
          <w:szCs w:val="32"/>
          <w:highlight w:val="none"/>
          <w:lang w:val="en-US" w:eastAsia="zh-CN"/>
        </w:rPr>
        <w:t>0</w:t>
      </w:r>
      <w:r>
        <w:rPr>
          <w:rFonts w:hint="eastAsia" w:ascii="仿宋_GB2312" w:eastAsia="仿宋_GB2312"/>
          <w:sz w:val="32"/>
          <w:szCs w:val="32"/>
          <w:highlight w:val="none"/>
        </w:rPr>
        <w:t>辆，其他用车主要是：我单位无其他用车；单价100万元（含）以上设备（不含车辆）</w:t>
      </w:r>
      <w:r>
        <w:rPr>
          <w:rFonts w:hint="eastAsia" w:ascii="仿宋_GB2312" w:eastAsia="仿宋_GB2312"/>
          <w:sz w:val="32"/>
          <w:szCs w:val="32"/>
          <w:highlight w:val="none"/>
          <w:lang w:val="en-US" w:eastAsia="zh-CN"/>
        </w:rPr>
        <w:t>0台</w:t>
      </w:r>
      <w:r>
        <w:rPr>
          <w:rFonts w:hint="eastAsia" w:ascii="仿宋_GB2312" w:eastAsia="仿宋_GB2312"/>
          <w:sz w:val="32"/>
          <w:szCs w:val="32"/>
          <w:highlight w:val="none"/>
        </w:rPr>
        <w:t>。</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kern w:val="0"/>
          <w:sz w:val="32"/>
          <w:szCs w:val="32"/>
          <w:highlight w:val="yellow"/>
          <w:lang w:eastAsia="zh-CN"/>
        </w:rPr>
      </w:pPr>
      <w:bookmarkStart w:id="36" w:name="_Toc17664"/>
      <w:bookmarkStart w:id="37" w:name="_Toc435"/>
      <w:r>
        <w:rPr>
          <w:rFonts w:hint="eastAsia" w:ascii="黑体" w:hAnsi="黑体" w:eastAsia="黑体" w:cs="宋体"/>
          <w:bCs/>
          <w:kern w:val="0"/>
          <w:sz w:val="32"/>
          <w:szCs w:val="32"/>
          <w:highlight w:val="none"/>
          <w:lang w:eastAsia="zh-CN"/>
        </w:rPr>
        <w:t>十</w:t>
      </w:r>
      <w:r>
        <w:rPr>
          <w:rFonts w:hint="eastAsia" w:ascii="黑体" w:hAnsi="黑体" w:eastAsia="黑体" w:cs="宋体"/>
          <w:bCs/>
          <w:kern w:val="0"/>
          <w:sz w:val="32"/>
          <w:szCs w:val="32"/>
          <w:highlight w:val="none"/>
          <w:lang w:val="en-US" w:eastAsia="zh-CN"/>
        </w:rPr>
        <w:t>一</w:t>
      </w:r>
      <w:r>
        <w:rPr>
          <w:rFonts w:hint="eastAsia" w:ascii="黑体" w:hAnsi="黑体" w:eastAsia="黑体" w:cs="宋体"/>
          <w:bCs/>
          <w:kern w:val="0"/>
          <w:sz w:val="32"/>
          <w:szCs w:val="32"/>
          <w:highlight w:val="none"/>
          <w:lang w:eastAsia="zh-CN"/>
        </w:rPr>
        <w:t>、预算绩效的情况说明</w:t>
      </w:r>
      <w:bookmarkEnd w:id="36"/>
      <w:bookmarkEnd w:id="37"/>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eastAsia="仿宋_GB2312"/>
          <w:sz w:val="32"/>
          <w:szCs w:val="32"/>
          <w:highlight w:val="none"/>
        </w:rPr>
      </w:pPr>
      <w:r>
        <w:rPr>
          <w:rFonts w:hint="eastAsia" w:ascii="仿宋_GB2312" w:eastAsia="仿宋_GB2312"/>
          <w:color w:val="auto"/>
          <w:sz w:val="32"/>
          <w:szCs w:val="32"/>
          <w:highlight w:val="none"/>
          <w:lang w:eastAsia="zh-CN"/>
        </w:rPr>
        <w:t>根据预算绩效管理要求，我</w:t>
      </w:r>
      <w:r>
        <w:rPr>
          <w:rFonts w:hint="eastAsia" w:ascii="仿宋_GB2312" w:eastAsia="仿宋_GB2312"/>
          <w:color w:val="auto"/>
          <w:sz w:val="32"/>
          <w:szCs w:val="32"/>
          <w:highlight w:val="none"/>
          <w:lang w:val="en-US" w:eastAsia="zh-CN"/>
        </w:rPr>
        <w:t>部门</w:t>
      </w:r>
      <w:r>
        <w:rPr>
          <w:rFonts w:hint="eastAsia" w:ascii="仿宋_GB2312" w:eastAsia="仿宋_GB2312"/>
          <w:color w:val="auto"/>
          <w:sz w:val="32"/>
          <w:szCs w:val="32"/>
          <w:highlight w:val="none"/>
          <w:lang w:eastAsia="zh-CN"/>
        </w:rPr>
        <w:t>202</w:t>
      </w:r>
      <w:r>
        <w:rPr>
          <w:rFonts w:hint="eastAsia" w:ascii="仿宋_GB2312" w:eastAsia="仿宋_GB2312"/>
          <w:color w:val="auto"/>
          <w:sz w:val="32"/>
          <w:szCs w:val="32"/>
          <w:highlight w:val="none"/>
          <w:lang w:val="en-US" w:eastAsia="zh-CN"/>
        </w:rPr>
        <w:t>4</w:t>
      </w:r>
      <w:r>
        <w:rPr>
          <w:rFonts w:hint="eastAsia" w:ascii="仿宋_GB2312" w:eastAsia="仿宋_GB2312"/>
          <w:color w:val="auto"/>
          <w:sz w:val="32"/>
          <w:szCs w:val="32"/>
          <w:highlight w:val="none"/>
          <w:lang w:eastAsia="zh-CN"/>
        </w:rPr>
        <w:t>年度</w:t>
      </w:r>
      <w:r>
        <w:rPr>
          <w:rFonts w:hint="eastAsia" w:ascii="仿宋_GB2312" w:hAnsi="仿宋_GB2312" w:eastAsia="仿宋_GB2312" w:cs="仿宋_GB2312"/>
          <w:color w:val="auto"/>
          <w:kern w:val="0"/>
          <w:sz w:val="32"/>
          <w:szCs w:val="32"/>
          <w:highlight w:val="none"/>
        </w:rPr>
        <w:t>预算绩效管理整体</w:t>
      </w:r>
      <w:r>
        <w:rPr>
          <w:rFonts w:hint="eastAsia" w:ascii="仿宋_GB2312" w:hAnsi="仿宋_GB2312" w:eastAsia="仿宋_GB2312" w:cs="仿宋_GB2312"/>
          <w:color w:val="auto"/>
          <w:kern w:val="0"/>
          <w:sz w:val="32"/>
          <w:szCs w:val="32"/>
          <w:highlight w:val="none"/>
          <w:lang w:val="en-US" w:eastAsia="zh-CN"/>
        </w:rPr>
        <w:t>支出</w:t>
      </w:r>
      <w:r>
        <w:rPr>
          <w:rFonts w:hint="eastAsia" w:ascii="仿宋_GB2312" w:hAnsi="仿宋_GB2312" w:eastAsia="仿宋_GB2312" w:cs="仿宋_GB2312"/>
          <w:color w:val="auto"/>
          <w:kern w:val="0"/>
          <w:sz w:val="32"/>
          <w:szCs w:val="32"/>
          <w:highlight w:val="none"/>
        </w:rPr>
        <w:t>绩效自评表</w:t>
      </w:r>
      <w:r>
        <w:rPr>
          <w:rFonts w:hint="eastAsia" w:ascii="仿宋_GB2312" w:eastAsia="仿宋_GB2312"/>
          <w:color w:val="auto"/>
          <w:sz w:val="32"/>
          <w:szCs w:val="32"/>
          <w:highlight w:val="none"/>
          <w:lang w:val="en-US" w:eastAsia="zh-CN"/>
        </w:rPr>
        <w:t>1</w:t>
      </w:r>
      <w:r>
        <w:rPr>
          <w:rFonts w:hint="eastAsia" w:ascii="仿宋_GB2312" w:hAnsi="仿宋_GB2312" w:eastAsia="仿宋_GB2312" w:cs="仿宋_GB2312"/>
          <w:color w:val="auto"/>
          <w:kern w:val="0"/>
          <w:sz w:val="32"/>
          <w:szCs w:val="32"/>
          <w:highlight w:val="none"/>
          <w:lang w:val="en-US" w:eastAsia="zh-CN"/>
        </w:rPr>
        <w:t>个，全年</w:t>
      </w:r>
      <w:r>
        <w:rPr>
          <w:rFonts w:hint="eastAsia" w:ascii="仿宋_GB2312" w:eastAsia="仿宋_GB2312"/>
          <w:color w:val="auto"/>
          <w:sz w:val="32"/>
          <w:szCs w:val="32"/>
          <w:highlight w:val="none"/>
          <w:lang w:val="en-US" w:eastAsia="zh-CN"/>
        </w:rPr>
        <w:t>预算总额1619.26</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none"/>
          <w:lang w:val="en-US" w:eastAsia="zh-CN"/>
        </w:rPr>
        <w:t>实际执行总额1619.26</w:t>
      </w:r>
      <w:r>
        <w:rPr>
          <w:rFonts w:hint="eastAsia" w:ascii="仿宋_GB2312" w:eastAsia="仿宋_GB2312"/>
          <w:color w:val="auto"/>
          <w:sz w:val="32"/>
          <w:szCs w:val="32"/>
          <w:highlight w:val="none"/>
        </w:rPr>
        <w:t>万元</w:t>
      </w:r>
      <w:r>
        <w:rPr>
          <w:rFonts w:hint="eastAsia" w:ascii="仿宋_GB2312" w:hAnsi="仿宋_GB2312" w:eastAsia="仿宋_GB2312" w:cs="仿宋_GB2312"/>
          <w:color w:val="auto"/>
          <w:kern w:val="0"/>
          <w:sz w:val="32"/>
          <w:szCs w:val="32"/>
          <w:highlight w:val="none"/>
          <w:lang w:val="en-US" w:eastAsia="zh-CN"/>
        </w:rPr>
        <w:t>；</w:t>
      </w:r>
      <w:r>
        <w:rPr>
          <w:rFonts w:hint="eastAsia" w:ascii="仿宋_GB2312" w:eastAsia="仿宋_GB2312"/>
          <w:color w:val="auto"/>
          <w:sz w:val="32"/>
          <w:szCs w:val="32"/>
          <w:highlight w:val="none"/>
          <w:lang w:eastAsia="zh-CN"/>
        </w:rPr>
        <w:t>预算绩效评价项目</w:t>
      </w:r>
      <w:r>
        <w:rPr>
          <w:rFonts w:hint="eastAsia" w:ascii="仿宋_GB2312" w:eastAsia="仿宋_GB2312"/>
          <w:color w:val="auto"/>
          <w:sz w:val="32"/>
          <w:szCs w:val="32"/>
          <w:highlight w:val="none"/>
          <w:lang w:val="en-US" w:eastAsia="zh-CN"/>
        </w:rPr>
        <w:t>3</w:t>
      </w:r>
      <w:r>
        <w:rPr>
          <w:rFonts w:hint="eastAsia" w:ascii="仿宋_GB2312" w:eastAsia="仿宋_GB2312"/>
          <w:color w:val="auto"/>
          <w:sz w:val="32"/>
          <w:szCs w:val="32"/>
          <w:highlight w:val="none"/>
          <w:lang w:eastAsia="zh-CN"/>
        </w:rPr>
        <w:t>个，全年预算数</w:t>
      </w:r>
      <w:r>
        <w:rPr>
          <w:rFonts w:hint="eastAsia" w:ascii="仿宋_GB2312" w:eastAsia="仿宋_GB2312"/>
          <w:color w:val="auto"/>
          <w:sz w:val="32"/>
          <w:szCs w:val="32"/>
          <w:highlight w:val="none"/>
          <w:lang w:val="en-US" w:eastAsia="zh-CN"/>
        </w:rPr>
        <w:t>230.86</w:t>
      </w:r>
      <w:r>
        <w:rPr>
          <w:rFonts w:hint="eastAsia" w:ascii="仿宋_GB2312" w:eastAsia="仿宋_GB2312"/>
          <w:color w:val="auto"/>
          <w:sz w:val="32"/>
          <w:szCs w:val="32"/>
          <w:highlight w:val="none"/>
          <w:lang w:eastAsia="zh-CN"/>
        </w:rPr>
        <w:t>万元，全年执行数</w:t>
      </w:r>
      <w:r>
        <w:rPr>
          <w:rFonts w:hint="eastAsia" w:ascii="仿宋_GB2312" w:eastAsia="仿宋_GB2312"/>
          <w:color w:val="auto"/>
          <w:sz w:val="32"/>
          <w:szCs w:val="32"/>
          <w:highlight w:val="none"/>
          <w:lang w:val="en-US" w:eastAsia="zh-CN"/>
        </w:rPr>
        <w:t>104.92</w:t>
      </w:r>
      <w:r>
        <w:rPr>
          <w:rFonts w:hint="eastAsia" w:ascii="仿宋_GB2312" w:eastAsia="仿宋_GB2312"/>
          <w:color w:val="auto"/>
          <w:sz w:val="32"/>
          <w:szCs w:val="32"/>
          <w:highlight w:val="none"/>
          <w:lang w:eastAsia="zh-CN"/>
        </w:rPr>
        <w:t>万元。预算绩效管理取得的成效：</w:t>
      </w:r>
      <w:r>
        <w:rPr>
          <w:rFonts w:hint="eastAsia" w:ascii="仿宋_GB2312" w:eastAsia="仿宋_GB2312"/>
          <w:sz w:val="32"/>
          <w:szCs w:val="32"/>
          <w:highlight w:val="none"/>
          <w:lang w:eastAsia="zh-CN"/>
        </w:rPr>
        <w:t>一是提高了市民对安全生产、防灾减灾、应急常识的认知能力和知晓率；二是减少了企业安全生产事故发生率。发现的问题及原因：一是绩效指标设置不够明确；二是固定资产账务管理不够细致、严谨。下一步改进措施：为顺利推进本单位预算绩效管理工作，确保绩效目标实现，提高财政资金使用效益，下一步我单位将不断完善绩效评价和评价体系，具体措施如下：1、继续加强项目实时监控，严格按照相关要求对相关项目的资金进行使用，确保资金使用及时有效。2、继续加强项目开展进度的跟踪，提前做好预算及资金的支付计划，保证项目顺利开展的同时资金使用规范合理。3、财务分管领导及时与主要领导汇预算绩效评价工作，统筹好各科室按照职责分工做好绩效监控。4、督促财务人员积极参加财政部门举办的各类有关财务的培训班。具体</w:t>
      </w:r>
      <w:r>
        <w:rPr>
          <w:rFonts w:hint="eastAsia" w:ascii="仿宋_GB2312" w:eastAsia="仿宋_GB2312"/>
          <w:sz w:val="32"/>
          <w:szCs w:val="32"/>
          <w:highlight w:val="none"/>
        </w:rPr>
        <w:t>项目自评情况附绩效自评表</w:t>
      </w:r>
      <w:r>
        <w:rPr>
          <w:rFonts w:hint="eastAsia" w:ascii="仿宋_GB2312" w:eastAsia="仿宋_GB2312"/>
          <w:sz w:val="32"/>
          <w:szCs w:val="32"/>
          <w:highlight w:val="none"/>
          <w:lang w:val="en-US" w:eastAsia="zh-CN"/>
        </w:rPr>
        <w:t>及自评报告</w:t>
      </w:r>
      <w:r>
        <w:rPr>
          <w:rFonts w:hint="eastAsia" w:ascii="仿宋_GB2312" w:eastAsia="仿宋_GB2312"/>
          <w:sz w:val="32"/>
          <w:szCs w:val="32"/>
          <w:highlight w:val="none"/>
        </w:rPr>
        <w:t>。</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黑体" w:hAnsi="黑体" w:eastAsia="黑体" w:cs="宋体"/>
          <w:bCs/>
          <w:kern w:val="0"/>
          <w:sz w:val="32"/>
          <w:szCs w:val="32"/>
          <w:highlight w:val="none"/>
          <w:lang w:eastAsia="zh-CN"/>
        </w:rPr>
      </w:pPr>
      <w:r>
        <w:rPr>
          <w:rFonts w:hint="eastAsia" w:ascii="黑体" w:hAnsi="黑体" w:eastAsia="黑体" w:cs="宋体"/>
          <w:bCs/>
          <w:kern w:val="0"/>
          <w:sz w:val="32"/>
          <w:szCs w:val="32"/>
          <w:highlight w:val="none"/>
          <w:lang w:eastAsia="zh-CN"/>
        </w:rPr>
        <w:t>十</w:t>
      </w:r>
      <w:r>
        <w:rPr>
          <w:rFonts w:hint="eastAsia" w:ascii="黑体" w:hAnsi="黑体" w:eastAsia="黑体" w:cs="宋体"/>
          <w:bCs/>
          <w:kern w:val="0"/>
          <w:sz w:val="32"/>
          <w:szCs w:val="32"/>
          <w:highlight w:val="none"/>
          <w:lang w:val="en-US" w:eastAsia="zh-CN"/>
        </w:rPr>
        <w:t>二</w:t>
      </w:r>
      <w:r>
        <w:rPr>
          <w:rFonts w:hint="eastAsia" w:ascii="黑体" w:hAnsi="黑体" w:eastAsia="黑体" w:cs="宋体"/>
          <w:bCs/>
          <w:kern w:val="0"/>
          <w:sz w:val="32"/>
          <w:szCs w:val="32"/>
          <w:highlight w:val="none"/>
          <w:lang w:eastAsia="zh-CN"/>
        </w:rPr>
        <w:t>、其他需说明的事项</w:t>
      </w:r>
    </w:p>
    <w:p>
      <w:pPr>
        <w:keepNext w:val="0"/>
        <w:keepLines w:val="0"/>
        <w:pageBreakBefore w:val="0"/>
        <w:widowControl w:val="0"/>
        <w:kinsoku/>
        <w:wordWrap/>
        <w:overflowPunct/>
        <w:topLinePunct w:val="0"/>
        <w:bidi w:val="0"/>
        <w:adjustRightInd/>
        <w:snapToGrid/>
        <w:spacing w:line="240" w:lineRule="auto"/>
        <w:ind w:firstLine="640" w:firstLineChars="200"/>
        <w:textAlignment w:val="auto"/>
        <w:rPr>
          <w:rFonts w:hint="eastAsia" w:ascii="仿宋_GB2312" w:hAnsi="仿宋_GB2312" w:eastAsia="仿宋_GB2312" w:cs="仿宋_GB2312"/>
          <w:color w:val="auto"/>
          <w:kern w:val="0"/>
          <w:sz w:val="32"/>
          <w:szCs w:val="32"/>
          <w:highlight w:val="none"/>
          <w:lang w:val="en-US" w:eastAsia="zh-CN"/>
        </w:rPr>
      </w:pPr>
      <w:r>
        <w:rPr>
          <w:rFonts w:hint="eastAsia" w:ascii="仿宋_GB2312" w:hAnsi="仿宋_GB2312" w:eastAsia="仿宋_GB2312" w:cs="仿宋_GB2312"/>
          <w:color w:val="auto"/>
          <w:kern w:val="0"/>
          <w:sz w:val="32"/>
          <w:szCs w:val="32"/>
          <w:highlight w:val="none"/>
          <w:lang w:val="en-US" w:eastAsia="zh-CN"/>
        </w:rPr>
        <w:t>本部门（单位）无其他需说明事项</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0"/>
        <w:rPr>
          <w:rFonts w:hint="eastAsia" w:ascii="黑体" w:hAnsi="黑体" w:eastAsia="黑体"/>
          <w:sz w:val="32"/>
          <w:szCs w:val="32"/>
          <w:highlight w:val="none"/>
        </w:rPr>
      </w:pPr>
      <w:bookmarkStart w:id="38" w:name="_Toc24143"/>
      <w:r>
        <w:rPr>
          <w:rFonts w:hint="eastAsia" w:ascii="黑体" w:hAnsi="黑体" w:eastAsia="黑体"/>
          <w:sz w:val="32"/>
          <w:szCs w:val="32"/>
          <w:highlight w:val="none"/>
        </w:rPr>
        <w:br w:type="page"/>
      </w:r>
      <w:bookmarkStart w:id="39" w:name="_Toc30038"/>
      <w:r>
        <w:rPr>
          <w:rFonts w:hint="eastAsia" w:ascii="黑体" w:hAnsi="黑体" w:eastAsia="黑体"/>
          <w:sz w:val="32"/>
          <w:szCs w:val="32"/>
          <w:highlight w:val="none"/>
        </w:rPr>
        <w:t>第</w:t>
      </w:r>
      <w:r>
        <w:rPr>
          <w:rFonts w:hint="eastAsia" w:ascii="黑体" w:hAnsi="黑体" w:eastAsia="黑体"/>
          <w:sz w:val="32"/>
          <w:szCs w:val="32"/>
          <w:highlight w:val="none"/>
          <w:lang w:val="en-US" w:eastAsia="zh-CN"/>
        </w:rPr>
        <w:t>三</w:t>
      </w:r>
      <w:r>
        <w:rPr>
          <w:rFonts w:hint="eastAsia" w:ascii="黑体" w:hAnsi="黑体" w:eastAsia="黑体"/>
          <w:sz w:val="32"/>
          <w:szCs w:val="32"/>
          <w:highlight w:val="none"/>
        </w:rPr>
        <w:t>部分 专业名词解释</w:t>
      </w:r>
      <w:bookmarkEnd w:id="38"/>
      <w:bookmarkEnd w:id="39"/>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一、</w:t>
      </w:r>
      <w:r>
        <w:rPr>
          <w:rFonts w:hint="eastAsia" w:ascii="仿宋_GB2312" w:eastAsia="仿宋_GB2312"/>
          <w:b/>
          <w:bCs/>
          <w:sz w:val="32"/>
          <w:szCs w:val="32"/>
          <w:highlight w:val="none"/>
        </w:rPr>
        <w:t>财政拨款收入：</w:t>
      </w:r>
      <w:r>
        <w:rPr>
          <w:rFonts w:hint="eastAsia" w:ascii="仿宋_GB2312" w:eastAsia="仿宋_GB2312"/>
          <w:sz w:val="32"/>
          <w:szCs w:val="32"/>
          <w:highlight w:val="none"/>
        </w:rPr>
        <w:t>指同级财政当年拨付的资金。</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二、</w:t>
      </w:r>
      <w:r>
        <w:rPr>
          <w:rFonts w:hint="eastAsia" w:ascii="仿宋_GB2312" w:eastAsia="仿宋_GB2312"/>
          <w:b/>
          <w:bCs/>
          <w:sz w:val="32"/>
          <w:szCs w:val="32"/>
          <w:highlight w:val="none"/>
        </w:rPr>
        <w:t>上级补助收入：</w:t>
      </w:r>
      <w:r>
        <w:rPr>
          <w:rFonts w:hint="eastAsia" w:ascii="仿宋_GB2312" w:eastAsia="仿宋_GB2312"/>
          <w:sz w:val="32"/>
          <w:szCs w:val="32"/>
          <w:highlight w:val="none"/>
        </w:rPr>
        <w:t>指事业单位从主管部门和上级单位取得的非财政补助收入。</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三、</w:t>
      </w:r>
      <w:r>
        <w:rPr>
          <w:rFonts w:hint="eastAsia" w:ascii="仿宋_GB2312" w:eastAsia="仿宋_GB2312"/>
          <w:b/>
          <w:bCs/>
          <w:sz w:val="32"/>
          <w:szCs w:val="32"/>
          <w:highlight w:val="none"/>
        </w:rPr>
        <w:t>事业收入：</w:t>
      </w:r>
      <w:r>
        <w:rPr>
          <w:rFonts w:hint="eastAsia" w:ascii="仿宋_GB2312" w:eastAsia="仿宋_GB2312"/>
          <w:sz w:val="32"/>
          <w:szCs w:val="32"/>
          <w:highlight w:val="none"/>
        </w:rPr>
        <w:t>指事业单位开展专业业务活动及其辅助活动所取得的收入。</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四、</w:t>
      </w:r>
      <w:r>
        <w:rPr>
          <w:rFonts w:hint="eastAsia" w:ascii="仿宋_GB2312" w:eastAsia="仿宋_GB2312"/>
          <w:b/>
          <w:bCs/>
          <w:sz w:val="32"/>
          <w:szCs w:val="32"/>
          <w:highlight w:val="none"/>
        </w:rPr>
        <w:t>经营收入：</w:t>
      </w:r>
      <w:r>
        <w:rPr>
          <w:rFonts w:hint="eastAsia" w:ascii="仿宋_GB2312" w:eastAsia="仿宋_GB2312"/>
          <w:sz w:val="32"/>
          <w:szCs w:val="32"/>
          <w:highlight w:val="none"/>
        </w:rPr>
        <w:t>指事业单位在专业业务活动及其辅助活动之外开展非独立核算经营活动取得的收入。</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五、</w:t>
      </w:r>
      <w:r>
        <w:rPr>
          <w:rFonts w:hint="eastAsia" w:ascii="仿宋_GB2312" w:eastAsia="仿宋_GB2312"/>
          <w:b/>
          <w:bCs/>
          <w:sz w:val="32"/>
          <w:szCs w:val="32"/>
          <w:highlight w:val="none"/>
        </w:rPr>
        <w:t>附属单位上缴收入：</w:t>
      </w:r>
      <w:r>
        <w:rPr>
          <w:rFonts w:hint="eastAsia" w:ascii="仿宋_GB2312" w:eastAsia="仿宋_GB2312"/>
          <w:sz w:val="32"/>
          <w:szCs w:val="32"/>
          <w:highlight w:val="none"/>
        </w:rPr>
        <w:t>指事业单位附属的独立核算单位按有关规定上缴的收入。</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六、</w:t>
      </w:r>
      <w:r>
        <w:rPr>
          <w:rFonts w:hint="eastAsia" w:ascii="仿宋_GB2312" w:eastAsia="仿宋_GB2312"/>
          <w:b/>
          <w:bCs/>
          <w:sz w:val="32"/>
          <w:szCs w:val="32"/>
          <w:highlight w:val="none"/>
        </w:rPr>
        <w:t>其他收入：</w:t>
      </w:r>
      <w:r>
        <w:rPr>
          <w:rFonts w:hint="eastAsia" w:ascii="仿宋_GB2312" w:eastAsia="仿宋_GB2312"/>
          <w:sz w:val="32"/>
          <w:szCs w:val="32"/>
          <w:highlight w:val="none"/>
        </w:rPr>
        <w:t>指除上述“财政拨款收入”、“事业收入”、“经营收入”、“附属单位上缴收入”等之外取得的收入。</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七、</w:t>
      </w:r>
      <w:r>
        <w:rPr>
          <w:rFonts w:hint="eastAsia" w:ascii="仿宋_GB2312" w:eastAsia="仿宋_GB2312"/>
          <w:b/>
          <w:bCs/>
          <w:sz w:val="32"/>
          <w:szCs w:val="32"/>
          <w:highlight w:val="none"/>
          <w:lang w:eastAsia="zh-CN"/>
        </w:rPr>
        <w:t>年初</w:t>
      </w:r>
      <w:r>
        <w:rPr>
          <w:rFonts w:hint="eastAsia" w:ascii="仿宋_GB2312" w:eastAsia="仿宋_GB2312"/>
          <w:b/>
          <w:bCs/>
          <w:sz w:val="32"/>
          <w:szCs w:val="32"/>
          <w:highlight w:val="none"/>
        </w:rPr>
        <w:t>结转和结余：</w:t>
      </w:r>
      <w:r>
        <w:rPr>
          <w:rFonts w:hint="eastAsia" w:ascii="仿宋_GB2312" w:eastAsia="仿宋_GB2312"/>
          <w:sz w:val="32"/>
          <w:szCs w:val="32"/>
          <w:highlight w:val="none"/>
        </w:rPr>
        <w:t>指以前年度支出预算因客观条件变化未执行完毕、结转到本年度按有关规定继续使用的资金，既包括财政拨款结转和结余，也包括事业收入、经营收入、其他收入的结转和结余。</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八、</w:t>
      </w:r>
      <w:r>
        <w:rPr>
          <w:rFonts w:hint="eastAsia" w:ascii="仿宋_GB2312" w:eastAsia="仿宋_GB2312"/>
          <w:b/>
          <w:bCs/>
          <w:sz w:val="32"/>
          <w:szCs w:val="32"/>
          <w:highlight w:val="none"/>
        </w:rPr>
        <w:t>年末结转和结余：</w:t>
      </w:r>
      <w:r>
        <w:rPr>
          <w:rFonts w:hint="eastAsia" w:ascii="仿宋_GB2312" w:eastAsia="仿宋_GB2312"/>
          <w:sz w:val="32"/>
          <w:szCs w:val="32"/>
          <w:highlight w:val="none"/>
        </w:rPr>
        <w:t>指本年度或以前年度预算安排、因客观条件发生变化无法按原计划实施，需要延迟到以后年度按有关规定继续使用的资金，既包括财政拨款结转和结余，也包括事业收入、经营收入、其他收入的结转和结余。</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九、</w:t>
      </w:r>
      <w:r>
        <w:rPr>
          <w:rFonts w:hint="eastAsia" w:ascii="仿宋_GB2312" w:eastAsia="仿宋_GB2312"/>
          <w:b/>
          <w:bCs/>
          <w:sz w:val="32"/>
          <w:szCs w:val="32"/>
          <w:highlight w:val="none"/>
        </w:rPr>
        <w:t>基本支出：</w:t>
      </w:r>
      <w:r>
        <w:rPr>
          <w:rFonts w:hint="eastAsia" w:ascii="仿宋_GB2312" w:eastAsia="仿宋_GB2312"/>
          <w:sz w:val="32"/>
          <w:szCs w:val="32"/>
          <w:highlight w:val="none"/>
        </w:rPr>
        <w:t>指为保障机构正常运转、完成日常工作任务而发生的人员支出和公用支出。</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十、</w:t>
      </w:r>
      <w:r>
        <w:rPr>
          <w:rFonts w:hint="eastAsia" w:ascii="仿宋_GB2312" w:eastAsia="仿宋_GB2312"/>
          <w:b/>
          <w:bCs/>
          <w:sz w:val="32"/>
          <w:szCs w:val="32"/>
          <w:highlight w:val="none"/>
        </w:rPr>
        <w:t>项目支出：</w:t>
      </w:r>
      <w:r>
        <w:rPr>
          <w:rFonts w:hint="eastAsia" w:ascii="仿宋_GB2312" w:eastAsia="仿宋_GB2312"/>
          <w:sz w:val="32"/>
          <w:szCs w:val="32"/>
          <w:highlight w:val="none"/>
        </w:rPr>
        <w:t>指在基本支出之外为完成特定行政任务和事业发展目标所发生的支出。</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十一、</w:t>
      </w:r>
      <w:r>
        <w:rPr>
          <w:rFonts w:hint="eastAsia" w:ascii="仿宋_GB2312" w:eastAsia="仿宋_GB2312"/>
          <w:b/>
          <w:bCs/>
          <w:sz w:val="32"/>
          <w:szCs w:val="32"/>
          <w:highlight w:val="none"/>
        </w:rPr>
        <w:t>经营支出：</w:t>
      </w:r>
      <w:r>
        <w:rPr>
          <w:rFonts w:hint="eastAsia" w:ascii="仿宋_GB2312" w:eastAsia="仿宋_GB2312"/>
          <w:sz w:val="32"/>
          <w:szCs w:val="32"/>
          <w:highlight w:val="none"/>
        </w:rPr>
        <w:t>指事业单位在专业业务活动及其辅助活动之外开展非独立核算经营活动发生的支出。</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十二、</w:t>
      </w:r>
      <w:r>
        <w:rPr>
          <w:rFonts w:hint="eastAsia" w:ascii="仿宋_GB2312" w:eastAsia="仿宋_GB2312"/>
          <w:b/>
          <w:bCs/>
          <w:sz w:val="32"/>
          <w:szCs w:val="32"/>
          <w:highlight w:val="none"/>
        </w:rPr>
        <w:t>对附属单位补助支出：</w:t>
      </w:r>
      <w:r>
        <w:rPr>
          <w:rFonts w:hint="eastAsia" w:ascii="仿宋_GB2312" w:eastAsia="仿宋_GB2312"/>
          <w:sz w:val="32"/>
          <w:szCs w:val="32"/>
          <w:highlight w:val="none"/>
        </w:rPr>
        <w:t>指事业单位发生的用非财政预算资金对附属单位的补助支出。</w:t>
      </w:r>
    </w:p>
    <w:p>
      <w:pPr>
        <w:keepNext w:val="0"/>
        <w:keepLines w:val="0"/>
        <w:pageBreakBefore w:val="0"/>
        <w:widowControl w:val="0"/>
        <w:kinsoku/>
        <w:wordWrap/>
        <w:overflowPunct/>
        <w:topLinePunct w:val="0"/>
        <w:autoSpaceDE w:val="0"/>
        <w:autoSpaceDN w:val="0"/>
        <w:bidi w:val="0"/>
        <w:adjustRightInd/>
        <w:snapToGrid/>
        <w:spacing w:line="240" w:lineRule="auto"/>
        <w:ind w:firstLine="643" w:firstLineChars="200"/>
        <w:textAlignment w:val="auto"/>
        <w:rPr>
          <w:rFonts w:hint="eastAsia" w:ascii="仿宋_GB2312" w:eastAsia="仿宋_GB2312"/>
          <w:sz w:val="32"/>
          <w:szCs w:val="32"/>
          <w:highlight w:val="none"/>
          <w:lang w:eastAsia="zh-CN"/>
        </w:rPr>
      </w:pPr>
      <w:r>
        <w:rPr>
          <w:rFonts w:hint="eastAsia" w:ascii="仿宋_GB2312" w:eastAsia="仿宋_GB2312"/>
          <w:b/>
          <w:bCs/>
          <w:sz w:val="32"/>
          <w:szCs w:val="32"/>
          <w:highlight w:val="none"/>
          <w:lang w:val="en-US" w:eastAsia="zh-CN"/>
        </w:rPr>
        <w:t>十三、</w:t>
      </w:r>
      <w:r>
        <w:rPr>
          <w:rFonts w:hint="eastAsia" w:ascii="仿宋_GB2312" w:eastAsia="仿宋_GB2312"/>
          <w:b/>
          <w:bCs/>
          <w:sz w:val="32"/>
          <w:szCs w:val="32"/>
          <w:highlight w:val="none"/>
        </w:rPr>
        <w:t>“三公”经费：</w:t>
      </w:r>
      <w:r>
        <w:rPr>
          <w:rFonts w:hint="eastAsia" w:ascii="仿宋_GB2312" w:eastAsia="仿宋_GB2312"/>
          <w:sz w:val="32"/>
          <w:szCs w:val="32"/>
          <w:highlight w:val="none"/>
        </w:rPr>
        <w:t>指用财政拨款安排的因公出国（境）费、公务用车购置及运行费和公务接待费。其中，因公出国（境）费反映单位公务出国（境）的</w:t>
      </w:r>
      <w:r>
        <w:rPr>
          <w:rFonts w:hint="eastAsia" w:ascii="仿宋_GB2312" w:eastAsia="仿宋_GB2312"/>
          <w:sz w:val="32"/>
          <w:szCs w:val="32"/>
          <w:highlight w:val="none"/>
          <w:lang w:eastAsia="zh-CN"/>
        </w:rPr>
        <w:t>国际旅费、国外城市间交通费、</w:t>
      </w:r>
      <w:r>
        <w:rPr>
          <w:rFonts w:hint="eastAsia" w:ascii="仿宋_GB2312" w:eastAsia="仿宋_GB2312"/>
          <w:sz w:val="32"/>
          <w:szCs w:val="32"/>
          <w:highlight w:val="none"/>
        </w:rPr>
        <w:t>住宿费、伙食费、培训费、</w:t>
      </w:r>
      <w:r>
        <w:rPr>
          <w:rFonts w:hint="eastAsia" w:ascii="仿宋_GB2312" w:eastAsia="仿宋_GB2312"/>
          <w:sz w:val="32"/>
          <w:szCs w:val="32"/>
          <w:highlight w:val="none"/>
          <w:lang w:eastAsia="zh-CN"/>
        </w:rPr>
        <w:t>公</w:t>
      </w:r>
      <w:r>
        <w:rPr>
          <w:rFonts w:hint="eastAsia" w:ascii="仿宋_GB2312" w:eastAsia="仿宋_GB2312"/>
          <w:sz w:val="32"/>
          <w:szCs w:val="32"/>
          <w:highlight w:val="none"/>
        </w:rPr>
        <w:t>杂费等支出；公务用车购置</w:t>
      </w:r>
      <w:r>
        <w:rPr>
          <w:rFonts w:hint="eastAsia" w:ascii="仿宋_GB2312" w:eastAsia="仿宋_GB2312"/>
          <w:sz w:val="32"/>
          <w:szCs w:val="32"/>
          <w:highlight w:val="none"/>
          <w:lang w:eastAsia="zh-CN"/>
        </w:rPr>
        <w:t>反映公务用车购置支出（含车辆购置税、牌照费）；</w:t>
      </w:r>
      <w:r>
        <w:rPr>
          <w:rFonts w:hint="eastAsia" w:ascii="仿宋_GB2312" w:eastAsia="仿宋_GB2312"/>
          <w:sz w:val="32"/>
          <w:szCs w:val="32"/>
          <w:highlight w:val="none"/>
        </w:rPr>
        <w:t>公务用车运行</w:t>
      </w:r>
      <w:r>
        <w:rPr>
          <w:rFonts w:hint="eastAsia" w:ascii="仿宋_GB2312" w:eastAsia="仿宋_GB2312"/>
          <w:sz w:val="32"/>
          <w:szCs w:val="32"/>
          <w:highlight w:val="none"/>
          <w:lang w:eastAsia="zh-CN"/>
        </w:rPr>
        <w:t>维护</w:t>
      </w:r>
      <w:r>
        <w:rPr>
          <w:rFonts w:hint="eastAsia" w:ascii="仿宋_GB2312" w:eastAsia="仿宋_GB2312"/>
          <w:sz w:val="32"/>
          <w:szCs w:val="32"/>
          <w:highlight w:val="none"/>
        </w:rPr>
        <w:t>费反映</w:t>
      </w:r>
      <w:r>
        <w:rPr>
          <w:rFonts w:hint="eastAsia" w:ascii="仿宋_GB2312" w:eastAsia="仿宋_GB2312"/>
          <w:sz w:val="32"/>
          <w:szCs w:val="32"/>
          <w:highlight w:val="none"/>
          <w:lang w:eastAsia="zh-CN"/>
        </w:rPr>
        <w:t>单位按规定保留的公务用车燃料费、维修费、</w:t>
      </w:r>
      <w:r>
        <w:rPr>
          <w:rFonts w:hint="eastAsia" w:ascii="仿宋_GB2312" w:eastAsia="仿宋_GB2312"/>
          <w:sz w:val="32"/>
          <w:szCs w:val="32"/>
          <w:highlight w:val="none"/>
        </w:rPr>
        <w:t>过路过桥费、保险费、安全奖励费用等支出</w:t>
      </w:r>
      <w:r>
        <w:rPr>
          <w:rFonts w:hint="eastAsia" w:ascii="仿宋_GB2312" w:eastAsia="仿宋_GB2312"/>
          <w:sz w:val="32"/>
          <w:szCs w:val="32"/>
          <w:highlight w:val="none"/>
          <w:lang w:eastAsia="zh-CN"/>
        </w:rPr>
        <w:t>；</w:t>
      </w:r>
      <w:r>
        <w:rPr>
          <w:rFonts w:hint="eastAsia" w:ascii="仿宋_GB2312" w:eastAsia="仿宋_GB2312"/>
          <w:sz w:val="32"/>
          <w:szCs w:val="32"/>
          <w:highlight w:val="none"/>
        </w:rPr>
        <w:t>公务接待费反映单位按规定开支的各类公务接待（含外宾接待）</w:t>
      </w:r>
      <w:r>
        <w:rPr>
          <w:rFonts w:hint="eastAsia" w:ascii="仿宋_GB2312" w:eastAsia="仿宋_GB2312"/>
          <w:sz w:val="32"/>
          <w:szCs w:val="32"/>
          <w:highlight w:val="none"/>
          <w:lang w:eastAsia="zh-CN"/>
        </w:rPr>
        <w:t>费用</w:t>
      </w:r>
      <w:r>
        <w:rPr>
          <w:rFonts w:hint="eastAsia" w:ascii="仿宋_GB2312" w:eastAsia="仿宋_GB2312"/>
          <w:sz w:val="32"/>
          <w:szCs w:val="32"/>
          <w:highlight w:val="none"/>
        </w:rPr>
        <w:t>。</w:t>
      </w:r>
    </w:p>
    <w:p>
      <w:pPr>
        <w:keepNext w:val="0"/>
        <w:keepLines w:val="0"/>
        <w:pageBreakBefore w:val="0"/>
        <w:widowControl w:val="0"/>
        <w:kinsoku/>
        <w:wordWrap/>
        <w:overflowPunct/>
        <w:topLinePunct w:val="0"/>
        <w:bidi w:val="0"/>
        <w:adjustRightInd/>
        <w:snapToGrid/>
        <w:spacing w:line="240" w:lineRule="auto"/>
        <w:ind w:firstLine="643" w:firstLineChars="200"/>
        <w:textAlignment w:val="auto"/>
        <w:rPr>
          <w:rFonts w:hint="eastAsia" w:ascii="仿宋_GB2312" w:eastAsia="仿宋_GB2312"/>
          <w:sz w:val="32"/>
          <w:szCs w:val="32"/>
          <w:highlight w:val="none"/>
        </w:rPr>
      </w:pPr>
      <w:r>
        <w:rPr>
          <w:rFonts w:hint="eastAsia" w:ascii="仿宋_GB2312" w:eastAsia="仿宋_GB2312"/>
          <w:b/>
          <w:bCs/>
          <w:sz w:val="32"/>
          <w:szCs w:val="32"/>
          <w:highlight w:val="none"/>
          <w:lang w:val="en-US" w:eastAsia="zh-CN"/>
        </w:rPr>
        <w:t>十四、</w:t>
      </w:r>
      <w:r>
        <w:rPr>
          <w:rFonts w:hint="eastAsia" w:ascii="仿宋_GB2312" w:eastAsia="仿宋_GB2312"/>
          <w:b/>
          <w:bCs/>
          <w:sz w:val="32"/>
          <w:szCs w:val="32"/>
          <w:highlight w:val="none"/>
        </w:rPr>
        <w:t>机关运行经费：</w:t>
      </w:r>
      <w:r>
        <w:rPr>
          <w:rFonts w:hint="eastAsia" w:ascii="仿宋_GB2312" w:eastAsia="仿宋_GB2312"/>
          <w:sz w:val="32"/>
          <w:szCs w:val="32"/>
          <w:highlight w:val="none"/>
        </w:rPr>
        <w:t>行政单位和参照公务员法管理的事业单位财政拨款基本支出中的公用经费支出。</w:t>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center"/>
        <w:textAlignment w:val="auto"/>
        <w:outlineLvl w:val="0"/>
        <w:rPr>
          <w:rFonts w:hint="eastAsia" w:ascii="黑体" w:hAnsi="黑体" w:eastAsia="黑体"/>
          <w:sz w:val="32"/>
          <w:szCs w:val="32"/>
          <w:highlight w:val="none"/>
        </w:rPr>
      </w:pPr>
      <w:r>
        <w:rPr>
          <w:rFonts w:hint="eastAsia" w:ascii="仿宋_GB2312" w:eastAsia="仿宋_GB2312"/>
          <w:sz w:val="32"/>
          <w:szCs w:val="32"/>
          <w:highlight w:val="none"/>
        </w:rPr>
        <w:br w:type="page"/>
      </w:r>
      <w:bookmarkStart w:id="40" w:name="_Toc6831"/>
      <w:r>
        <w:rPr>
          <w:rFonts w:hint="eastAsia" w:ascii="黑体" w:hAnsi="黑体" w:eastAsia="黑体"/>
          <w:sz w:val="32"/>
          <w:szCs w:val="32"/>
          <w:highlight w:val="none"/>
        </w:rPr>
        <w:t>第四部分 部门决算报表（见附表）</w:t>
      </w:r>
      <w:bookmarkEnd w:id="40"/>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41" w:name="_Toc6062"/>
      <w:bookmarkStart w:id="42" w:name="_Toc3845"/>
      <w:r>
        <w:rPr>
          <w:rFonts w:hint="eastAsia" w:ascii="仿宋_GB2312" w:hAnsi="仿宋_GB2312" w:eastAsia="仿宋_GB2312" w:cs="仿宋_GB2312"/>
          <w:bCs/>
          <w:kern w:val="0"/>
          <w:sz w:val="32"/>
          <w:szCs w:val="32"/>
          <w:highlight w:val="none"/>
        </w:rPr>
        <w:t>一、《收入支出决算总表》</w:t>
      </w:r>
      <w:bookmarkEnd w:id="41"/>
      <w:bookmarkEnd w:id="42"/>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43" w:name="_Toc30364"/>
      <w:bookmarkStart w:id="44" w:name="_Toc11927"/>
      <w:r>
        <w:rPr>
          <w:rFonts w:hint="eastAsia" w:ascii="仿宋_GB2312" w:hAnsi="仿宋_GB2312" w:eastAsia="仿宋_GB2312" w:cs="仿宋_GB2312"/>
          <w:bCs/>
          <w:kern w:val="0"/>
          <w:sz w:val="32"/>
          <w:szCs w:val="32"/>
          <w:highlight w:val="none"/>
        </w:rPr>
        <w:t>二、《收入决算表》</w:t>
      </w:r>
      <w:bookmarkEnd w:id="43"/>
      <w:bookmarkEnd w:id="44"/>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45" w:name="_Toc7443"/>
      <w:bookmarkStart w:id="46" w:name="_Toc21304"/>
      <w:r>
        <w:rPr>
          <w:rFonts w:hint="eastAsia" w:ascii="仿宋_GB2312" w:hAnsi="仿宋_GB2312" w:eastAsia="仿宋_GB2312" w:cs="仿宋_GB2312"/>
          <w:bCs/>
          <w:kern w:val="0"/>
          <w:sz w:val="32"/>
          <w:szCs w:val="32"/>
          <w:highlight w:val="none"/>
        </w:rPr>
        <w:t>三、《支出决算表》</w:t>
      </w:r>
      <w:bookmarkEnd w:id="45"/>
      <w:bookmarkEnd w:id="46"/>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47" w:name="_Toc14238"/>
      <w:bookmarkStart w:id="48" w:name="_Toc24884"/>
      <w:r>
        <w:rPr>
          <w:rFonts w:hint="eastAsia" w:ascii="仿宋_GB2312" w:hAnsi="仿宋_GB2312" w:eastAsia="仿宋_GB2312" w:cs="仿宋_GB2312"/>
          <w:bCs/>
          <w:kern w:val="0"/>
          <w:sz w:val="32"/>
          <w:szCs w:val="32"/>
          <w:highlight w:val="none"/>
        </w:rPr>
        <w:t>四、《财政拨款收入支出决算总表》</w:t>
      </w:r>
      <w:bookmarkEnd w:id="47"/>
      <w:bookmarkEnd w:id="48"/>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49" w:name="_Toc10347"/>
      <w:bookmarkStart w:id="50" w:name="_Toc16518"/>
      <w:r>
        <w:rPr>
          <w:rFonts w:hint="eastAsia" w:ascii="仿宋_GB2312" w:hAnsi="仿宋_GB2312" w:eastAsia="仿宋_GB2312" w:cs="仿宋_GB2312"/>
          <w:bCs/>
          <w:kern w:val="0"/>
          <w:sz w:val="32"/>
          <w:szCs w:val="32"/>
          <w:highlight w:val="none"/>
        </w:rPr>
        <w:t>五、《一般公共预算财政拨款支出决算表》</w:t>
      </w:r>
      <w:bookmarkEnd w:id="49"/>
      <w:bookmarkEnd w:id="50"/>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51" w:name="_Toc20514"/>
      <w:bookmarkStart w:id="52" w:name="_Toc5626"/>
      <w:r>
        <w:rPr>
          <w:rFonts w:hint="eastAsia" w:ascii="仿宋_GB2312" w:hAnsi="仿宋_GB2312" w:eastAsia="仿宋_GB2312" w:cs="仿宋_GB2312"/>
          <w:bCs/>
          <w:kern w:val="0"/>
          <w:sz w:val="32"/>
          <w:szCs w:val="32"/>
          <w:highlight w:val="none"/>
        </w:rPr>
        <w:t>六、《一般公共预算财政拨款基本支出决算表》</w:t>
      </w:r>
      <w:bookmarkEnd w:id="51"/>
      <w:bookmarkEnd w:id="52"/>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53" w:name="_Toc18055"/>
      <w:bookmarkStart w:id="54" w:name="_Toc5453"/>
      <w:r>
        <w:rPr>
          <w:rFonts w:hint="eastAsia" w:ascii="仿宋_GB2312" w:hAnsi="仿宋_GB2312" w:eastAsia="仿宋_GB2312" w:cs="仿宋_GB2312"/>
          <w:bCs/>
          <w:kern w:val="0"/>
          <w:sz w:val="32"/>
          <w:szCs w:val="32"/>
          <w:highlight w:val="none"/>
        </w:rPr>
        <w:t>七、《政府性基金预算财政拨款收入支出决算表》</w:t>
      </w:r>
      <w:bookmarkEnd w:id="53"/>
      <w:bookmarkEnd w:id="54"/>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55" w:name="_Toc10719"/>
      <w:r>
        <w:rPr>
          <w:rFonts w:hint="eastAsia" w:ascii="仿宋_GB2312" w:hAnsi="仿宋_GB2312" w:eastAsia="仿宋_GB2312" w:cs="仿宋_GB2312"/>
          <w:bCs/>
          <w:kern w:val="0"/>
          <w:sz w:val="32"/>
          <w:szCs w:val="32"/>
          <w:highlight w:val="none"/>
        </w:rPr>
        <w:t>八、《</w:t>
      </w:r>
      <w:r>
        <w:rPr>
          <w:rFonts w:hint="eastAsia" w:ascii="仿宋_GB2312" w:hAnsi="仿宋_GB2312" w:eastAsia="仿宋_GB2312" w:cs="仿宋_GB2312"/>
          <w:bCs/>
          <w:kern w:val="0"/>
          <w:sz w:val="32"/>
          <w:szCs w:val="32"/>
          <w:highlight w:val="none"/>
          <w:lang w:eastAsia="zh-CN"/>
        </w:rPr>
        <w:t>国有资本经营</w:t>
      </w:r>
      <w:r>
        <w:rPr>
          <w:rFonts w:hint="eastAsia" w:ascii="仿宋_GB2312" w:hAnsi="仿宋_GB2312" w:eastAsia="仿宋_GB2312" w:cs="仿宋_GB2312"/>
          <w:bCs/>
          <w:kern w:val="0"/>
          <w:sz w:val="32"/>
          <w:szCs w:val="32"/>
          <w:highlight w:val="none"/>
        </w:rPr>
        <w:t>预算财政拨款收入支出决算表》</w:t>
      </w:r>
      <w:bookmarkEnd w:id="55"/>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bookmarkStart w:id="56" w:name="_Toc32663"/>
      <w:bookmarkStart w:id="57" w:name="_Toc29106"/>
      <w:bookmarkStart w:id="58" w:name="_Toc18861"/>
      <w:r>
        <w:rPr>
          <w:rFonts w:hint="eastAsia" w:ascii="仿宋_GB2312" w:hAnsi="仿宋_GB2312" w:eastAsia="仿宋_GB2312" w:cs="仿宋_GB2312"/>
          <w:bCs/>
          <w:kern w:val="0"/>
          <w:sz w:val="32"/>
          <w:szCs w:val="32"/>
          <w:highlight w:val="none"/>
          <w:lang w:val="en-US" w:eastAsia="zh-CN"/>
        </w:rPr>
        <w:t>九</w:t>
      </w:r>
      <w:r>
        <w:rPr>
          <w:rFonts w:hint="eastAsia" w:ascii="仿宋_GB2312" w:hAnsi="仿宋_GB2312" w:eastAsia="仿宋_GB2312" w:cs="仿宋_GB2312"/>
          <w:bCs/>
          <w:kern w:val="0"/>
          <w:sz w:val="32"/>
          <w:szCs w:val="32"/>
          <w:highlight w:val="none"/>
        </w:rPr>
        <w:t>、《财政拨款“三公”经费支出决算表》</w:t>
      </w:r>
      <w:bookmarkEnd w:id="56"/>
      <w:bookmarkEnd w:id="57"/>
      <w:bookmarkEnd w:id="58"/>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仿宋_GB2312" w:hAnsi="仿宋_GB2312" w:eastAsia="仿宋_GB2312" w:cs="仿宋_GB2312"/>
          <w:bCs/>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71770" cy="5857240"/>
            <wp:effectExtent l="0" t="0" r="1270" b="1016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5"/>
                    <a:stretch>
                      <a:fillRect/>
                    </a:stretch>
                  </pic:blipFill>
                  <pic:spPr>
                    <a:xfrm>
                      <a:off x="0" y="0"/>
                      <a:ext cx="5271770" cy="585724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67325" cy="3747770"/>
            <wp:effectExtent l="0" t="0" r="5715" b="127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6"/>
                    <a:stretch>
                      <a:fillRect/>
                    </a:stretch>
                  </pic:blipFill>
                  <pic:spPr>
                    <a:xfrm>
                      <a:off x="0" y="0"/>
                      <a:ext cx="5267325" cy="37477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71770" cy="4156710"/>
            <wp:effectExtent l="0" t="0" r="1270" b="381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7"/>
                    <a:stretch>
                      <a:fillRect/>
                    </a:stretch>
                  </pic:blipFill>
                  <pic:spPr>
                    <a:xfrm>
                      <a:off x="0" y="0"/>
                      <a:ext cx="5271770" cy="41567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65420" cy="3911600"/>
            <wp:effectExtent l="0" t="0" r="7620" b="508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
                    <a:stretch>
                      <a:fillRect/>
                    </a:stretch>
                  </pic:blipFill>
                  <pic:spPr>
                    <a:xfrm>
                      <a:off x="0" y="0"/>
                      <a:ext cx="5265420" cy="39116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72405" cy="3403600"/>
            <wp:effectExtent l="0" t="0" r="63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9"/>
                    <a:stretch>
                      <a:fillRect/>
                    </a:stretch>
                  </pic:blipFill>
                  <pic:spPr>
                    <a:xfrm>
                      <a:off x="0" y="0"/>
                      <a:ext cx="5272405" cy="34036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67960" cy="4779645"/>
            <wp:effectExtent l="0" t="0" r="5080" b="571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0"/>
                    <a:stretch>
                      <a:fillRect/>
                    </a:stretch>
                  </pic:blipFill>
                  <pic:spPr>
                    <a:xfrm>
                      <a:off x="0" y="0"/>
                      <a:ext cx="5267960" cy="47796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71135" cy="1302385"/>
            <wp:effectExtent l="0" t="0" r="1905" b="825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1"/>
                    <a:stretch>
                      <a:fillRect/>
                    </a:stretch>
                  </pic:blipFill>
                  <pic:spPr>
                    <a:xfrm>
                      <a:off x="0" y="0"/>
                      <a:ext cx="5271135" cy="13023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r>
        <w:drawing>
          <wp:inline distT="0" distB="0" distL="114300" distR="114300">
            <wp:extent cx="5274310" cy="2106295"/>
            <wp:effectExtent l="0" t="0" r="13970" b="1206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2"/>
                    <a:stretch>
                      <a:fillRect/>
                    </a:stretch>
                  </pic:blipFill>
                  <pic:spPr>
                    <a:xfrm>
                      <a:off x="0" y="0"/>
                      <a:ext cx="5274310" cy="21062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lang w:eastAsia="zh-CN"/>
        </w:rPr>
      </w:pPr>
      <w:r>
        <w:drawing>
          <wp:inline distT="0" distB="0" distL="114300" distR="114300">
            <wp:extent cx="5271770" cy="1226820"/>
            <wp:effectExtent l="0" t="0" r="1270" b="762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3"/>
                    <a:stretch>
                      <a:fillRect/>
                    </a:stretch>
                  </pic:blipFill>
                  <pic:spPr>
                    <a:xfrm>
                      <a:off x="0" y="0"/>
                      <a:ext cx="5271770" cy="1226820"/>
                    </a:xfrm>
                    <a:prstGeom prst="rect">
                      <a:avLst/>
                    </a:prstGeom>
                    <a:noFill/>
                    <a:ln>
                      <a:noFill/>
                    </a:ln>
                  </pic:spPr>
                </pic:pic>
              </a:graphicData>
            </a:graphic>
          </wp:inline>
        </w:drawing>
      </w:r>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A2107EC-2790-449C-8F52-E601427ED6E1}"/>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_GBK">
    <w:panose1 w:val="03000509000000000000"/>
    <w:charset w:val="86"/>
    <w:family w:val="script"/>
    <w:pitch w:val="default"/>
    <w:sig w:usb0="00000001" w:usb1="080E0000" w:usb2="00000000" w:usb3="00000000" w:csb0="00040000" w:csb1="00000000"/>
    <w:embedRegular r:id="rId2" w:fontKey="{52974D72-E2A1-4A47-AC91-C9F7F4BC87CB}"/>
  </w:font>
  <w:font w:name="仿宋_GB2312">
    <w:panose1 w:val="02010609030101010101"/>
    <w:charset w:val="86"/>
    <w:family w:val="modern"/>
    <w:pitch w:val="default"/>
    <w:sig w:usb0="00000001" w:usb1="080E0000" w:usb2="00000000" w:usb3="00000000" w:csb0="00040000" w:csb1="00000000"/>
    <w:embedRegular r:id="rId3" w:fontKey="{838A8E03-49B2-4C46-A440-43AAE0FCB8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vert="horz" wrap="none" lIns="0" tIns="0" rIns="0" bIns="0" anchor="t" anchorCtr="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zql5uc8AAAAFAQAADwAAAAAAAAABACAA&#10;AAAiAAAAZHJzL2Rvd25yZXYueG1sUEsBAhQAFAAAAAgAh07iQG15XmjdAQAAvgMAAA4AAAAAAAAA&#10;AQAgAAAAHgEAAGRycy9lMm9Eb2MueG1sUEsFBgAAAAAGAAYAWQEAAG0FAAAAAA==&#10;">
              <v:fill on="f" focussize="0,0"/>
              <v:stroke on="f"/>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AwYmRmZTlkODBlYWI2MWEzOGMyNWRlOTFmY2QzMTQifQ=="/>
  </w:docVars>
  <w:rsids>
    <w:rsidRoot w:val="00000000"/>
    <w:rsid w:val="006A486A"/>
    <w:rsid w:val="029261EA"/>
    <w:rsid w:val="02DB3C6A"/>
    <w:rsid w:val="02F73D26"/>
    <w:rsid w:val="03265B53"/>
    <w:rsid w:val="034D4FEF"/>
    <w:rsid w:val="03604D96"/>
    <w:rsid w:val="03DE0026"/>
    <w:rsid w:val="043E5B56"/>
    <w:rsid w:val="060653D9"/>
    <w:rsid w:val="06792773"/>
    <w:rsid w:val="07420D91"/>
    <w:rsid w:val="08745006"/>
    <w:rsid w:val="09913339"/>
    <w:rsid w:val="09A729D8"/>
    <w:rsid w:val="0A7B4867"/>
    <w:rsid w:val="0B8C3ECC"/>
    <w:rsid w:val="0C130F17"/>
    <w:rsid w:val="0C3613A3"/>
    <w:rsid w:val="0C7227A7"/>
    <w:rsid w:val="0C8C6A3D"/>
    <w:rsid w:val="0DCA6EF7"/>
    <w:rsid w:val="0E4B1576"/>
    <w:rsid w:val="109D3795"/>
    <w:rsid w:val="11E15093"/>
    <w:rsid w:val="120E0809"/>
    <w:rsid w:val="14036E71"/>
    <w:rsid w:val="144C4208"/>
    <w:rsid w:val="14B200CF"/>
    <w:rsid w:val="15017156"/>
    <w:rsid w:val="17E4681D"/>
    <w:rsid w:val="185A60C9"/>
    <w:rsid w:val="1875698D"/>
    <w:rsid w:val="19071D6C"/>
    <w:rsid w:val="1A321764"/>
    <w:rsid w:val="1A7B20CB"/>
    <w:rsid w:val="1ABF33DD"/>
    <w:rsid w:val="1C317E4F"/>
    <w:rsid w:val="1C472464"/>
    <w:rsid w:val="1DAF458D"/>
    <w:rsid w:val="1E086ACE"/>
    <w:rsid w:val="1EAA4A5F"/>
    <w:rsid w:val="1F587A0B"/>
    <w:rsid w:val="2064678E"/>
    <w:rsid w:val="208D0D70"/>
    <w:rsid w:val="20BF25D8"/>
    <w:rsid w:val="20D76108"/>
    <w:rsid w:val="20DD6197"/>
    <w:rsid w:val="210003FD"/>
    <w:rsid w:val="21E275B9"/>
    <w:rsid w:val="21F317F2"/>
    <w:rsid w:val="21FE218C"/>
    <w:rsid w:val="2241392C"/>
    <w:rsid w:val="23BC04D2"/>
    <w:rsid w:val="25275618"/>
    <w:rsid w:val="26AD4DDD"/>
    <w:rsid w:val="27CF2642"/>
    <w:rsid w:val="282459E2"/>
    <w:rsid w:val="289309CF"/>
    <w:rsid w:val="2A053397"/>
    <w:rsid w:val="2A444FB1"/>
    <w:rsid w:val="2A6064E2"/>
    <w:rsid w:val="2BA9200B"/>
    <w:rsid w:val="2C581E4E"/>
    <w:rsid w:val="2CFB588F"/>
    <w:rsid w:val="2D1136DF"/>
    <w:rsid w:val="2D6D5BFD"/>
    <w:rsid w:val="2DAE0E44"/>
    <w:rsid w:val="2F2C79E9"/>
    <w:rsid w:val="2FD27414"/>
    <w:rsid w:val="313F1D52"/>
    <w:rsid w:val="318029AB"/>
    <w:rsid w:val="31C63837"/>
    <w:rsid w:val="326F0A17"/>
    <w:rsid w:val="34677505"/>
    <w:rsid w:val="34794929"/>
    <w:rsid w:val="3914510A"/>
    <w:rsid w:val="3B1220C9"/>
    <w:rsid w:val="3B792C75"/>
    <w:rsid w:val="3B812D1E"/>
    <w:rsid w:val="3D5275AC"/>
    <w:rsid w:val="3E2A424C"/>
    <w:rsid w:val="3EA7725F"/>
    <w:rsid w:val="3EAA60CA"/>
    <w:rsid w:val="40834692"/>
    <w:rsid w:val="40FC7F33"/>
    <w:rsid w:val="423A32B2"/>
    <w:rsid w:val="437E2A77"/>
    <w:rsid w:val="44513EBA"/>
    <w:rsid w:val="464B7E04"/>
    <w:rsid w:val="46901EEE"/>
    <w:rsid w:val="469C74D2"/>
    <w:rsid w:val="47445515"/>
    <w:rsid w:val="4B0572D5"/>
    <w:rsid w:val="4B4C0111"/>
    <w:rsid w:val="4D730311"/>
    <w:rsid w:val="4E1B22C3"/>
    <w:rsid w:val="503872E4"/>
    <w:rsid w:val="50880283"/>
    <w:rsid w:val="50DB5F45"/>
    <w:rsid w:val="511F4992"/>
    <w:rsid w:val="51311F8C"/>
    <w:rsid w:val="51844114"/>
    <w:rsid w:val="52F92565"/>
    <w:rsid w:val="538C29E8"/>
    <w:rsid w:val="55B745B4"/>
    <w:rsid w:val="55DA564E"/>
    <w:rsid w:val="56E07045"/>
    <w:rsid w:val="583059FA"/>
    <w:rsid w:val="587E6212"/>
    <w:rsid w:val="5AFC6609"/>
    <w:rsid w:val="5E0427F4"/>
    <w:rsid w:val="5EB27820"/>
    <w:rsid w:val="5FA17648"/>
    <w:rsid w:val="613409CB"/>
    <w:rsid w:val="61A46A97"/>
    <w:rsid w:val="623E267B"/>
    <w:rsid w:val="62646828"/>
    <w:rsid w:val="62DD7D21"/>
    <w:rsid w:val="6555130C"/>
    <w:rsid w:val="65D97752"/>
    <w:rsid w:val="66233185"/>
    <w:rsid w:val="664C500C"/>
    <w:rsid w:val="669C4B76"/>
    <w:rsid w:val="6773145F"/>
    <w:rsid w:val="68DB0208"/>
    <w:rsid w:val="696A20B3"/>
    <w:rsid w:val="69846A0E"/>
    <w:rsid w:val="69AD798C"/>
    <w:rsid w:val="6A435B86"/>
    <w:rsid w:val="6B68175F"/>
    <w:rsid w:val="6B8B5C99"/>
    <w:rsid w:val="6C910E5D"/>
    <w:rsid w:val="6E0F7A08"/>
    <w:rsid w:val="6E801ABC"/>
    <w:rsid w:val="6F33265A"/>
    <w:rsid w:val="6F5B6293"/>
    <w:rsid w:val="6F673B70"/>
    <w:rsid w:val="71473612"/>
    <w:rsid w:val="718F7F65"/>
    <w:rsid w:val="73423603"/>
    <w:rsid w:val="73DE4104"/>
    <w:rsid w:val="73FB6630"/>
    <w:rsid w:val="74CE04EC"/>
    <w:rsid w:val="74E76DCD"/>
    <w:rsid w:val="76660D7C"/>
    <w:rsid w:val="76B51C26"/>
    <w:rsid w:val="777E7A80"/>
    <w:rsid w:val="779D56AB"/>
    <w:rsid w:val="77ED6F44"/>
    <w:rsid w:val="78A46882"/>
    <w:rsid w:val="795A0A34"/>
    <w:rsid w:val="79F821AC"/>
    <w:rsid w:val="79FB30B5"/>
    <w:rsid w:val="7A0D3BC7"/>
    <w:rsid w:val="7A3A3CDB"/>
    <w:rsid w:val="7C4F070D"/>
    <w:rsid w:val="7C563B0D"/>
    <w:rsid w:val="7D0A21BE"/>
    <w:rsid w:val="7D5E6AFC"/>
    <w:rsid w:val="7FAD46DA"/>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toc 3"/>
    <w:basedOn w:val="1"/>
    <w:next w:val="1"/>
    <w:qFormat/>
    <w:uiPriority w:val="0"/>
    <w:pPr>
      <w:ind w:left="840" w:leftChars="400"/>
    </w:p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customStyle="1" w:styleId="10">
    <w:name w:val="WPSOffice手动目录 3"/>
    <w:qFormat/>
    <w:uiPriority w:val="0"/>
    <w:pPr>
      <w:ind w:leftChars="400"/>
    </w:pPr>
    <w:rPr>
      <w:rFonts w:ascii="Times New Roman" w:hAnsi="Times New Roman" w:eastAsia="宋体" w:cs="Times New Roman"/>
      <w:sz w:val="20"/>
      <w:szCs w:val="20"/>
    </w:rPr>
  </w:style>
  <w:style w:type="paragraph" w:customStyle="1" w:styleId="11">
    <w:name w:val="WPSOffice手动目录 2"/>
    <w:qFormat/>
    <w:uiPriority w:val="0"/>
    <w:pPr>
      <w:ind w:leftChars="200"/>
    </w:pPr>
    <w:rPr>
      <w:rFonts w:ascii="Times New Roman" w:hAnsi="Times New Roman" w:eastAsia="宋体" w:cs="Times New Roman"/>
      <w:sz w:val="20"/>
      <w:szCs w:val="20"/>
    </w:rPr>
  </w:style>
  <w:style w:type="paragraph" w:customStyle="1" w:styleId="12">
    <w:name w:val="WPSOffice手动目录 1"/>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6514</Words>
  <Characters>6595</Characters>
  <Lines>0</Lines>
  <Paragraphs>0</Paragraphs>
  <TotalTime>0</TotalTime>
  <ScaleCrop>false</ScaleCrop>
  <LinksUpToDate>false</LinksUpToDate>
  <CharactersWithSpaces>6606</CharactersWithSpaces>
  <Application>WPS Office_11.8.2.10154_F1E327BC-269C-435d-A152-05C5408002CA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GXR</dc:creator>
  <cp:lastModifiedBy>Administrator</cp:lastModifiedBy>
  <cp:lastPrinted>2024-07-22T11:58:00Z</cp:lastPrinted>
  <dcterms:modified xsi:type="dcterms:W3CDTF">2025-11-17T12:09:13Z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2052-11.8.2.10154</vt:lpwstr>
  </property>
  <property fmtid="{D5CDD505-2E9C-101B-9397-08002B2CF9AE}" pid="3" name="ICV">
    <vt:lpwstr>3B3CB53E43D349399417C043CC8A2498</vt:lpwstr>
  </property>
  <property fmtid="{D5CDD505-2E9C-101B-9397-08002B2CF9AE}" pid="4" name="KSOTemplateDocerSaveRecord">
    <vt:lpwstr>eyJoZGlkIjoiMDAwYmRmZTlkODBlYWI2MWEzOGMyNWRlOTFmY2QzMTQiLCJ1c2VySWQiOiI3MDk1OTYwNjkifQ==</vt:lpwstr>
  </property>
</Properties>
</file>