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highlight w:val="none"/>
        </w:rPr>
      </w:pPr>
      <w:bookmarkStart w:id="0" w:name="OLE_LINK2"/>
      <w:bookmarkStart w:id="1" w:name="OLE_LINK1"/>
    </w:p>
    <w:p>
      <w:pPr>
        <w:spacing w:line="540" w:lineRule="exact"/>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部门专项-社区党建工作经费项目支出</w:t>
      </w: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绩效评价报告</w:t>
      </w: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pStyle w:val="10"/>
        <w:rPr>
          <w:rFonts w:hint="default" w:ascii="Times New Roman" w:hAnsi="Times New Roman" w:cs="Times New Roman"/>
          <w:color w:val="auto"/>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项目名称：部门专项-社区党建工作经费</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实施单位（公章）：</w:t>
      </w:r>
      <w:r>
        <w:rPr>
          <w:rFonts w:hint="eastAsia" w:eastAsia="仿宋_GB2312" w:cs="Times New Roman"/>
          <w:color w:val="auto"/>
          <w:kern w:val="0"/>
          <w:sz w:val="36"/>
          <w:szCs w:val="36"/>
          <w:highlight w:val="none"/>
          <w:lang w:val="en-US" w:eastAsia="zh-CN"/>
        </w:rPr>
        <w:t>库尔勒市希望街道办事处</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主管部门（公章）：</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val="en-US" w:eastAsia="zh-CN"/>
        </w:rPr>
        <w:t>张婷</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25</w:t>
      </w:r>
      <w:r>
        <w:rPr>
          <w:rFonts w:hint="default" w:ascii="Times New Roman" w:hAnsi="Times New Roman" w:eastAsia="仿宋_GB2312" w:cs="Times New Roman"/>
          <w:color w:val="auto"/>
          <w:kern w:val="0"/>
          <w:sz w:val="36"/>
          <w:szCs w:val="36"/>
          <w:highlight w:val="none"/>
        </w:rPr>
        <w:t>日</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Style w:val="15"/>
          <w:rFonts w:hint="default" w:ascii="Times New Roman" w:hAnsi="Times New Roman" w:eastAsia="黑体" w:cs="Times New Roman"/>
          <w:b w:val="0"/>
          <w:color w:val="auto"/>
          <w:spacing w:val="-4"/>
          <w:sz w:val="32"/>
          <w:szCs w:val="32"/>
          <w:highlight w:val="none"/>
        </w:rPr>
      </w:pPr>
    </w:p>
    <w:p>
      <w:pPr>
        <w:spacing w:line="540" w:lineRule="exact"/>
        <w:ind w:firstLine="640"/>
        <w:rPr>
          <w:rStyle w:val="15"/>
          <w:rFonts w:hint="default" w:ascii="Times New Roman" w:hAnsi="Times New Roman" w:eastAsia="黑体" w:cs="Times New Roman"/>
          <w:b w:val="0"/>
          <w:color w:val="auto"/>
          <w:spacing w:val="-4"/>
          <w:sz w:val="32"/>
          <w:szCs w:val="32"/>
          <w:highlight w:val="none"/>
        </w:rPr>
      </w:pPr>
    </w:p>
    <w:p>
      <w:pPr>
        <w:spacing w:line="540" w:lineRule="exact"/>
        <w:rPr>
          <w:rStyle w:val="15"/>
          <w:rFonts w:hint="default" w:ascii="Times New Roman" w:hAnsi="Times New Roman" w:eastAsia="黑体" w:cs="Times New Roman"/>
          <w:b w:val="0"/>
          <w:color w:val="auto"/>
          <w:spacing w:val="-4"/>
          <w:sz w:val="32"/>
          <w:szCs w:val="32"/>
          <w:highlight w:val="none"/>
        </w:rPr>
      </w:pPr>
    </w:p>
    <w:p>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 项目背景</w:t>
      </w:r>
    </w:p>
    <w:p>
      <w:pPr>
        <w:spacing w:line="560" w:lineRule="exact"/>
        <w:ind w:firstLine="640" w:firstLineChars="200"/>
        <w:rPr>
          <w:rStyle w:val="15"/>
          <w:rFonts w:hint="eastAsia" w:ascii="方正仿宋_GBK" w:hAnsi="方正仿宋_GBK" w:eastAsia="方正仿宋_GBK" w:cs="方正仿宋_GBK"/>
          <w:b w:val="0"/>
          <w:bCs/>
          <w:color w:val="auto"/>
          <w:spacing w:val="0"/>
          <w:sz w:val="32"/>
          <w:szCs w:val="32"/>
          <w:highlight w:val="none"/>
          <w:lang w:eastAsia="zh-CN"/>
        </w:rPr>
      </w:pPr>
      <w:r>
        <w:rPr>
          <w:rStyle w:val="15"/>
          <w:rFonts w:hint="eastAsia" w:ascii="方正仿宋_GBK" w:hAnsi="方正仿宋_GBK" w:eastAsia="方正仿宋_GBK" w:cs="方正仿宋_GBK"/>
          <w:b w:val="0"/>
          <w:bCs/>
          <w:color w:val="auto"/>
          <w:spacing w:val="0"/>
          <w:sz w:val="32"/>
          <w:szCs w:val="32"/>
          <w:highlight w:val="none"/>
          <w:lang w:eastAsia="zh-CN"/>
        </w:rPr>
        <w:t>随着国家对基层党建工作的重视，社区党建成为巩固党的执政基础、提升社会治理能力的关键。近年来，中央和地方政府多次发文，强调加强社区党建工作，要求基层党组织充分发挥服务群众、促进和谐、推动发展的作用。为此，社区党建经费项目应运而生，旨在为基层党组织提供资金支持，推动党建工作的有效开展。城市化进程加快，社区作为社会治理的基本单元，面临人口结构复杂、利益诉求多样等挑战。基层党组织在社区治理中扮演着核心角色，承担着组织群众、服务群众、凝聚群众的重要职责。然而，部分社区党组织面临资金不足、资源匮乏等问题，影响了党建工作的深入开展。因此，设立社区党建经费项目，有助于解决这些实际问题，提升基层党组织的服务能力。</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2. 项目主要内容</w:t>
      </w:r>
    </w:p>
    <w:p>
      <w:pPr>
        <w:spacing w:line="560" w:lineRule="exact"/>
        <w:ind w:firstLine="640" w:firstLineChars="200"/>
        <w:rPr>
          <w:rStyle w:val="15"/>
          <w:rFonts w:hint="eastAsia" w:ascii="方正仿宋_GBK" w:hAnsi="方正仿宋_GBK" w:eastAsia="方正仿宋_GBK" w:cs="方正仿宋_GBK"/>
          <w:b w:val="0"/>
          <w:bCs/>
          <w:color w:val="auto"/>
          <w:spacing w:val="0"/>
          <w:sz w:val="32"/>
          <w:szCs w:val="32"/>
          <w:highlight w:val="none"/>
          <w:lang w:eastAsia="zh-CN"/>
        </w:rPr>
      </w:pPr>
      <w:r>
        <w:rPr>
          <w:rStyle w:val="15"/>
          <w:rFonts w:hint="eastAsia" w:ascii="方正仿宋_GBK" w:hAnsi="方正仿宋_GBK" w:eastAsia="方正仿宋_GBK" w:cs="方正仿宋_GBK"/>
          <w:b w:val="0"/>
          <w:bCs/>
          <w:color w:val="auto"/>
          <w:spacing w:val="0"/>
          <w:sz w:val="32"/>
          <w:szCs w:val="32"/>
          <w:highlight w:val="none"/>
          <w:lang w:eastAsia="zh-CN"/>
        </w:rPr>
        <w:t>项目主要内容：社区党建经费项目的目标是通过资金支持，推动基层党组织建设，增强党组织的凝聚力和战斗力，</w:t>
      </w:r>
      <w:r>
        <w:rPr>
          <w:rStyle w:val="15"/>
          <w:rFonts w:hint="eastAsia" w:ascii="方正仿宋_GBK" w:hAnsi="方正仿宋_GBK" w:eastAsia="方正仿宋_GBK" w:cs="方正仿宋_GBK"/>
          <w:b w:val="0"/>
          <w:bCs/>
          <w:color w:val="auto"/>
          <w:spacing w:val="0"/>
          <w:sz w:val="32"/>
          <w:szCs w:val="32"/>
          <w:highlight w:val="none"/>
          <w:lang w:val="en-US" w:eastAsia="zh-CN"/>
        </w:rPr>
        <w:t>确保两个中型社区、一个小型社区正常运转，同时抓好街道各社区基层党组织建设，推动基层党组织各项事业稳定有序、规范运行，</w:t>
      </w:r>
      <w:r>
        <w:rPr>
          <w:rStyle w:val="15"/>
          <w:rFonts w:hint="eastAsia" w:ascii="方正仿宋_GBK" w:hAnsi="方正仿宋_GBK" w:eastAsia="方正仿宋_GBK" w:cs="方正仿宋_GBK"/>
          <w:b w:val="0"/>
          <w:bCs/>
          <w:color w:val="auto"/>
          <w:spacing w:val="0"/>
          <w:sz w:val="32"/>
          <w:szCs w:val="32"/>
          <w:highlight w:val="none"/>
          <w:lang w:eastAsia="zh-CN"/>
        </w:rPr>
        <w:t>具体包括：</w:t>
      </w:r>
    </w:p>
    <w:p>
      <w:pPr>
        <w:spacing w:line="560" w:lineRule="exact"/>
        <w:ind w:firstLine="640" w:firstLineChars="200"/>
        <w:rPr>
          <w:rStyle w:val="15"/>
          <w:rFonts w:hint="eastAsia" w:ascii="方正仿宋_GBK" w:hAnsi="方正仿宋_GBK" w:eastAsia="方正仿宋_GBK" w:cs="方正仿宋_GBK"/>
          <w:b w:val="0"/>
          <w:bCs/>
          <w:color w:val="auto"/>
          <w:spacing w:val="0"/>
          <w:sz w:val="32"/>
          <w:szCs w:val="32"/>
          <w:highlight w:val="none"/>
          <w:lang w:eastAsia="zh-CN"/>
        </w:rPr>
      </w:pPr>
      <w:r>
        <w:rPr>
          <w:rStyle w:val="15"/>
          <w:rFonts w:hint="eastAsia" w:ascii="方正仿宋_GBK" w:hAnsi="方正仿宋_GBK" w:eastAsia="方正仿宋_GBK" w:cs="方正仿宋_GBK"/>
          <w:b w:val="0"/>
          <w:bCs/>
          <w:color w:val="auto"/>
          <w:spacing w:val="0"/>
          <w:sz w:val="32"/>
          <w:szCs w:val="32"/>
          <w:highlight w:val="none"/>
          <w:lang w:eastAsia="zh-CN"/>
        </w:rPr>
        <w:t>（</w:t>
      </w:r>
      <w:r>
        <w:rPr>
          <w:rStyle w:val="15"/>
          <w:rFonts w:hint="eastAsia" w:ascii="方正仿宋_GBK" w:hAnsi="方正仿宋_GBK" w:eastAsia="方正仿宋_GBK" w:cs="方正仿宋_GBK"/>
          <w:b w:val="0"/>
          <w:bCs/>
          <w:color w:val="auto"/>
          <w:spacing w:val="0"/>
          <w:sz w:val="32"/>
          <w:szCs w:val="32"/>
          <w:highlight w:val="none"/>
          <w:lang w:val="en-US" w:eastAsia="zh-CN"/>
        </w:rPr>
        <w:t>1</w:t>
      </w:r>
      <w:r>
        <w:rPr>
          <w:rStyle w:val="15"/>
          <w:rFonts w:hint="eastAsia" w:ascii="方正仿宋_GBK" w:hAnsi="方正仿宋_GBK" w:eastAsia="方正仿宋_GBK" w:cs="方正仿宋_GBK"/>
          <w:b w:val="0"/>
          <w:bCs/>
          <w:color w:val="auto"/>
          <w:spacing w:val="0"/>
          <w:sz w:val="32"/>
          <w:szCs w:val="32"/>
          <w:highlight w:val="none"/>
          <w:lang w:eastAsia="zh-CN"/>
        </w:rPr>
        <w:t>）加强组织建设：完善组织架构，</w:t>
      </w:r>
      <w:r>
        <w:rPr>
          <w:rStyle w:val="15"/>
          <w:rFonts w:hint="eastAsia" w:ascii="方正仿宋_GBK" w:hAnsi="方正仿宋_GBK" w:eastAsia="方正仿宋_GBK" w:cs="方正仿宋_GBK"/>
          <w:b w:val="0"/>
          <w:bCs/>
          <w:color w:val="auto"/>
          <w:spacing w:val="0"/>
          <w:sz w:val="32"/>
          <w:szCs w:val="32"/>
          <w:highlight w:val="none"/>
          <w:lang w:val="en-US" w:eastAsia="zh-CN"/>
        </w:rPr>
        <w:t>保障两个中型社区、一个小型社区正常运转</w:t>
      </w:r>
      <w:r>
        <w:rPr>
          <w:rStyle w:val="15"/>
          <w:rFonts w:hint="eastAsia" w:ascii="方正仿宋_GBK" w:hAnsi="方正仿宋_GBK" w:eastAsia="方正仿宋_GBK" w:cs="方正仿宋_GBK"/>
          <w:b w:val="0"/>
          <w:bCs/>
          <w:color w:val="auto"/>
          <w:spacing w:val="0"/>
          <w:sz w:val="32"/>
          <w:szCs w:val="32"/>
          <w:highlight w:val="none"/>
          <w:lang w:eastAsia="zh-CN"/>
        </w:rPr>
        <w:t>，提升党员队伍素质，</w:t>
      </w:r>
      <w:r>
        <w:rPr>
          <w:rStyle w:val="15"/>
          <w:rFonts w:hint="eastAsia" w:ascii="方正仿宋_GBK" w:hAnsi="方正仿宋_GBK" w:eastAsia="方正仿宋_GBK" w:cs="方正仿宋_GBK"/>
          <w:b w:val="0"/>
          <w:bCs/>
          <w:color w:val="auto"/>
          <w:spacing w:val="0"/>
          <w:sz w:val="32"/>
          <w:szCs w:val="32"/>
          <w:highlight w:val="none"/>
          <w:lang w:val="en-US" w:eastAsia="zh-CN"/>
        </w:rPr>
        <w:t>抓好基层党组织建设</w:t>
      </w:r>
      <w:r>
        <w:rPr>
          <w:rStyle w:val="15"/>
          <w:rFonts w:hint="eastAsia" w:ascii="方正仿宋_GBK" w:hAnsi="方正仿宋_GBK" w:eastAsia="方正仿宋_GBK" w:cs="方正仿宋_GBK"/>
          <w:b w:val="0"/>
          <w:bCs/>
          <w:color w:val="auto"/>
          <w:spacing w:val="0"/>
          <w:sz w:val="32"/>
          <w:szCs w:val="32"/>
          <w:highlight w:val="none"/>
          <w:lang w:eastAsia="zh-CN"/>
        </w:rPr>
        <w:t>；</w:t>
      </w:r>
    </w:p>
    <w:p>
      <w:pPr>
        <w:spacing w:line="560" w:lineRule="exact"/>
        <w:ind w:firstLine="640" w:firstLineChars="200"/>
        <w:rPr>
          <w:rStyle w:val="15"/>
          <w:rFonts w:hint="eastAsia" w:ascii="方正仿宋_GBK" w:hAnsi="方正仿宋_GBK" w:eastAsia="方正仿宋_GBK" w:cs="方正仿宋_GBK"/>
          <w:b w:val="0"/>
          <w:bCs/>
          <w:color w:val="auto"/>
          <w:spacing w:val="0"/>
          <w:sz w:val="32"/>
          <w:szCs w:val="32"/>
          <w:highlight w:val="none"/>
          <w:lang w:eastAsia="zh-CN"/>
        </w:rPr>
      </w:pPr>
      <w:r>
        <w:rPr>
          <w:rStyle w:val="15"/>
          <w:rFonts w:hint="eastAsia" w:ascii="方正仿宋_GBK" w:hAnsi="方正仿宋_GBK" w:eastAsia="方正仿宋_GBK" w:cs="方正仿宋_GBK"/>
          <w:b w:val="0"/>
          <w:bCs/>
          <w:color w:val="auto"/>
          <w:spacing w:val="0"/>
          <w:sz w:val="32"/>
          <w:szCs w:val="32"/>
          <w:highlight w:val="none"/>
          <w:lang w:eastAsia="zh-CN"/>
        </w:rPr>
        <w:t>（</w:t>
      </w:r>
      <w:r>
        <w:rPr>
          <w:rStyle w:val="15"/>
          <w:rFonts w:hint="eastAsia" w:ascii="方正仿宋_GBK" w:hAnsi="方正仿宋_GBK" w:eastAsia="方正仿宋_GBK" w:cs="方正仿宋_GBK"/>
          <w:b w:val="0"/>
          <w:bCs/>
          <w:color w:val="auto"/>
          <w:spacing w:val="0"/>
          <w:sz w:val="32"/>
          <w:szCs w:val="32"/>
          <w:highlight w:val="none"/>
          <w:lang w:val="en-US" w:eastAsia="zh-CN"/>
        </w:rPr>
        <w:t>2</w:t>
      </w:r>
      <w:r>
        <w:rPr>
          <w:rStyle w:val="15"/>
          <w:rFonts w:hint="eastAsia" w:ascii="方正仿宋_GBK" w:hAnsi="方正仿宋_GBK" w:eastAsia="方正仿宋_GBK" w:cs="方正仿宋_GBK"/>
          <w:b w:val="0"/>
          <w:bCs/>
          <w:color w:val="auto"/>
          <w:spacing w:val="0"/>
          <w:sz w:val="32"/>
          <w:szCs w:val="32"/>
          <w:highlight w:val="none"/>
          <w:lang w:eastAsia="zh-CN"/>
        </w:rPr>
        <w:t>）创新活动形式：开展多样化的党建活动，增强群众参与度；</w:t>
      </w:r>
    </w:p>
    <w:p>
      <w:pPr>
        <w:spacing w:line="560" w:lineRule="exact"/>
        <w:ind w:firstLine="640" w:firstLineChars="200"/>
        <w:rPr>
          <w:rStyle w:val="15"/>
          <w:rFonts w:hint="eastAsia" w:ascii="方正仿宋_GBK" w:hAnsi="方正仿宋_GBK" w:eastAsia="方正仿宋_GBK" w:cs="方正仿宋_GBK"/>
          <w:b w:val="0"/>
          <w:bCs/>
          <w:color w:val="auto"/>
          <w:spacing w:val="0"/>
          <w:sz w:val="32"/>
          <w:szCs w:val="32"/>
          <w:highlight w:val="none"/>
          <w:lang w:eastAsia="zh-CN"/>
        </w:rPr>
      </w:pPr>
      <w:r>
        <w:rPr>
          <w:rStyle w:val="15"/>
          <w:rFonts w:hint="eastAsia" w:ascii="方正仿宋_GBK" w:hAnsi="方正仿宋_GBK" w:eastAsia="方正仿宋_GBK" w:cs="方正仿宋_GBK"/>
          <w:b w:val="0"/>
          <w:bCs/>
          <w:color w:val="auto"/>
          <w:spacing w:val="0"/>
          <w:sz w:val="32"/>
          <w:szCs w:val="32"/>
          <w:highlight w:val="none"/>
          <w:lang w:eastAsia="zh-CN"/>
        </w:rPr>
        <w:t>（</w:t>
      </w:r>
      <w:r>
        <w:rPr>
          <w:rStyle w:val="15"/>
          <w:rFonts w:hint="eastAsia" w:ascii="方正仿宋_GBK" w:hAnsi="方正仿宋_GBK" w:eastAsia="方正仿宋_GBK" w:cs="方正仿宋_GBK"/>
          <w:b w:val="0"/>
          <w:bCs/>
          <w:color w:val="auto"/>
          <w:spacing w:val="0"/>
          <w:sz w:val="32"/>
          <w:szCs w:val="32"/>
          <w:highlight w:val="none"/>
          <w:lang w:val="en-US" w:eastAsia="zh-CN"/>
        </w:rPr>
        <w:t>3</w:t>
      </w:r>
      <w:r>
        <w:rPr>
          <w:rStyle w:val="15"/>
          <w:rFonts w:hint="eastAsia" w:ascii="方正仿宋_GBK" w:hAnsi="方正仿宋_GBK" w:eastAsia="方正仿宋_GBK" w:cs="方正仿宋_GBK"/>
          <w:b w:val="0"/>
          <w:bCs/>
          <w:color w:val="auto"/>
          <w:spacing w:val="0"/>
          <w:sz w:val="32"/>
          <w:szCs w:val="32"/>
          <w:highlight w:val="none"/>
          <w:lang w:eastAsia="zh-CN"/>
        </w:rPr>
        <w:t>）改善服务条件：优化社区服务设施，提升服务质量和效率；</w:t>
      </w:r>
    </w:p>
    <w:p>
      <w:pPr>
        <w:spacing w:line="560" w:lineRule="exact"/>
        <w:ind w:firstLine="640" w:firstLineChars="200"/>
        <w:rPr>
          <w:rStyle w:val="15"/>
          <w:rFonts w:hint="eastAsia" w:ascii="方正仿宋_GBK" w:hAnsi="方正仿宋_GBK" w:eastAsia="方正仿宋_GBK" w:cs="方正仿宋_GBK"/>
          <w:b w:val="0"/>
          <w:bCs/>
          <w:color w:val="auto"/>
          <w:spacing w:val="0"/>
          <w:sz w:val="32"/>
          <w:szCs w:val="32"/>
          <w:highlight w:val="none"/>
          <w:lang w:eastAsia="zh-CN"/>
        </w:rPr>
      </w:pPr>
      <w:r>
        <w:rPr>
          <w:rStyle w:val="15"/>
          <w:rFonts w:hint="eastAsia" w:ascii="方正仿宋_GBK" w:hAnsi="方正仿宋_GBK" w:eastAsia="方正仿宋_GBK" w:cs="方正仿宋_GBK"/>
          <w:b w:val="0"/>
          <w:bCs/>
          <w:color w:val="auto"/>
          <w:spacing w:val="0"/>
          <w:sz w:val="32"/>
          <w:szCs w:val="32"/>
          <w:highlight w:val="none"/>
          <w:lang w:eastAsia="zh-CN"/>
        </w:rPr>
        <w:t>（</w:t>
      </w:r>
      <w:r>
        <w:rPr>
          <w:rStyle w:val="15"/>
          <w:rFonts w:hint="eastAsia" w:ascii="方正仿宋_GBK" w:hAnsi="方正仿宋_GBK" w:eastAsia="方正仿宋_GBK" w:cs="方正仿宋_GBK"/>
          <w:b w:val="0"/>
          <w:bCs/>
          <w:color w:val="auto"/>
          <w:spacing w:val="0"/>
          <w:sz w:val="32"/>
          <w:szCs w:val="32"/>
          <w:highlight w:val="none"/>
          <w:lang w:val="en-US" w:eastAsia="zh-CN"/>
        </w:rPr>
        <w:t>4</w:t>
      </w:r>
      <w:r>
        <w:rPr>
          <w:rStyle w:val="15"/>
          <w:rFonts w:hint="eastAsia" w:ascii="方正仿宋_GBK" w:hAnsi="方正仿宋_GBK" w:eastAsia="方正仿宋_GBK" w:cs="方正仿宋_GBK"/>
          <w:b w:val="0"/>
          <w:bCs/>
          <w:color w:val="auto"/>
          <w:spacing w:val="0"/>
          <w:sz w:val="32"/>
          <w:szCs w:val="32"/>
          <w:highlight w:val="none"/>
          <w:lang w:eastAsia="zh-CN"/>
        </w:rPr>
        <w:t>）推动社区治理：通过党建引领，促进社区和谐与发展，</w:t>
      </w:r>
      <w:r>
        <w:rPr>
          <w:rStyle w:val="15"/>
          <w:rFonts w:hint="eastAsia" w:ascii="方正仿宋_GBK" w:hAnsi="方正仿宋_GBK" w:eastAsia="方正仿宋_GBK" w:cs="方正仿宋_GBK"/>
          <w:b w:val="0"/>
          <w:bCs/>
          <w:color w:val="auto"/>
          <w:spacing w:val="0"/>
          <w:sz w:val="32"/>
          <w:szCs w:val="32"/>
          <w:highlight w:val="none"/>
          <w:lang w:val="en-US" w:eastAsia="zh-CN"/>
        </w:rPr>
        <w:t>推动基层党组织各项事业稳定有序、规范运行</w:t>
      </w:r>
      <w:r>
        <w:rPr>
          <w:rStyle w:val="15"/>
          <w:rFonts w:hint="eastAsia" w:ascii="方正仿宋_GBK" w:hAnsi="方正仿宋_GBK" w:eastAsia="方正仿宋_GBK" w:cs="方正仿宋_GBK"/>
          <w:b w:val="0"/>
          <w:bCs/>
          <w:color w:val="auto"/>
          <w:spacing w:val="0"/>
          <w:sz w:val="32"/>
          <w:szCs w:val="32"/>
          <w:highlight w:val="none"/>
          <w:lang w:eastAsia="zh-CN"/>
        </w:rPr>
        <w:t>。</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cs="Times New Roman"/>
          <w:color w:val="auto"/>
          <w:spacing w:val="0"/>
          <w:highlight w:val="none"/>
        </w:rPr>
      </w:pPr>
      <w:r>
        <w:rPr>
          <w:rFonts w:hint="default" w:ascii="Times New Roman" w:hAnsi="Times New Roman" w:eastAsia="仿宋_GB2312" w:cs="Times New Roman"/>
          <w:color w:val="auto"/>
          <w:spacing w:val="0"/>
          <w:sz w:val="32"/>
          <w:szCs w:val="32"/>
          <w:highlight w:val="none"/>
        </w:rPr>
        <w:t>项目实施情况：通过实施该项目，已实现五个社区党委全覆盖，保障</w:t>
      </w:r>
      <w:r>
        <w:rPr>
          <w:rFonts w:hint="eastAsia" w:eastAsia="仿宋_GB2312" w:cs="Times New Roman"/>
          <w:color w:val="auto"/>
          <w:spacing w:val="0"/>
          <w:sz w:val="32"/>
          <w:szCs w:val="32"/>
          <w:highlight w:val="none"/>
          <w:lang w:val="en-US" w:eastAsia="zh-CN"/>
        </w:rPr>
        <w:t>2</w:t>
      </w:r>
      <w:r>
        <w:rPr>
          <w:rFonts w:hint="default" w:ascii="Times New Roman" w:hAnsi="Times New Roman" w:eastAsia="仿宋_GB2312" w:cs="Times New Roman"/>
          <w:color w:val="auto"/>
          <w:spacing w:val="0"/>
          <w:sz w:val="32"/>
          <w:szCs w:val="32"/>
          <w:highlight w:val="none"/>
        </w:rPr>
        <w:t>个中社区、1个小社区正常运转。抓好街道各社区基层党组织建设，确保基层党组织各项事业稳定有序开展，保障各项事业规范运行，完成各项活动，受益居民</w:t>
      </w:r>
      <w:r>
        <w:rPr>
          <w:rFonts w:hint="eastAsia" w:eastAsia="仿宋_GB2312" w:cs="Times New Roman"/>
          <w:color w:val="auto"/>
          <w:spacing w:val="0"/>
          <w:sz w:val="32"/>
          <w:szCs w:val="32"/>
          <w:highlight w:val="none"/>
          <w:lang w:val="en-US" w:eastAsia="zh-CN"/>
        </w:rPr>
        <w:t>1</w:t>
      </w:r>
      <w:r>
        <w:rPr>
          <w:rFonts w:hint="default" w:ascii="Times New Roman" w:hAnsi="Times New Roman" w:eastAsia="仿宋_GB2312" w:cs="Times New Roman"/>
          <w:color w:val="auto"/>
          <w:spacing w:val="0"/>
          <w:sz w:val="32"/>
          <w:szCs w:val="32"/>
          <w:highlight w:val="none"/>
        </w:rPr>
        <w:t>万余人。</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项目年初预算数 40.00 万元，全年预算数 40.00 万元，</w:t>
      </w:r>
      <w:r>
        <w:rPr>
          <w:rFonts w:hint="default" w:ascii="Times New Roman" w:hAnsi="Times New Roman" w:eastAsia="仿宋_GB2312" w:cs="Times New Roman"/>
          <w:color w:val="auto"/>
          <w:sz w:val="32"/>
          <w:szCs w:val="32"/>
          <w:highlight w:val="none"/>
          <w:lang w:val="en-US" w:eastAsia="zh-CN"/>
        </w:rPr>
        <w:t>该项目资金已全部落实到位，资金来源为</w:t>
      </w:r>
      <w:r>
        <w:rPr>
          <w:rFonts w:hint="default" w:eastAsia="仿宋_GB2312" w:cs="Times New Roman"/>
          <w:color w:val="auto"/>
          <w:sz w:val="32"/>
          <w:szCs w:val="32"/>
          <w:highlight w:val="none"/>
          <w:lang w:val="en-US" w:eastAsia="zh-CN"/>
        </w:rPr>
        <w:t>全部为当年财政拨款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39.93</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99.83</w:t>
      </w:r>
      <w:r>
        <w:rPr>
          <w:rFonts w:hint="default" w:ascii="Times New Roman" w:hAnsi="Times New Roman" w:eastAsia="仿宋_GB2312" w:cs="Times New Roman"/>
          <w:color w:val="auto"/>
          <w:sz w:val="32"/>
          <w:szCs w:val="32"/>
          <w:highlight w:val="none"/>
          <w:lang w:val="en-US" w:eastAsia="zh-CN"/>
        </w:rPr>
        <w:t>%，主要用于：</w:t>
      </w:r>
      <w:r>
        <w:rPr>
          <w:rFonts w:hint="eastAsia" w:eastAsia="仿宋_GB2312" w:cs="Times New Roman"/>
          <w:color w:val="auto"/>
          <w:spacing w:val="0"/>
          <w:sz w:val="32"/>
          <w:szCs w:val="32"/>
          <w:highlight w:val="none"/>
          <w:lang w:val="en-US" w:eastAsia="zh-CN"/>
        </w:rPr>
        <w:t>保障中型社区运转30万元，保障小型社区运转9.93万元。</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5"/>
          <w:rFonts w:hint="eastAsia" w:ascii="Times New Roman" w:hAnsi="Times New Roman" w:eastAsia="方正仿宋_GBK" w:cs="方正仿宋_GBK"/>
          <w:b w:val="0"/>
          <w:bCs/>
          <w:color w:val="auto"/>
          <w:spacing w:val="0"/>
          <w:sz w:val="32"/>
          <w:szCs w:val="32"/>
          <w:highlight w:val="none"/>
        </w:rPr>
      </w:pPr>
      <w:r>
        <w:rPr>
          <w:rStyle w:val="15"/>
          <w:rFonts w:hint="eastAsia" w:eastAsia="方正仿宋_GBK" w:cs="方正仿宋_GBK"/>
          <w:b w:val="0"/>
          <w:bCs/>
          <w:color w:val="auto"/>
          <w:spacing w:val="0"/>
          <w:sz w:val="32"/>
          <w:szCs w:val="32"/>
          <w:highlight w:val="none"/>
          <w:lang w:eastAsia="zh-CN"/>
        </w:rPr>
        <w:t>目标</w:t>
      </w:r>
      <w:r>
        <w:rPr>
          <w:rStyle w:val="15"/>
          <w:rFonts w:hint="eastAsia" w:eastAsia="方正仿宋_GBK" w:cs="方正仿宋_GBK"/>
          <w:b w:val="0"/>
          <w:bCs/>
          <w:color w:val="auto"/>
          <w:spacing w:val="0"/>
          <w:sz w:val="32"/>
          <w:szCs w:val="32"/>
          <w:highlight w:val="none"/>
          <w:lang w:val="en-US" w:eastAsia="zh-CN"/>
        </w:rPr>
        <w:t>1：</w:t>
      </w:r>
      <w:r>
        <w:rPr>
          <w:rStyle w:val="15"/>
          <w:rFonts w:hint="eastAsia" w:ascii="Times New Roman" w:hAnsi="Times New Roman" w:eastAsia="方正仿宋_GBK" w:cs="方正仿宋_GBK"/>
          <w:b w:val="0"/>
          <w:bCs/>
          <w:color w:val="auto"/>
          <w:spacing w:val="0"/>
          <w:sz w:val="32"/>
          <w:szCs w:val="32"/>
          <w:highlight w:val="none"/>
        </w:rPr>
        <w:t>实现社区党委数全覆盖，保障</w:t>
      </w:r>
      <w:r>
        <w:rPr>
          <w:rStyle w:val="15"/>
          <w:rFonts w:hint="eastAsia" w:eastAsia="方正仿宋_GBK" w:cs="方正仿宋_GBK"/>
          <w:b w:val="0"/>
          <w:bCs/>
          <w:color w:val="auto"/>
          <w:spacing w:val="0"/>
          <w:sz w:val="32"/>
          <w:szCs w:val="32"/>
          <w:highlight w:val="none"/>
          <w:lang w:val="en-US" w:eastAsia="zh-CN"/>
        </w:rPr>
        <w:t>2</w:t>
      </w:r>
      <w:r>
        <w:rPr>
          <w:rStyle w:val="15"/>
          <w:rFonts w:hint="eastAsia" w:ascii="Times New Roman" w:hAnsi="Times New Roman" w:eastAsia="方正仿宋_GBK" w:cs="方正仿宋_GBK"/>
          <w:b w:val="0"/>
          <w:bCs/>
          <w:color w:val="auto"/>
          <w:spacing w:val="0"/>
          <w:sz w:val="32"/>
          <w:szCs w:val="32"/>
          <w:highlight w:val="none"/>
        </w:rPr>
        <w:t>个中社区、1个小社区正常运转。</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5"/>
          <w:rFonts w:hint="eastAsia" w:ascii="Times New Roman" w:hAnsi="Times New Roman" w:eastAsia="方正仿宋_GBK" w:cs="方正仿宋_GBK"/>
          <w:b w:val="0"/>
          <w:bCs/>
          <w:color w:val="auto"/>
          <w:spacing w:val="0"/>
          <w:sz w:val="32"/>
          <w:szCs w:val="32"/>
          <w:highlight w:val="none"/>
        </w:rPr>
      </w:pPr>
      <w:r>
        <w:rPr>
          <w:rStyle w:val="15"/>
          <w:rFonts w:hint="eastAsia" w:eastAsia="方正仿宋_GBK" w:cs="方正仿宋_GBK"/>
          <w:b w:val="0"/>
          <w:bCs/>
          <w:color w:val="auto"/>
          <w:spacing w:val="0"/>
          <w:sz w:val="32"/>
          <w:szCs w:val="32"/>
          <w:highlight w:val="none"/>
          <w:lang w:eastAsia="zh-CN"/>
        </w:rPr>
        <w:t>目标</w:t>
      </w:r>
      <w:r>
        <w:rPr>
          <w:rStyle w:val="15"/>
          <w:rFonts w:hint="eastAsia" w:eastAsia="方正仿宋_GBK" w:cs="方正仿宋_GBK"/>
          <w:b w:val="0"/>
          <w:bCs/>
          <w:color w:val="auto"/>
          <w:spacing w:val="0"/>
          <w:sz w:val="32"/>
          <w:szCs w:val="32"/>
          <w:highlight w:val="none"/>
          <w:lang w:val="en-US" w:eastAsia="zh-CN"/>
        </w:rPr>
        <w:t>2：</w:t>
      </w:r>
      <w:r>
        <w:rPr>
          <w:rStyle w:val="15"/>
          <w:rFonts w:hint="eastAsia" w:ascii="Times New Roman" w:hAnsi="Times New Roman" w:eastAsia="方正仿宋_GBK" w:cs="方正仿宋_GBK"/>
          <w:b w:val="0"/>
          <w:bCs/>
          <w:color w:val="auto"/>
          <w:spacing w:val="0"/>
          <w:sz w:val="32"/>
          <w:szCs w:val="32"/>
          <w:highlight w:val="none"/>
        </w:rPr>
        <w:t>抓好街道各社区基层党组织建设，确保基层党组织各项事业稳定有序开展，保障各项事业规范运行，开展各项活动，受益居民</w:t>
      </w:r>
      <w:r>
        <w:rPr>
          <w:rStyle w:val="15"/>
          <w:rFonts w:hint="eastAsia" w:eastAsia="方正仿宋_GBK" w:cs="方正仿宋_GBK"/>
          <w:b w:val="0"/>
          <w:bCs/>
          <w:color w:val="auto"/>
          <w:spacing w:val="0"/>
          <w:sz w:val="32"/>
          <w:szCs w:val="32"/>
          <w:highlight w:val="none"/>
          <w:lang w:val="en-US" w:eastAsia="zh-CN"/>
        </w:rPr>
        <w:t>1</w:t>
      </w:r>
      <w:r>
        <w:rPr>
          <w:rStyle w:val="15"/>
          <w:rFonts w:hint="eastAsia" w:ascii="Times New Roman" w:hAnsi="Times New Roman" w:eastAsia="方正仿宋_GBK" w:cs="方正仿宋_GBK"/>
          <w:b w:val="0"/>
          <w:bCs/>
          <w:color w:val="auto"/>
          <w:spacing w:val="0"/>
          <w:sz w:val="32"/>
          <w:szCs w:val="32"/>
          <w:highlight w:val="none"/>
        </w:rPr>
        <w:t>万余人。</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阶段性目标</w:t>
      </w:r>
      <w:bookmarkEnd w:id="0"/>
      <w:bookmarkStart w:id="2" w:name="OLE_LINK3"/>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bCs/>
          <w:color w:val="auto"/>
          <w:spacing w:val="0"/>
          <w:sz w:val="32"/>
          <w:szCs w:val="32"/>
          <w:highlight w:val="none"/>
        </w:rPr>
      </w:pPr>
      <w:r>
        <w:rPr>
          <w:rFonts w:hint="eastAsia" w:ascii="方正仿宋_GBK" w:hAnsi="方正仿宋_GBK" w:eastAsia="方正仿宋_GBK" w:cs="方正仿宋_GBK"/>
          <w:b/>
          <w:bCs/>
          <w:color w:val="auto"/>
          <w:spacing w:val="0"/>
          <w:sz w:val="32"/>
          <w:szCs w:val="32"/>
          <w:highlight w:val="none"/>
        </w:rPr>
        <w:t>第一季度目标：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组织建设：完成社区党组织换届选举，确保领导班子健全，明确分工，提升组织凝聚力。</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党员培训：开展一次党员集中学习活动，重点学习党的</w:t>
      </w:r>
      <w:r>
        <w:rPr>
          <w:rFonts w:hint="eastAsia" w:ascii="方正仿宋_GBK" w:hAnsi="方正仿宋_GBK" w:eastAsia="方正仿宋_GBK" w:cs="方正仿宋_GBK"/>
          <w:color w:val="auto"/>
          <w:spacing w:val="0"/>
          <w:sz w:val="32"/>
          <w:szCs w:val="32"/>
          <w:highlight w:val="none"/>
          <w:lang w:eastAsia="zh-CN"/>
        </w:rPr>
        <w:t>二十届三中全会</w:t>
      </w:r>
      <w:r>
        <w:rPr>
          <w:rFonts w:hint="eastAsia" w:ascii="方正仿宋_GBK" w:hAnsi="方正仿宋_GBK" w:eastAsia="方正仿宋_GBK" w:cs="方正仿宋_GBK"/>
          <w:color w:val="auto"/>
          <w:spacing w:val="0"/>
          <w:sz w:val="32"/>
          <w:szCs w:val="32"/>
          <w:highlight w:val="none"/>
        </w:rPr>
        <w:t>精神，提升党员政治素养。</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经费管理：制定年度党建工作经费使用计划，确保资金合理分配，优先用于党建活动开展。</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活动策划：组织一次社区党员志愿服务，围绕社区环境整治、关爱老人等主题，增强党员服务意识。</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宣传推广：利用社区宣传栏、微信公众号等平台，宣传党建工作成果，扩大党建影响力。</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bCs/>
          <w:color w:val="auto"/>
          <w:spacing w:val="0"/>
          <w:sz w:val="32"/>
          <w:szCs w:val="32"/>
          <w:highlight w:val="none"/>
        </w:rPr>
      </w:pPr>
      <w:r>
        <w:rPr>
          <w:rFonts w:hint="eastAsia" w:ascii="方正仿宋_GBK" w:hAnsi="方正仿宋_GBK" w:eastAsia="方正仿宋_GBK" w:cs="方正仿宋_GBK"/>
          <w:b/>
          <w:bCs/>
          <w:color w:val="auto"/>
          <w:spacing w:val="0"/>
          <w:sz w:val="32"/>
          <w:szCs w:val="32"/>
          <w:highlight w:val="none"/>
        </w:rPr>
        <w:t>第二季度目标：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制度建设：完善社区党建管理制度，包括党员考核、组织生活等，提升党建工作规范化水平。</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主题活动：开展“七一”建党节系列活动，组织党员重温入党誓词、参观红色教育基地，增强党性教育。</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经费执行：根据第一季度计划，落实经费使用，确保党建活动顺利开展，并做好财务公开。</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党员发展：培养入党积极分子，组织一次党课培训，严格把关党员发展质量。</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群众联系：开展一次党群座谈会，听取居民意见建议，推动党建与社区治理深度融合。</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bCs/>
          <w:color w:val="auto"/>
          <w:spacing w:val="0"/>
          <w:sz w:val="32"/>
          <w:szCs w:val="32"/>
          <w:highlight w:val="none"/>
        </w:rPr>
      </w:pPr>
      <w:r>
        <w:rPr>
          <w:rFonts w:hint="eastAsia" w:ascii="方正仿宋_GBK" w:hAnsi="方正仿宋_GBK" w:eastAsia="方正仿宋_GBK" w:cs="方正仿宋_GBK"/>
          <w:b/>
          <w:bCs/>
          <w:color w:val="auto"/>
          <w:spacing w:val="0"/>
          <w:sz w:val="32"/>
          <w:szCs w:val="32"/>
          <w:highlight w:val="none"/>
        </w:rPr>
        <w:t>第三季度目标：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组织生活：召开一次专题组织生活会，开展批评与自我批评，提升党员思想觉悟。</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特色活动：结合社区实际，开展一次党建文化节，通过文艺演出、知识竞赛等形式，丰富党员群众文化生活。</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经费监督：对上半年经费使用情况进行审计，确保资金使用合规，并调整下半年预算。</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志愿服务：组织党员参与社区</w:t>
      </w:r>
      <w:r>
        <w:rPr>
          <w:rFonts w:hint="eastAsia" w:ascii="方正仿宋_GBK" w:hAnsi="方正仿宋_GBK" w:eastAsia="方正仿宋_GBK" w:cs="方正仿宋_GBK"/>
          <w:color w:val="auto"/>
          <w:spacing w:val="0"/>
          <w:sz w:val="32"/>
          <w:szCs w:val="32"/>
          <w:highlight w:val="none"/>
          <w:lang w:eastAsia="zh-CN"/>
        </w:rPr>
        <w:t>消防演练</w:t>
      </w:r>
      <w:r>
        <w:rPr>
          <w:rFonts w:hint="eastAsia" w:ascii="方正仿宋_GBK" w:hAnsi="方正仿宋_GBK" w:eastAsia="方正仿宋_GBK" w:cs="方正仿宋_GBK"/>
          <w:color w:val="auto"/>
          <w:spacing w:val="0"/>
          <w:sz w:val="32"/>
          <w:szCs w:val="32"/>
          <w:highlight w:val="none"/>
        </w:rPr>
        <w:t>、</w:t>
      </w:r>
      <w:r>
        <w:rPr>
          <w:rFonts w:hint="eastAsia" w:ascii="方正仿宋_GBK" w:hAnsi="方正仿宋_GBK" w:eastAsia="方正仿宋_GBK" w:cs="方正仿宋_GBK"/>
          <w:color w:val="auto"/>
          <w:spacing w:val="0"/>
          <w:sz w:val="32"/>
          <w:szCs w:val="32"/>
          <w:highlight w:val="none"/>
          <w:lang w:eastAsia="zh-CN"/>
        </w:rPr>
        <w:t>突发事件</w:t>
      </w:r>
      <w:r>
        <w:rPr>
          <w:rFonts w:hint="eastAsia" w:ascii="方正仿宋_GBK" w:hAnsi="方正仿宋_GBK" w:eastAsia="方正仿宋_GBK" w:cs="方正仿宋_GBK"/>
          <w:color w:val="auto"/>
          <w:spacing w:val="0"/>
          <w:sz w:val="32"/>
          <w:szCs w:val="32"/>
          <w:highlight w:val="none"/>
        </w:rPr>
        <w:t>等应急工作，发挥先锋模范作用。</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宣传总结：总结上半年党建工作成果，制作宣传材料，展示党建亮点，提升社区党建影响力。</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bCs/>
          <w:color w:val="auto"/>
          <w:spacing w:val="0"/>
          <w:sz w:val="32"/>
          <w:szCs w:val="32"/>
          <w:highlight w:val="none"/>
        </w:rPr>
      </w:pPr>
      <w:r>
        <w:rPr>
          <w:rFonts w:hint="eastAsia" w:ascii="方正仿宋_GBK" w:hAnsi="方正仿宋_GBK" w:eastAsia="方正仿宋_GBK" w:cs="方正仿宋_GBK"/>
          <w:b/>
          <w:bCs/>
          <w:color w:val="auto"/>
          <w:spacing w:val="0"/>
          <w:sz w:val="32"/>
          <w:szCs w:val="32"/>
          <w:highlight w:val="none"/>
        </w:rPr>
        <w:t>第四季度目标：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年终总结：召开年度党建工作总结会议，梳理全年工作成效，分析不足，制定改进措施。</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评优表彰：开展优秀党员、先进党支部评选活动，树立典型，激励党员积极作为。</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经费结算：完成全年党建工作经费结算，确保资金使用透明，接受党员群众监督。</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党建规划：结合社区实际，制定下一年度党建工作计划，明确重点任务和目标。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color w:val="auto"/>
          <w:spacing w:val="0"/>
          <w:sz w:val="32"/>
          <w:szCs w:val="32"/>
          <w:highlight w:val="none"/>
        </w:rPr>
      </w:pPr>
      <w:r>
        <w:rPr>
          <w:rFonts w:hint="eastAsia" w:ascii="方正仿宋_GBK" w:hAnsi="方正仿宋_GBK" w:eastAsia="方正仿宋_GBK" w:cs="方正仿宋_GBK"/>
          <w:color w:val="auto"/>
          <w:spacing w:val="0"/>
          <w:sz w:val="32"/>
          <w:szCs w:val="32"/>
          <w:highlight w:val="none"/>
        </w:rPr>
        <w:t>群众满意度调查：开展一次党建满意度调查，了解居民对党建工作的评价，为明年工作提供参考。</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b w:val="0"/>
          <w:bCs/>
          <w:color w:val="auto"/>
          <w:highlight w:val="none"/>
          <w:lang w:eastAsia="zh-CN"/>
        </w:rPr>
      </w:pPr>
      <w:r>
        <w:rPr>
          <w:rFonts w:hint="eastAsia" w:ascii="方正仿宋_GBK" w:hAnsi="方正仿宋_GBK" w:eastAsia="方正仿宋_GBK" w:cs="方正仿宋_GBK"/>
          <w:color w:val="auto"/>
          <w:spacing w:val="0"/>
          <w:sz w:val="32"/>
          <w:szCs w:val="32"/>
          <w:highlight w:val="none"/>
        </w:rPr>
        <w:t>通过以上阶段性目标，确保社区党建工作有序推进，提升党组织凝聚力和服务能力。</w:t>
      </w:r>
    </w:p>
    <w:p>
      <w:pPr>
        <w:spacing w:line="560" w:lineRule="exact"/>
        <w:ind w:firstLine="640" w:firstLineChars="200"/>
        <w:rPr>
          <w:rFonts w:hint="default" w:ascii="Times New Roman" w:hAnsi="Times New Roman" w:eastAsia="黑体" w:cs="Times New Roman"/>
          <w:color w:val="auto"/>
          <w:sz w:val="32"/>
          <w:szCs w:val="32"/>
          <w:highlight w:val="none"/>
        </w:rPr>
      </w:pPr>
      <w:bookmarkStart w:id="3" w:name="OLE_LINK5"/>
      <w:r>
        <w:rPr>
          <w:rFonts w:hint="default" w:ascii="Times New Roman" w:hAnsi="Times New Roman" w:eastAsia="黑体" w:cs="Times New Roman"/>
          <w:color w:val="auto"/>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结合本项目加强社区党建、服务居民的性质，以及提升党组织凝聚力、提高居民满意度的目标，精心选取了一系列关键指标。考虑项目的性质、目标以及预期成果，选取了具有代表性和可衡量性的关键指标，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通过对项目预算执行情况及各项绩效目标达成程度的系统性分析，全面、客观地评估项目在预定周期内的实施效果，社会效益指标，</w:t>
      </w:r>
      <w:bookmarkStart w:id="4" w:name="OLE_LINK6"/>
      <w:r>
        <w:rPr>
          <w:rFonts w:hint="default" w:ascii="Times New Roman" w:hAnsi="Times New Roman" w:eastAsia="仿宋_GB2312" w:cs="Times New Roman"/>
          <w:color w:val="auto"/>
          <w:sz w:val="32"/>
          <w:szCs w:val="32"/>
          <w:highlight w:val="none"/>
        </w:rPr>
        <w:t>为项目后续的改进与优化提供科学依据。</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w:t>
      </w:r>
      <w:r>
        <w:rPr>
          <w:rFonts w:hint="eastAsia" w:eastAsia="仿宋_GB2312" w:cs="Times New Roman"/>
          <w:color w:val="auto"/>
          <w:sz w:val="32"/>
          <w:szCs w:val="32"/>
          <w:highlight w:val="none"/>
          <w:lang w:eastAsia="zh-CN"/>
        </w:rPr>
        <w:t>，包括</w:t>
      </w:r>
      <w:r>
        <w:rPr>
          <w:rFonts w:hint="default" w:ascii="Times New Roman" w:hAnsi="Times New Roman" w:eastAsia="仿宋_GB2312" w:cs="Times New Roman"/>
          <w:color w:val="auto"/>
          <w:sz w:val="32"/>
          <w:szCs w:val="32"/>
          <w:highlight w:val="none"/>
        </w:rPr>
        <w:t>社会效益维度指标，为项目后续的改进与优化提供科学依据。本项目聚焦社区党建工作，通过详细分析资金在党员培训、党建活动开展、社区服务设施建设等方面的投入与产出，从党员政治素养提升、社区凝聚力增强、居民满意度提高等多个维度评估项目实施效果</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bookmarkEnd w:id="2"/>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5" w:name="OLE_LINK4"/>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本项目预算绩效评价报告的评价对象是部门专项-社区党建工作经费及其预算执行情况。该项目由</w:t>
      </w:r>
      <w:r>
        <w:rPr>
          <w:rFonts w:hint="eastAsia" w:ascii="Times New Roman" w:hAnsi="Times New Roman" w:eastAsia="仿宋_GB2312" w:cs="Times New Roman"/>
          <w:b w:val="0"/>
          <w:bCs w:val="0"/>
          <w:color w:val="auto"/>
          <w:highlight w:val="none"/>
          <w:lang w:val="en-US" w:eastAsia="zh-CN"/>
        </w:rPr>
        <w:t>库尔勒市希望街道办事处</w:t>
      </w:r>
      <w:r>
        <w:rPr>
          <w:rFonts w:hint="default" w:ascii="Times New Roman" w:hAnsi="Times New Roman" w:eastAsia="仿宋_GB2312" w:cs="Times New Roman"/>
          <w:b w:val="0"/>
          <w:bCs w:val="0"/>
          <w:color w:val="auto"/>
          <w:highlight w:val="none"/>
        </w:rPr>
        <w:t>负责实施，旨在实现社区党委数全覆盖，保障 2个中社区、1个小社区正常运转，抓好街道各社区基层党组织建设，确保基层党组织各项事业稳定有序开展，保障各项事业规范运行，开展各项活动。项目预算涵盖从</w:t>
      </w:r>
      <w:r>
        <w:rPr>
          <w:rFonts w:hint="eastAsia" w:ascii="Times New Roman" w:hAnsi="Times New Roman" w:eastAsia="仿宋_GB2312" w:cs="Times New Roman"/>
          <w:b w:val="0"/>
          <w:bCs w:val="0"/>
          <w:color w:val="auto"/>
          <w:highlight w:val="none"/>
          <w:lang w:val="en-US" w:eastAsia="zh-CN"/>
        </w:rPr>
        <w:t>2024年1月1日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pPr>
        <w:pStyle w:val="10"/>
        <w:keepNext/>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color w:val="auto"/>
          <w:spacing w:val="0"/>
          <w:highlight w:val="none"/>
          <w:lang w:eastAsia="zh-CN"/>
        </w:rPr>
      </w:pPr>
      <w:r>
        <w:rPr>
          <w:rFonts w:hint="default" w:ascii="Times New Roman" w:hAnsi="Times New Roman" w:eastAsia="仿宋_GB2312" w:cs="Times New Roman"/>
          <w:b w:val="0"/>
          <w:bCs w:val="0"/>
          <w:color w:val="auto"/>
          <w:highlight w:val="none"/>
        </w:rPr>
        <w:t>社会影响：</w:t>
      </w:r>
      <w:r>
        <w:rPr>
          <w:rFonts w:hint="default" w:ascii="Times New Roman" w:hAnsi="Times New Roman" w:eastAsia="仿宋_GB2312" w:cs="Times New Roman"/>
          <w:b w:val="0"/>
          <w:bCs w:val="0"/>
          <w:color w:val="auto"/>
          <w:spacing w:val="0"/>
          <w:highlight w:val="none"/>
        </w:rPr>
        <w:t>考察项目对</w:t>
      </w:r>
      <w:r>
        <w:rPr>
          <w:rFonts w:hint="eastAsia" w:ascii="Times New Roman" w:hAnsi="Times New Roman" w:eastAsia="仿宋_GB2312" w:cs="Times New Roman"/>
          <w:b w:val="0"/>
          <w:bCs w:val="0"/>
          <w:color w:val="auto"/>
          <w:spacing w:val="0"/>
          <w:highlight w:val="none"/>
          <w:lang w:eastAsia="zh-CN"/>
        </w:rPr>
        <w:t>强化基层党组织建设、促进社区和谐稳定、推动社区治理创新以及提升社会满意度等</w:t>
      </w:r>
      <w:r>
        <w:rPr>
          <w:rFonts w:hint="default" w:ascii="Times New Roman" w:hAnsi="Times New Roman" w:eastAsia="仿宋_GB2312" w:cs="Times New Roman"/>
          <w:b w:val="0"/>
          <w:bCs w:val="0"/>
          <w:color w:val="auto"/>
          <w:spacing w:val="0"/>
          <w:highlight w:val="none"/>
        </w:rPr>
        <w:t>方面的综合影响。</w:t>
      </w:r>
    </w:p>
    <w:bookmarkEnd w:id="3"/>
    <w:p>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eastAsia" w:ascii="Times New Roman" w:hAnsi="Times New Roman" w:eastAsia="仿宋_GB2312" w:cs="Times New Roman"/>
          <w:b w:val="0"/>
          <w:bCs w:val="0"/>
          <w:color w:val="auto"/>
          <w:spacing w:val="17"/>
          <w:highlight w:val="none"/>
          <w:lang w:eastAsia="zh-CN"/>
        </w:rPr>
      </w:pPr>
      <w:r>
        <w:rPr>
          <w:rFonts w:hint="default" w:ascii="Times New Roman" w:hAnsi="Times New Roman" w:eastAsia="仿宋_GB2312" w:cs="Times New Roman"/>
          <w:b w:val="0"/>
          <w:bCs w:val="0"/>
          <w:color w:val="auto"/>
          <w:spacing w:val="17"/>
          <w:highlight w:val="none"/>
        </w:rPr>
        <w:t>具体评价指标体系详情见附件1</w:t>
      </w:r>
      <w:r>
        <w:rPr>
          <w:rFonts w:hint="eastAsia" w:ascii="Times New Roman" w:hAnsi="Times New Roman" w:eastAsia="仿宋_GB2312" w:cs="Times New Roman"/>
          <w:b w:val="0"/>
          <w:bCs w:val="0"/>
          <w:color w:val="auto"/>
          <w:spacing w:val="17"/>
          <w:highlight w:val="none"/>
          <w:lang w:eastAsia="zh-CN"/>
        </w:rPr>
        <w:t>。</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r>
        <w:rPr>
          <w:rFonts w:hint="default" w:ascii="Times New Roman" w:hAnsi="Times New Roman" w:eastAsia="仿宋_GB2312" w:cs="Times New Roman"/>
          <w:color w:val="000000"/>
          <w:spacing w:val="17"/>
          <w:sz w:val="32"/>
          <w:szCs w:val="32"/>
          <w:highlight w:val="none"/>
        </w:rPr>
        <w:t>：</w:t>
      </w:r>
    </w:p>
    <w:bookmarkEnd w:id="5"/>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auto"/>
          <w:spacing w:val="0"/>
          <w:sz w:val="32"/>
          <w:szCs w:val="32"/>
          <w:highlight w:val="none"/>
        </w:rPr>
      </w:pPr>
      <w:r>
        <w:rPr>
          <w:rFonts w:hint="eastAsia" w:eastAsia="仿宋_GB2312" w:cs="Times New Roman"/>
          <w:color w:val="auto"/>
          <w:spacing w:val="0"/>
          <w:sz w:val="32"/>
          <w:szCs w:val="32"/>
          <w:highlight w:val="none"/>
          <w:lang w:val="en-US" w:eastAsia="zh-CN"/>
        </w:rPr>
        <w:t>本次项目支出绩效自评</w:t>
      </w:r>
      <w:r>
        <w:rPr>
          <w:rFonts w:hint="default" w:ascii="Times New Roman" w:hAnsi="Times New Roman" w:eastAsia="仿宋_GB2312" w:cs="Times New Roman"/>
          <w:color w:val="auto"/>
          <w:spacing w:val="0"/>
          <w:sz w:val="32"/>
          <w:szCs w:val="32"/>
          <w:highlight w:val="none"/>
        </w:rPr>
        <w:t>采用了成本效益分析法</w:t>
      </w:r>
      <w:r>
        <w:rPr>
          <w:rFonts w:hint="eastAsia" w:eastAsia="仿宋_GB2312" w:cs="Times New Roman"/>
          <w:color w:val="auto"/>
          <w:spacing w:val="0"/>
          <w:sz w:val="32"/>
          <w:szCs w:val="32"/>
          <w:highlight w:val="none"/>
          <w:lang w:eastAsia="zh-CN"/>
        </w:rPr>
        <w:t>，原因是该项目只有定量指标，通过计算成本效益比等指标来衡量项目的绩效，用这个方法能够很好的利用这些定量数据进行分析，从而评估项目的绩效</w:t>
      </w:r>
      <w:r>
        <w:rPr>
          <w:rFonts w:hint="default" w:ascii="Times New Roman" w:hAnsi="Times New Roman" w:eastAsia="仿宋_GB2312" w:cs="Times New Roman"/>
          <w:color w:val="auto"/>
          <w:spacing w:val="0"/>
          <w:sz w:val="32"/>
          <w:szCs w:val="32"/>
          <w:highlight w:val="none"/>
        </w:rPr>
        <w:t xml:space="preserve">。 </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color w:val="auto"/>
          <w:spacing w:val="0"/>
          <w:highlight w:val="none"/>
        </w:rPr>
      </w:pPr>
      <w:r>
        <w:rPr>
          <w:rFonts w:hint="default" w:ascii="Times New Roman" w:hAnsi="Times New Roman" w:eastAsia="仿宋_GB2312" w:cs="Times New Roman"/>
          <w:b w:val="0"/>
          <w:bCs w:val="0"/>
          <w:color w:val="auto"/>
          <w:spacing w:val="0"/>
          <w:highlight w:val="none"/>
        </w:rPr>
        <w:t>绩效评价标准通常包括计划标准、行业标准、历史标准等，用于对绩效指标完成情况进行比较、分析、评价。</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spacing w:val="0"/>
          <w:highlight w:val="none"/>
        </w:rPr>
        <w:t>本次</w:t>
      </w:r>
      <w:r>
        <w:rPr>
          <w:rFonts w:hint="eastAsia" w:ascii="Times New Roman" w:hAnsi="Times New Roman" w:eastAsia="仿宋_GB2312" w:cs="Times New Roman"/>
          <w:b w:val="0"/>
          <w:bCs w:val="0"/>
          <w:color w:val="auto"/>
          <w:spacing w:val="0"/>
          <w:highlight w:val="none"/>
          <w:lang w:val="en-US" w:eastAsia="zh-CN"/>
        </w:rPr>
        <w:t>项目</w:t>
      </w:r>
      <w:r>
        <w:rPr>
          <w:rFonts w:hint="default" w:ascii="Times New Roman" w:hAnsi="Times New Roman" w:eastAsia="仿宋_GB2312" w:cs="Times New Roman"/>
          <w:b w:val="0"/>
          <w:bCs w:val="0"/>
          <w:color w:val="auto"/>
          <w:spacing w:val="0"/>
          <w:highlight w:val="none"/>
        </w:rPr>
        <w:t>评价主要采用了</w:t>
      </w:r>
      <w:r>
        <w:rPr>
          <w:rFonts w:hint="eastAsia" w:ascii="Times New Roman" w:hAnsi="Times New Roman" w:eastAsia="仿宋_GB2312" w:cs="Times New Roman"/>
          <w:b w:val="0"/>
          <w:bCs w:val="0"/>
          <w:color w:val="auto"/>
          <w:spacing w:val="0"/>
          <w:highlight w:val="none"/>
          <w:lang w:val="en-US" w:eastAsia="zh-CN"/>
        </w:rPr>
        <w:t>计划</w:t>
      </w:r>
      <w:r>
        <w:rPr>
          <w:rFonts w:hint="default" w:ascii="Times New Roman" w:hAnsi="Times New Roman" w:eastAsia="仿宋_GB2312" w:cs="Times New Roman"/>
          <w:b w:val="0"/>
          <w:bCs w:val="0"/>
          <w:color w:val="auto"/>
          <w:spacing w:val="0"/>
          <w:highlight w:val="none"/>
        </w:rPr>
        <w:t>标准。</w:t>
      </w:r>
      <w:r>
        <w:rPr>
          <w:rFonts w:hint="eastAsia" w:ascii="Times New Roman" w:hAnsi="Times New Roman" w:eastAsia="仿宋_GB2312" w:cs="Times New Roman"/>
          <w:b w:val="0"/>
          <w:bCs w:val="0"/>
          <w:color w:val="auto"/>
          <w:spacing w:val="0"/>
          <w:highlight w:val="none"/>
          <w:lang w:eastAsia="zh-CN"/>
        </w:rPr>
        <w:t>原因是计划标准</w:t>
      </w:r>
      <w:r>
        <w:rPr>
          <w:rFonts w:hint="eastAsia" w:ascii="Times New Roman" w:hAnsi="Times New Roman" w:eastAsia="仿宋_GB2312" w:cs="Times New Roman"/>
          <w:b w:val="0"/>
          <w:bCs w:val="0"/>
          <w:color w:val="auto"/>
          <w:spacing w:val="0"/>
          <w:highlight w:val="none"/>
          <w:lang w:val="en-US" w:eastAsia="zh-CN"/>
        </w:rPr>
        <w:t>通常对各项工作和任务的目标、要求、流程、时间节点等都有明确的规定和描述，</w:t>
      </w:r>
      <w:r>
        <w:rPr>
          <w:rFonts w:hint="eastAsia" w:ascii="Times New Roman" w:hAnsi="Times New Roman" w:eastAsia="仿宋_GB2312" w:cs="Times New Roman"/>
          <w:b w:val="0"/>
          <w:bCs w:val="0"/>
          <w:color w:val="auto"/>
          <w:spacing w:val="0"/>
          <w:highlight w:val="none"/>
          <w:lang w:eastAsia="zh-CN"/>
        </w:rPr>
        <w:t>能确保标准既科学又实用，能够全面、准确的反映评价对象的实际情况。</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rPr>
        <w:t>在项目绩效评价工作启动之初，成立了专门的评价工作小组，小组成员由</w:t>
      </w:r>
      <w:r>
        <w:rPr>
          <w:rFonts w:hint="eastAsia" w:eastAsia="仿宋_GB2312" w:cs="Times New Roman"/>
          <w:color w:val="auto"/>
          <w:spacing w:val="0"/>
          <w:sz w:val="32"/>
          <w:szCs w:val="32"/>
          <w:highlight w:val="none"/>
          <w:lang w:eastAsia="zh-CN"/>
        </w:rPr>
        <w:t>单位主要领导、财务分管领导、项目分管领导、财务会计</w:t>
      </w:r>
      <w:r>
        <w:rPr>
          <w:rFonts w:hint="default" w:ascii="Times New Roman" w:hAnsi="Times New Roman" w:eastAsia="仿宋_GB2312" w:cs="Times New Roman"/>
          <w:color w:val="auto"/>
          <w:spacing w:val="0"/>
          <w:sz w:val="32"/>
          <w:szCs w:val="32"/>
          <w:highlight w:val="none"/>
        </w:rPr>
        <w:t>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pPr>
        <w:pStyle w:val="9"/>
        <w:keepNext/>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rPr>
        <w:t>本项目的综合评价基于对项目各方面绩效的深入分析与评估。从项目目标的达成情况来看，</w:t>
      </w:r>
      <w:r>
        <w:rPr>
          <w:rFonts w:hint="eastAsia" w:eastAsia="仿宋_GB2312" w:cs="Times New Roman"/>
          <w:color w:val="auto"/>
          <w:spacing w:val="0"/>
          <w:sz w:val="32"/>
          <w:szCs w:val="32"/>
          <w:highlight w:val="none"/>
          <w:lang w:eastAsia="zh-CN"/>
        </w:rPr>
        <w:t>部门专项</w:t>
      </w:r>
      <w:r>
        <w:rPr>
          <w:rFonts w:hint="eastAsia" w:eastAsia="仿宋_GB2312" w:cs="Times New Roman"/>
          <w:color w:val="auto"/>
          <w:spacing w:val="0"/>
          <w:sz w:val="32"/>
          <w:szCs w:val="32"/>
          <w:highlight w:val="none"/>
          <w:lang w:val="en-US" w:eastAsia="zh-CN"/>
        </w:rPr>
        <w:t>-社区党建工作经费</w:t>
      </w:r>
      <w:r>
        <w:rPr>
          <w:rFonts w:hint="default" w:ascii="Times New Roman" w:hAnsi="Times New Roman" w:eastAsia="仿宋_GB2312" w:cs="Times New Roman"/>
          <w:color w:val="auto"/>
          <w:spacing w:val="0"/>
          <w:sz w:val="32"/>
          <w:szCs w:val="32"/>
          <w:highlight w:val="none"/>
        </w:rPr>
        <w:t>在</w:t>
      </w:r>
      <w:r>
        <w:rPr>
          <w:rFonts w:hint="eastAsia" w:eastAsia="仿宋_GB2312" w:cs="Times New Roman"/>
          <w:color w:val="auto"/>
          <w:spacing w:val="0"/>
          <w:sz w:val="32"/>
          <w:szCs w:val="32"/>
          <w:highlight w:val="none"/>
          <w:lang w:eastAsia="zh-CN"/>
        </w:rPr>
        <w:t>保障大中小型</w:t>
      </w:r>
      <w:r>
        <w:rPr>
          <w:rFonts w:hint="eastAsia" w:eastAsia="仿宋_GB2312" w:cs="Times New Roman"/>
          <w:color w:val="auto"/>
          <w:spacing w:val="0"/>
          <w:sz w:val="32"/>
          <w:szCs w:val="32"/>
          <w:highlight w:val="none"/>
          <w:lang w:val="en-US" w:eastAsia="zh-CN"/>
        </w:rPr>
        <w:t>3个社区正常运转、抓好街道各社区基层党组织建设等</w:t>
      </w:r>
      <w:r>
        <w:rPr>
          <w:rFonts w:hint="default" w:ascii="Times New Roman" w:hAnsi="Times New Roman" w:eastAsia="仿宋_GB2312" w:cs="Times New Roman"/>
          <w:color w:val="auto"/>
          <w:spacing w:val="0"/>
          <w:sz w:val="32"/>
          <w:szCs w:val="32"/>
          <w:highlight w:val="none"/>
        </w:rPr>
        <w:t>方面表现出色，达到了预期的标准与要求。同时，项目也在</w:t>
      </w:r>
      <w:r>
        <w:rPr>
          <w:rFonts w:hint="eastAsia" w:ascii="Times New Roman" w:hAnsi="Times New Roman" w:eastAsia="仿宋_GB2312" w:cs="Times New Roman"/>
          <w:b w:val="0"/>
          <w:bCs w:val="0"/>
          <w:color w:val="auto"/>
          <w:spacing w:val="0"/>
          <w:sz w:val="32"/>
          <w:szCs w:val="32"/>
          <w:highlight w:val="none"/>
          <w:lang w:eastAsia="zh-CN"/>
        </w:rPr>
        <w:t>促进社区和谐稳定</w:t>
      </w:r>
      <w:r>
        <w:rPr>
          <w:rFonts w:hint="eastAsia" w:eastAsia="仿宋_GB2312" w:cs="Times New Roman"/>
          <w:b w:val="0"/>
          <w:bCs w:val="0"/>
          <w:color w:val="auto"/>
          <w:spacing w:val="0"/>
          <w:sz w:val="32"/>
          <w:szCs w:val="32"/>
          <w:highlight w:val="none"/>
          <w:lang w:eastAsia="zh-CN"/>
        </w:rPr>
        <w:t>发展方面</w:t>
      </w:r>
      <w:r>
        <w:rPr>
          <w:rFonts w:hint="default" w:ascii="Times New Roman" w:hAnsi="Times New Roman" w:eastAsia="仿宋_GB2312" w:cs="Times New Roman"/>
          <w:color w:val="auto"/>
          <w:spacing w:val="0"/>
          <w:sz w:val="32"/>
          <w:szCs w:val="32"/>
          <w:highlight w:val="none"/>
        </w:rPr>
        <w:t>取得了显著的成效，如</w:t>
      </w:r>
      <w:r>
        <w:rPr>
          <w:rFonts w:hint="eastAsia" w:eastAsia="仿宋_GB2312" w:cs="Times New Roman"/>
          <w:color w:val="auto"/>
          <w:spacing w:val="0"/>
          <w:sz w:val="32"/>
          <w:szCs w:val="32"/>
          <w:highlight w:val="none"/>
          <w:lang w:eastAsia="zh-CN"/>
        </w:rPr>
        <w:t>组织开展了形式多样的党建活动，增强群众参与度；优化了社区服务设施，开设群众休闲活动场所，提升社区服务质量和效率等</w:t>
      </w:r>
      <w:r>
        <w:rPr>
          <w:rFonts w:hint="default" w:ascii="Times New Roman" w:hAnsi="Times New Roman" w:eastAsia="仿宋_GB2312" w:cs="Times New Roman"/>
          <w:color w:val="auto"/>
          <w:spacing w:val="0"/>
          <w:sz w:val="32"/>
          <w:szCs w:val="32"/>
          <w:highlight w:val="none"/>
        </w:rPr>
        <w:t>。</w:t>
      </w:r>
    </w:p>
    <w:p>
      <w:pPr>
        <w:pStyle w:val="9"/>
        <w:keepNext/>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rPr>
        <w:t>在项目管理方面，</w:t>
      </w:r>
      <w:r>
        <w:rPr>
          <w:rFonts w:hint="eastAsia" w:eastAsia="仿宋_GB2312" w:cs="Times New Roman"/>
          <w:color w:val="auto"/>
          <w:spacing w:val="0"/>
          <w:sz w:val="32"/>
          <w:szCs w:val="32"/>
          <w:highlight w:val="none"/>
          <w:lang w:eastAsia="zh-CN"/>
        </w:rPr>
        <w:t>希望街道办事处</w:t>
      </w:r>
      <w:r>
        <w:rPr>
          <w:rFonts w:hint="default" w:ascii="Times New Roman" w:hAnsi="Times New Roman" w:eastAsia="仿宋_GB2312" w:cs="Times New Roman"/>
          <w:color w:val="auto"/>
          <w:spacing w:val="0"/>
          <w:sz w:val="32"/>
          <w:szCs w:val="32"/>
          <w:highlight w:val="none"/>
        </w:rPr>
        <w:t>通过有效的规划、组织与协调，项目得以顺利实施，并在预算与时间上保持了良好的控制。</w:t>
      </w:r>
    </w:p>
    <w:p>
      <w:pPr>
        <w:pStyle w:val="9"/>
        <w:keepNext/>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rPr>
        <w:t>从项目效益的角度来看，本项目实现了预期的社会效益方面产生了积极的影响。具体而言，</w:t>
      </w:r>
      <w:r>
        <w:rPr>
          <w:rFonts w:hint="eastAsia" w:ascii="Times New Roman" w:hAnsi="Times New Roman" w:eastAsia="仿宋_GB2312" w:cs="Times New Roman"/>
          <w:b w:val="0"/>
          <w:bCs w:val="0"/>
          <w:color w:val="auto"/>
          <w:spacing w:val="0"/>
          <w:sz w:val="32"/>
          <w:szCs w:val="32"/>
          <w:highlight w:val="none"/>
          <w:lang w:eastAsia="zh-CN"/>
        </w:rPr>
        <w:t>强化基层党组织建设、促进社区和谐稳定、推动社区治理创新</w:t>
      </w:r>
      <w:r>
        <w:rPr>
          <w:rFonts w:hint="eastAsia" w:eastAsia="仿宋_GB2312" w:cs="Times New Roman"/>
          <w:b w:val="0"/>
          <w:bCs w:val="0"/>
          <w:color w:val="auto"/>
          <w:spacing w:val="0"/>
          <w:sz w:val="32"/>
          <w:szCs w:val="32"/>
          <w:highlight w:val="none"/>
          <w:lang w:eastAsia="zh-CN"/>
        </w:rPr>
        <w:t>等</w:t>
      </w:r>
      <w:r>
        <w:rPr>
          <w:rFonts w:hint="default" w:ascii="Times New Roman" w:hAnsi="Times New Roman" w:eastAsia="仿宋_GB2312" w:cs="Times New Roman"/>
          <w:color w:val="auto"/>
          <w:spacing w:val="0"/>
          <w:sz w:val="32"/>
          <w:szCs w:val="32"/>
          <w:highlight w:val="none"/>
        </w:rPr>
        <w:t>方面的提升，为项目的利益相关者带来了实实在在的利益。</w:t>
      </w:r>
    </w:p>
    <w:p>
      <w:pPr>
        <w:pStyle w:val="9"/>
        <w:keepNext/>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spacing w:val="0"/>
          <w:highlight w:val="none"/>
        </w:rPr>
      </w:pPr>
      <w:r>
        <w:rPr>
          <w:rFonts w:hint="default" w:ascii="Times New Roman" w:hAnsi="Times New Roman" w:eastAsia="仿宋_GB2312" w:cs="Times New Roman"/>
          <w:color w:val="auto"/>
          <w:spacing w:val="0"/>
          <w:sz w:val="32"/>
          <w:szCs w:val="32"/>
          <w:highlight w:val="none"/>
        </w:rPr>
        <w:t>综上所述，</w:t>
      </w:r>
      <w:r>
        <w:rPr>
          <w:rFonts w:hint="eastAsia" w:eastAsia="仿宋_GB2312" w:cs="Times New Roman"/>
          <w:color w:val="auto"/>
          <w:spacing w:val="0"/>
          <w:sz w:val="32"/>
          <w:szCs w:val="32"/>
          <w:highlight w:val="none"/>
          <w:lang w:eastAsia="zh-CN"/>
        </w:rPr>
        <w:t>部门专项</w:t>
      </w:r>
      <w:r>
        <w:rPr>
          <w:rFonts w:hint="eastAsia" w:eastAsia="仿宋_GB2312" w:cs="Times New Roman"/>
          <w:color w:val="auto"/>
          <w:spacing w:val="0"/>
          <w:sz w:val="32"/>
          <w:szCs w:val="32"/>
          <w:highlight w:val="none"/>
          <w:lang w:val="en-US" w:eastAsia="zh-CN"/>
        </w:rPr>
        <w:t>-</w:t>
      </w:r>
      <w:r>
        <w:rPr>
          <w:rFonts w:hint="eastAsia" w:eastAsia="仿宋_GB2312" w:cs="Times New Roman"/>
          <w:color w:val="auto"/>
          <w:spacing w:val="0"/>
          <w:sz w:val="32"/>
          <w:szCs w:val="32"/>
          <w:highlight w:val="none"/>
          <w:lang w:eastAsia="zh-CN"/>
        </w:rPr>
        <w:t>社区党建工作经费</w:t>
      </w:r>
      <w:r>
        <w:rPr>
          <w:rFonts w:hint="default" w:ascii="Times New Roman" w:hAnsi="Times New Roman" w:eastAsia="仿宋_GB2312" w:cs="Times New Roman"/>
          <w:color w:val="auto"/>
          <w:spacing w:val="0"/>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color w:val="auto"/>
          <w:highlight w:val="none"/>
          <w:lang w:val="en-US" w:eastAsia="zh-CN"/>
        </w:rPr>
        <w:t>96.92</w:t>
      </w:r>
      <w:r>
        <w:rPr>
          <w:rFonts w:hint="default" w:ascii="Times New Roman" w:hAnsi="Times New Roman" w:eastAsia="仿宋_GB2312" w:cs="Times New Roman"/>
          <w:b w:val="0"/>
          <w:bCs w:val="0"/>
          <w:color w:val="auto"/>
          <w:highlight w:val="none"/>
        </w:rPr>
        <w:t>分，属于“优”。其中，项目决策类指标权重为20分，得分为</w:t>
      </w:r>
      <w:r>
        <w:rPr>
          <w:rFonts w:hint="eastAsia" w:ascii="Times New Roman" w:hAnsi="Times New Roman" w:eastAsia="仿宋_GB2312" w:cs="Times New Roman"/>
          <w:b w:val="0"/>
          <w:bCs w:val="0"/>
          <w:color w:val="auto"/>
          <w:highlight w:val="none"/>
          <w:lang w:val="en-US" w:eastAsia="zh-CN"/>
        </w:rPr>
        <w:t>18</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90.00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18.99</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94.95</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39.93</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99.83</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color w:val="auto"/>
                <w:highlight w:val="none"/>
                <w:lang w:val="en-US" w:eastAsia="zh-CN"/>
              </w:rPr>
              <w:t>18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color w:val="auto"/>
                <w:highlight w:val="none"/>
                <w:lang w:val="en-US" w:eastAsia="zh-CN"/>
              </w:rPr>
              <w:t>18.99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color w:val="auto"/>
                <w:highlight w:val="none"/>
                <w:lang w:val="en-US" w:eastAsia="zh-CN"/>
              </w:rPr>
              <w:t>39.93</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color w:val="auto"/>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96.92</w:t>
            </w: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18</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90.00</w:t>
      </w:r>
      <w:r>
        <w:rPr>
          <w:rFonts w:hint="default" w:ascii="Times New Roman" w:hAnsi="Times New Roman" w:eastAsia="仿宋_GB2312" w:cs="Times New Roman"/>
          <w:color w:val="auto"/>
          <w:sz w:val="32"/>
          <w:szCs w:val="32"/>
          <w:highlight w:val="none"/>
          <w:lang w:val="en-US" w:eastAsia="zh-CN"/>
        </w:rPr>
        <w:t>%。</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val="en-US" w:eastAsia="zh-CN"/>
        </w:rPr>
        <w:t>该项目立项符合</w:t>
      </w:r>
      <w:r>
        <w:rPr>
          <w:rFonts w:hint="eastAsia" w:eastAsia="仿宋_GB2312" w:cs="Times New Roman"/>
          <w:color w:val="auto"/>
          <w:spacing w:val="0"/>
          <w:sz w:val="32"/>
          <w:szCs w:val="32"/>
          <w:highlight w:val="none"/>
          <w:lang w:val="en-US" w:eastAsia="zh-CN"/>
        </w:rPr>
        <w:t>《中国共产党党和国家机关基层组织工作条例》和《中央和国家机关基层党组织党建活动经费管理办法》等国家相关法律法规及发展政策，</w:t>
      </w:r>
      <w:r>
        <w:rPr>
          <w:rFonts w:hint="default" w:ascii="Times New Roman" w:hAnsi="Times New Roman" w:eastAsia="仿宋_GB2312" w:cs="Times New Roman"/>
          <w:color w:val="auto"/>
          <w:spacing w:val="0"/>
          <w:sz w:val="32"/>
          <w:szCs w:val="32"/>
          <w:highlight w:val="none"/>
          <w:lang w:val="en-US" w:eastAsia="zh-CN"/>
        </w:rPr>
        <w:t>符合行业规划要求，围绕本年度</w:t>
      </w:r>
      <w:r>
        <w:rPr>
          <w:rFonts w:hint="eastAsia" w:ascii="Times New Roman" w:hAnsi="Times New Roman" w:eastAsia="仿宋_GB2312" w:cs="Times New Roman"/>
          <w:b w:val="0"/>
          <w:bCs w:val="0"/>
          <w:color w:val="auto"/>
          <w:spacing w:val="0"/>
          <w:sz w:val="32"/>
          <w:szCs w:val="32"/>
          <w:highlight w:val="none"/>
          <w:lang w:eastAsia="zh-CN"/>
        </w:rPr>
        <w:t>强化基层党组织建设、推动社区治理创新</w:t>
      </w:r>
      <w:r>
        <w:rPr>
          <w:rFonts w:hint="eastAsia" w:eastAsia="仿宋_GB2312" w:cs="Times New Roman"/>
          <w:b w:val="0"/>
          <w:bCs w:val="0"/>
          <w:color w:val="auto"/>
          <w:spacing w:val="0"/>
          <w:sz w:val="32"/>
          <w:szCs w:val="32"/>
          <w:highlight w:val="none"/>
          <w:lang w:eastAsia="zh-CN"/>
        </w:rPr>
        <w:t>等</w:t>
      </w:r>
      <w:r>
        <w:rPr>
          <w:rFonts w:hint="default" w:ascii="Times New Roman" w:hAnsi="Times New Roman" w:eastAsia="仿宋_GB2312" w:cs="Times New Roman"/>
          <w:color w:val="auto"/>
          <w:spacing w:val="0"/>
          <w:sz w:val="32"/>
          <w:szCs w:val="32"/>
          <w:highlight w:val="none"/>
          <w:lang w:val="en-US" w:eastAsia="zh-CN"/>
        </w:rPr>
        <w:t>工作重点和</w:t>
      </w:r>
      <w:r>
        <w:rPr>
          <w:rFonts w:hint="eastAsia" w:ascii="Times New Roman" w:hAnsi="Times New Roman" w:eastAsia="仿宋_GB2312" w:cs="Times New Roman"/>
          <w:b w:val="0"/>
          <w:bCs w:val="0"/>
          <w:color w:val="auto"/>
          <w:spacing w:val="0"/>
          <w:sz w:val="32"/>
          <w:szCs w:val="32"/>
          <w:highlight w:val="none"/>
          <w:lang w:eastAsia="zh-CN"/>
        </w:rPr>
        <w:t>促进社区和谐稳定、</w:t>
      </w:r>
      <w:r>
        <w:rPr>
          <w:rFonts w:hint="eastAsia" w:eastAsia="仿宋_GB2312" w:cs="Times New Roman"/>
          <w:b w:val="0"/>
          <w:bCs w:val="0"/>
          <w:color w:val="auto"/>
          <w:spacing w:val="0"/>
          <w:sz w:val="32"/>
          <w:szCs w:val="32"/>
          <w:highlight w:val="none"/>
          <w:lang w:eastAsia="zh-CN"/>
        </w:rPr>
        <w:t>提升社会满意度等</w:t>
      </w:r>
      <w:r>
        <w:rPr>
          <w:rFonts w:hint="default" w:ascii="Times New Roman" w:hAnsi="Times New Roman" w:eastAsia="仿宋_GB2312" w:cs="Times New Roman"/>
          <w:color w:val="auto"/>
          <w:spacing w:val="0"/>
          <w:sz w:val="32"/>
          <w:szCs w:val="32"/>
          <w:highlight w:val="none"/>
          <w:lang w:val="en-US" w:eastAsia="zh-CN"/>
        </w:rPr>
        <w:t>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此项权重分值为4分，得分为3分。</w:t>
      </w:r>
    </w:p>
    <w:p>
      <w:pPr>
        <w:pStyle w:val="10"/>
        <w:numPr>
          <w:ilvl w:val="0"/>
          <w:numId w:val="4"/>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18.99</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94.95</w:t>
      </w:r>
      <w:r>
        <w:rPr>
          <w:rFonts w:hint="default" w:ascii="Times New Roman" w:hAnsi="Times New Roman" w:eastAsia="仿宋_GB2312" w:cs="Times New Roman"/>
          <w:color w:val="auto"/>
          <w:sz w:val="32"/>
          <w:szCs w:val="32"/>
          <w:highlight w:val="none"/>
          <w:lang w:val="en-US" w:eastAsia="zh-CN"/>
        </w:rPr>
        <w:t>%。</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39.93</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99.83</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此项权重分值为4分，得分为3.99分。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本项目的资金使用严格遵循了</w:t>
      </w:r>
      <w:r>
        <w:rPr>
          <w:rFonts w:hint="eastAsia" w:eastAsia="仿宋_GB2312" w:cs="Times New Roman"/>
          <w:color w:val="auto"/>
          <w:spacing w:val="0"/>
          <w:sz w:val="32"/>
          <w:szCs w:val="32"/>
          <w:highlight w:val="none"/>
          <w:lang w:eastAsia="zh-CN"/>
        </w:rPr>
        <w:t>《中华人民共和国预算法》《中国共产党党和国家机关基层组织工作条例》和《关于中国共产党党费收缴、使用和管理的规定》等</w:t>
      </w:r>
      <w:r>
        <w:rPr>
          <w:rFonts w:hint="default" w:ascii="Times New Roman" w:hAnsi="Times New Roman" w:eastAsia="仿宋_GB2312" w:cs="Times New Roman"/>
          <w:color w:val="auto"/>
          <w:spacing w:val="0"/>
          <w:sz w:val="32"/>
          <w:szCs w:val="32"/>
          <w:highlight w:val="none"/>
          <w:lang w:eastAsia="zh-CN"/>
        </w:rPr>
        <w:t>国家相关法律法规</w:t>
      </w:r>
      <w:r>
        <w:rPr>
          <w:rFonts w:hint="eastAsia"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与</w:t>
      </w:r>
      <w:r>
        <w:rPr>
          <w:rFonts w:hint="eastAsia" w:eastAsia="仿宋_GB2312" w:cs="Times New Roman"/>
          <w:color w:val="auto"/>
          <w:spacing w:val="0"/>
          <w:sz w:val="32"/>
          <w:szCs w:val="32"/>
          <w:highlight w:val="none"/>
          <w:lang w:eastAsia="zh-CN"/>
        </w:rPr>
        <w:t>本单位制定的《库尔勒市希望街道办事处财务管理制度》</w:t>
      </w:r>
      <w:r>
        <w:rPr>
          <w:rFonts w:hint="default" w:ascii="Times New Roman" w:hAnsi="Times New Roman" w:eastAsia="仿宋_GB2312" w:cs="Times New Roman"/>
          <w:color w:val="auto"/>
          <w:spacing w:val="0"/>
          <w:sz w:val="32"/>
          <w:szCs w:val="32"/>
          <w:highlight w:val="none"/>
          <w:lang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此项权重分值为4分，得分为3分。</w:t>
      </w:r>
    </w:p>
    <w:p>
      <w:pPr>
        <w:pStyle w:val="11"/>
        <w:numPr>
          <w:ilvl w:val="0"/>
          <w:numId w:val="4"/>
        </w:numP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39.93</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99.83</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bookmarkStart w:id="6" w:name="OLE_LINK9"/>
      <w:r>
        <w:rPr>
          <w:rFonts w:hint="default" w:ascii="Times New Roman" w:hAnsi="Times New Roman" w:eastAsia="仿宋_GB2312" w:cs="Times New Roman"/>
          <w:color w:val="auto"/>
          <w:sz w:val="32"/>
          <w:szCs w:val="32"/>
          <w:highlight w:val="none"/>
        </w:rPr>
        <w:t>指标1：保障中型社区数量，指标值：</w:t>
      </w:r>
      <w:bookmarkStart w:id="7" w:name="OLE_LINK11"/>
      <w:r>
        <w:rPr>
          <w:rFonts w:hint="default" w:ascii="Times New Roman" w:hAnsi="Times New Roman" w:eastAsia="仿宋_GB2312" w:cs="Times New Roman"/>
          <w:color w:val="auto"/>
          <w:sz w:val="32"/>
          <w:szCs w:val="32"/>
          <w:highlight w:val="none"/>
        </w:rPr>
        <w:t>&gt;</w:t>
      </w:r>
      <w:bookmarkStart w:id="8" w:name="OLE_LINK10"/>
      <w:r>
        <w:rPr>
          <w:rFonts w:hint="default" w:ascii="Times New Roman" w:hAnsi="Times New Roman" w:eastAsia="仿宋_GB2312" w:cs="Times New Roman"/>
          <w:color w:val="auto"/>
          <w:sz w:val="32"/>
          <w:szCs w:val="32"/>
          <w:highlight w:val="none"/>
        </w:rPr>
        <w:t>=2个</w:t>
      </w:r>
      <w:bookmarkEnd w:id="7"/>
      <w:bookmarkEnd w:id="8"/>
      <w:r>
        <w:rPr>
          <w:rFonts w:hint="default" w:ascii="Times New Roman" w:hAnsi="Times New Roman" w:eastAsia="仿宋_GB2312" w:cs="Times New Roman"/>
          <w:color w:val="auto"/>
          <w:sz w:val="32"/>
          <w:szCs w:val="32"/>
          <w:highlight w:val="none"/>
        </w:rPr>
        <w:t>，实际完成值：</w:t>
      </w:r>
      <w:bookmarkStart w:id="9" w:name="OLE_LINK12"/>
      <w:r>
        <w:rPr>
          <w:rFonts w:hint="default" w:ascii="Times New Roman" w:hAnsi="Times New Roman" w:eastAsia="仿宋_GB2312" w:cs="Times New Roman"/>
          <w:color w:val="auto"/>
          <w:sz w:val="32"/>
          <w:szCs w:val="32"/>
          <w:highlight w:val="none"/>
        </w:rPr>
        <w:t>2个</w:t>
      </w:r>
      <w:bookmarkEnd w:id="9"/>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100.00</w:t>
      </w:r>
      <w:r>
        <w:rPr>
          <w:rFonts w:hint="default" w:ascii="Times New Roman" w:hAnsi="Times New Roman" w:eastAsia="仿宋_GB2312" w:cs="Times New Roman"/>
          <w:color w:val="auto"/>
          <w:sz w:val="32"/>
          <w:szCs w:val="32"/>
          <w:highlight w:val="none"/>
        </w:rPr>
        <w:t>%</w:t>
      </w:r>
      <w:bookmarkEnd w:id="6"/>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：保障</w:t>
      </w:r>
      <w:r>
        <w:rPr>
          <w:rFonts w:hint="eastAsia" w:eastAsia="仿宋_GB2312" w:cs="Times New Roman"/>
          <w:color w:val="auto"/>
          <w:sz w:val="32"/>
          <w:szCs w:val="32"/>
          <w:highlight w:val="none"/>
          <w:lang w:val="en-US" w:eastAsia="zh-CN"/>
        </w:rPr>
        <w:t>小</w:t>
      </w:r>
      <w:r>
        <w:rPr>
          <w:rFonts w:hint="default" w:ascii="Times New Roman" w:hAnsi="Times New Roman" w:eastAsia="仿宋_GB2312" w:cs="Times New Roman"/>
          <w:color w:val="auto"/>
          <w:sz w:val="32"/>
          <w:szCs w:val="32"/>
          <w:highlight w:val="none"/>
        </w:rPr>
        <w:t>型社区数量，指标值：&gt;=</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个，实际完成值：</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个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eastAsia="仿宋_GB2312" w:cs="Times New Roman"/>
          <w:color w:val="auto"/>
          <w:sz w:val="32"/>
          <w:szCs w:val="32"/>
          <w:highlight w:val="none"/>
          <w:lang w:eastAsia="zh-CN"/>
        </w:rPr>
      </w:pPr>
      <w:r>
        <w:rPr>
          <w:rFonts w:hint="eastAsia" w:eastAsia="仿宋_GB2312" w:cs="Times New Roman"/>
          <w:color w:val="auto"/>
          <w:spacing w:val="0"/>
          <w:sz w:val="32"/>
          <w:szCs w:val="32"/>
          <w:highlight w:val="none"/>
          <w:lang w:eastAsia="zh-CN"/>
        </w:rPr>
        <w:t>此项权重分值为</w:t>
      </w:r>
      <w:r>
        <w:rPr>
          <w:rFonts w:hint="eastAsia" w:eastAsia="仿宋_GB2312" w:cs="Times New Roman"/>
          <w:color w:val="auto"/>
          <w:spacing w:val="0"/>
          <w:sz w:val="32"/>
          <w:szCs w:val="32"/>
          <w:highlight w:val="none"/>
          <w:lang w:val="en-US" w:eastAsia="zh-CN"/>
        </w:rPr>
        <w:t>10分，得分10分。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资金使用合规率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99.83%</w:t>
      </w:r>
      <w:r>
        <w:rPr>
          <w:rFonts w:hint="default" w:ascii="Times New Roman" w:hAnsi="Times New Roman" w:eastAsia="仿宋_GB2312" w:cs="Times New Roman"/>
          <w:color w:val="auto"/>
          <w:sz w:val="32"/>
          <w:szCs w:val="32"/>
          <w:highlight w:val="none"/>
        </w:rPr>
        <w:t>，指标完成</w:t>
      </w:r>
      <w:r>
        <w:rPr>
          <w:rFonts w:hint="eastAsia" w:eastAsia="仿宋_GB2312" w:cs="Times New Roman"/>
          <w:color w:val="auto"/>
          <w:sz w:val="32"/>
          <w:szCs w:val="32"/>
          <w:highlight w:val="none"/>
          <w:lang w:val="en-US" w:eastAsia="zh-CN"/>
        </w:rPr>
        <w:t>率</w:t>
      </w:r>
      <w:bookmarkStart w:id="14" w:name="_GoBack"/>
      <w:bookmarkEnd w:id="14"/>
      <w:r>
        <w:rPr>
          <w:rFonts w:hint="eastAsia" w:eastAsia="仿宋_GB2312" w:cs="Times New Roman"/>
          <w:color w:val="auto"/>
          <w:sz w:val="32"/>
          <w:szCs w:val="32"/>
          <w:highlight w:val="none"/>
          <w:lang w:val="en-US" w:eastAsia="zh-CN"/>
        </w:rPr>
        <w:t>99.83</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。偏差原因：因资金使用审批流程缓慢，影响经费及时支出。改进措施：加快办理资金审批支付手续。</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eastAsia" w:eastAsia="仿宋_GB2312" w:cs="Times New Roman"/>
          <w:color w:val="auto"/>
          <w:spacing w:val="0"/>
          <w:sz w:val="32"/>
          <w:szCs w:val="32"/>
          <w:highlight w:val="none"/>
          <w:lang w:eastAsia="zh-CN"/>
        </w:rPr>
        <w:t>此项权重分值为</w:t>
      </w:r>
      <w:r>
        <w:rPr>
          <w:rFonts w:hint="eastAsia" w:eastAsia="仿宋_GB2312" w:cs="Times New Roman"/>
          <w:color w:val="auto"/>
          <w:spacing w:val="0"/>
          <w:sz w:val="32"/>
          <w:szCs w:val="32"/>
          <w:highlight w:val="none"/>
          <w:lang w:val="en-US" w:eastAsia="zh-CN"/>
        </w:rPr>
        <w:t>10分，得分9.98分。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资金支付及时率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99.83%</w:t>
      </w:r>
      <w:r>
        <w:rPr>
          <w:rFonts w:hint="default" w:ascii="Times New Roman" w:hAnsi="Times New Roman" w:eastAsia="仿宋_GB2312" w:cs="Times New Roman"/>
          <w:color w:val="auto"/>
          <w:sz w:val="32"/>
          <w:szCs w:val="32"/>
          <w:highlight w:val="none"/>
        </w:rPr>
        <w:t>，指标完成</w:t>
      </w:r>
      <w:r>
        <w:rPr>
          <w:rFonts w:hint="eastAsia" w:eastAsia="仿宋_GB2312" w:cs="Times New Roman"/>
          <w:color w:val="auto"/>
          <w:sz w:val="32"/>
          <w:szCs w:val="32"/>
          <w:highlight w:val="none"/>
          <w:lang w:val="en-US" w:eastAsia="zh-CN"/>
        </w:rPr>
        <w:t>率99.83</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。偏差原因：因资金使用审批流程缓慢，影响经费及时支出。改进措施：加快办理资金审批支付手续。</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eastAsia" w:eastAsia="仿宋_GB2312" w:cs="Times New Roman"/>
          <w:color w:val="auto"/>
          <w:spacing w:val="0"/>
          <w:sz w:val="32"/>
          <w:szCs w:val="32"/>
          <w:highlight w:val="none"/>
          <w:lang w:eastAsia="zh-CN"/>
        </w:rPr>
        <w:t>此项权重分值为</w:t>
      </w:r>
      <w:r>
        <w:rPr>
          <w:rFonts w:hint="eastAsia" w:eastAsia="仿宋_GB2312" w:cs="Times New Roman"/>
          <w:color w:val="auto"/>
          <w:spacing w:val="0"/>
          <w:sz w:val="32"/>
          <w:szCs w:val="32"/>
          <w:highlight w:val="none"/>
          <w:lang w:val="en-US" w:eastAsia="zh-CN"/>
        </w:rPr>
        <w:t>10分，得分9.98分。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指标1：保障中型社区</w:t>
      </w:r>
      <w:r>
        <w:rPr>
          <w:rFonts w:hint="eastAsia" w:eastAsia="仿宋_GB2312" w:cs="Times New Roman"/>
          <w:color w:val="auto"/>
          <w:sz w:val="32"/>
          <w:szCs w:val="32"/>
          <w:highlight w:val="none"/>
          <w:lang w:eastAsia="zh-CN"/>
        </w:rPr>
        <w:t>正常运转经费成本</w:t>
      </w:r>
      <w:r>
        <w:rPr>
          <w:rFonts w:hint="default" w:ascii="Times New Roman" w:hAnsi="Times New Roman" w:eastAsia="仿宋_GB2312" w:cs="Times New Roman"/>
          <w:color w:val="auto"/>
          <w:sz w:val="32"/>
          <w:szCs w:val="32"/>
          <w:highlight w:val="none"/>
        </w:rPr>
        <w:t>，指标值：&lt;=30万</w:t>
      </w:r>
      <w:r>
        <w:rPr>
          <w:rFonts w:hint="eastAsia" w:eastAsia="仿宋_GB2312" w:cs="Times New Roman"/>
          <w:color w:val="auto"/>
          <w:sz w:val="32"/>
          <w:szCs w:val="32"/>
          <w:highlight w:val="none"/>
          <w:lang w:eastAsia="zh-CN"/>
        </w:rPr>
        <w:t>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30万元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：保障</w:t>
      </w:r>
      <w:r>
        <w:rPr>
          <w:rFonts w:hint="eastAsia" w:eastAsia="仿宋_GB2312" w:cs="Times New Roman"/>
          <w:color w:val="auto"/>
          <w:sz w:val="32"/>
          <w:szCs w:val="32"/>
          <w:highlight w:val="none"/>
          <w:lang w:val="en-US" w:eastAsia="zh-CN"/>
        </w:rPr>
        <w:t>小</w:t>
      </w:r>
      <w:r>
        <w:rPr>
          <w:rFonts w:hint="default" w:ascii="Times New Roman" w:hAnsi="Times New Roman" w:eastAsia="仿宋_GB2312" w:cs="Times New Roman"/>
          <w:color w:val="auto"/>
          <w:sz w:val="32"/>
          <w:szCs w:val="32"/>
          <w:highlight w:val="none"/>
        </w:rPr>
        <w:t>型社区</w:t>
      </w:r>
      <w:r>
        <w:rPr>
          <w:rFonts w:hint="eastAsia" w:eastAsia="仿宋_GB2312" w:cs="Times New Roman"/>
          <w:color w:val="auto"/>
          <w:sz w:val="32"/>
          <w:szCs w:val="32"/>
          <w:highlight w:val="none"/>
          <w:lang w:eastAsia="zh-CN"/>
        </w:rPr>
        <w:t>正常运转经费成本</w:t>
      </w:r>
      <w:r>
        <w:rPr>
          <w:rFonts w:hint="default" w:ascii="Times New Roman" w:hAnsi="Times New Roman" w:eastAsia="仿宋_GB2312" w:cs="Times New Roman"/>
          <w:color w:val="auto"/>
          <w:sz w:val="32"/>
          <w:szCs w:val="32"/>
          <w:highlight w:val="none"/>
        </w:rPr>
        <w:t>，指标值：&lt;=</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万</w:t>
      </w:r>
      <w:r>
        <w:rPr>
          <w:rFonts w:hint="eastAsia" w:eastAsia="仿宋_GB2312" w:cs="Times New Roman"/>
          <w:color w:val="auto"/>
          <w:sz w:val="32"/>
          <w:szCs w:val="32"/>
          <w:highlight w:val="none"/>
          <w:lang w:eastAsia="zh-CN"/>
        </w:rPr>
        <w:t>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9.93万元</w:t>
      </w:r>
      <w:r>
        <w:rPr>
          <w:rFonts w:hint="default" w:ascii="Times New Roman" w:hAnsi="Times New Roman" w:eastAsia="仿宋_GB2312" w:cs="Times New Roman"/>
          <w:color w:val="auto"/>
          <w:sz w:val="32"/>
          <w:szCs w:val="32"/>
          <w:highlight w:val="none"/>
        </w:rPr>
        <w:t xml:space="preserve"> ，指标完成率</w:t>
      </w:r>
      <w:r>
        <w:rPr>
          <w:rFonts w:hint="eastAsia" w:eastAsia="仿宋_GB2312" w:cs="Times New Roman"/>
          <w:color w:val="auto"/>
          <w:sz w:val="32"/>
          <w:szCs w:val="32"/>
          <w:highlight w:val="none"/>
          <w:lang w:val="en-US" w:eastAsia="zh-CN"/>
        </w:rPr>
        <w:t>99.30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。偏差原因：因资金使用审批流程缓慢，影响经费及时支出。改进措施：加快办理资金审批支付手续。</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eastAsia" w:eastAsia="仿宋_GB2312" w:cs="Times New Roman"/>
          <w:color w:val="auto"/>
          <w:spacing w:val="0"/>
          <w:sz w:val="32"/>
          <w:szCs w:val="32"/>
          <w:highlight w:val="none"/>
          <w:lang w:eastAsia="zh-CN"/>
        </w:rPr>
        <w:t>此项权重分值为</w:t>
      </w:r>
      <w:r>
        <w:rPr>
          <w:rFonts w:hint="eastAsia" w:eastAsia="仿宋_GB2312" w:cs="Times New Roman"/>
          <w:color w:val="auto"/>
          <w:spacing w:val="0"/>
          <w:sz w:val="32"/>
          <w:szCs w:val="32"/>
          <w:highlight w:val="none"/>
          <w:lang w:val="en-US" w:eastAsia="zh-CN"/>
        </w:rPr>
        <w:t>10分，得分9.97分。</w:t>
      </w:r>
    </w:p>
    <w:p>
      <w:pPr>
        <w:pStyle w:val="11"/>
        <w:numPr>
          <w:ilvl w:val="0"/>
          <w:numId w:val="4"/>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numPr>
          <w:ilvl w:val="0"/>
          <w:numId w:val="5"/>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受</w:t>
      </w:r>
      <w:r>
        <w:rPr>
          <w:rFonts w:hint="eastAsia" w:eastAsia="仿宋_GB2312" w:cs="Times New Roman"/>
          <w:color w:val="auto"/>
          <w:sz w:val="32"/>
          <w:szCs w:val="32"/>
          <w:highlight w:val="none"/>
          <w:lang w:eastAsia="zh-CN"/>
        </w:rPr>
        <w:t>益居民人数</w:t>
      </w:r>
      <w:r>
        <w:rPr>
          <w:rFonts w:hint="default" w:ascii="Times New Roman" w:hAnsi="Times New Roman" w:eastAsia="仿宋_GB2312" w:cs="Times New Roman"/>
          <w:color w:val="auto"/>
          <w:sz w:val="32"/>
          <w:szCs w:val="32"/>
          <w:highlight w:val="none"/>
        </w:rPr>
        <w:t>，指标值：&gt;=</w:t>
      </w:r>
      <w:r>
        <w:rPr>
          <w:rFonts w:hint="eastAsia" w:eastAsia="仿宋_GB2312" w:cs="Times New Roman"/>
          <w:color w:val="auto"/>
          <w:sz w:val="32"/>
          <w:szCs w:val="32"/>
          <w:highlight w:val="none"/>
          <w:lang w:val="en-US" w:eastAsia="zh-CN"/>
        </w:rPr>
        <w:t>10000人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12793人</w:t>
      </w:r>
      <w:r>
        <w:rPr>
          <w:rFonts w:hint="default" w:ascii="Times New Roman" w:hAnsi="Times New Roman" w:eastAsia="仿宋_GB2312" w:cs="Times New Roman"/>
          <w:color w:val="auto"/>
          <w:sz w:val="32"/>
          <w:szCs w:val="32"/>
          <w:highlight w:val="none"/>
        </w:rPr>
        <w:t>，指标完成</w:t>
      </w:r>
      <w:r>
        <w:rPr>
          <w:rFonts w:hint="eastAsia" w:eastAsia="仿宋_GB2312" w:cs="Times New Roman"/>
          <w:color w:val="auto"/>
          <w:sz w:val="32"/>
          <w:szCs w:val="32"/>
          <w:highlight w:val="none"/>
          <w:lang w:val="en-US" w:eastAsia="zh-CN"/>
        </w:rPr>
        <w:t>率127.93</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偏差原因：年初指标值设置偏低，后期因工作需要受益居民较多。改进措施：下年度合理设置指标。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居民满意度</w:t>
      </w:r>
      <w:r>
        <w:rPr>
          <w:rFonts w:hint="default" w:ascii="Times New Roman" w:hAnsi="Times New Roman" w:eastAsia="仿宋_GB2312" w:cs="Times New Roman"/>
          <w:color w:val="auto"/>
          <w:sz w:val="32"/>
          <w:szCs w:val="32"/>
          <w:highlight w:val="none"/>
        </w:rPr>
        <w:t>，指标值：&gt;=</w:t>
      </w:r>
      <w:r>
        <w:rPr>
          <w:rFonts w:hint="eastAsia" w:eastAsia="仿宋_GB2312" w:cs="Times New Roman"/>
          <w:color w:val="auto"/>
          <w:sz w:val="32"/>
          <w:szCs w:val="32"/>
          <w:highlight w:val="none"/>
          <w:lang w:val="en-US" w:eastAsia="zh-CN"/>
        </w:rPr>
        <w:t>95.00%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95.00%</w:t>
      </w:r>
      <w:r>
        <w:rPr>
          <w:rFonts w:hint="default" w:ascii="Times New Roman" w:hAnsi="Times New Roman" w:eastAsia="仿宋_GB2312" w:cs="Times New Roman"/>
          <w:color w:val="auto"/>
          <w:sz w:val="32"/>
          <w:szCs w:val="32"/>
          <w:highlight w:val="none"/>
        </w:rPr>
        <w:t>，指标完成</w:t>
      </w:r>
      <w:r>
        <w:rPr>
          <w:rFonts w:hint="eastAsia" w:eastAsia="仿宋_GB2312" w:cs="Times New Roman"/>
          <w:color w:val="auto"/>
          <w:sz w:val="32"/>
          <w:szCs w:val="32"/>
          <w:highlight w:val="none"/>
          <w:lang w:val="en-US" w:eastAsia="zh-CN"/>
        </w:rPr>
        <w:t>率100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pPr>
        <w:pStyle w:val="16"/>
        <w:spacing w:line="560" w:lineRule="exact"/>
        <w:ind w:firstLine="640"/>
        <w:rPr>
          <w:rFonts w:hint="default" w:ascii="Times New Roman" w:hAnsi="Times New Roman" w:eastAsia="方正仿宋_GBK" w:cs="Times New Roman"/>
          <w:color w:val="auto"/>
          <w:sz w:val="32"/>
          <w:szCs w:val="32"/>
          <w:highlight w:val="none"/>
          <w:lang w:eastAsia="zh-Hans"/>
        </w:rPr>
      </w:pPr>
      <w:r>
        <w:rPr>
          <w:rFonts w:hint="default" w:ascii="Times New Roman" w:hAnsi="Times New Roman" w:eastAsia="方正仿宋_GBK" w:cs="Times New Roman"/>
          <w:color w:val="auto"/>
          <w:sz w:val="32"/>
          <w:szCs w:val="32"/>
          <w:highlight w:val="none"/>
          <w:lang w:val="en-US" w:eastAsia="zh-CN"/>
        </w:rPr>
        <w:t>部门专项-社区党建工作经费</w:t>
      </w:r>
      <w:r>
        <w:rPr>
          <w:rFonts w:hint="default" w:ascii="Times New Roman" w:hAnsi="Times New Roman" w:eastAsia="方正仿宋_GBK" w:cs="Times New Roman"/>
          <w:color w:val="auto"/>
          <w:sz w:val="32"/>
          <w:szCs w:val="32"/>
          <w:highlight w:val="none"/>
        </w:rPr>
        <w:t>项目年初预算</w:t>
      </w:r>
      <w:r>
        <w:rPr>
          <w:rFonts w:hint="eastAsia" w:eastAsia="方正仿宋_GBK" w:cs="Times New Roman"/>
          <w:color w:val="auto"/>
          <w:sz w:val="32"/>
          <w:szCs w:val="32"/>
          <w:highlight w:val="none"/>
          <w:lang w:val="en-US" w:eastAsia="zh-CN"/>
        </w:rPr>
        <w:t>40</w:t>
      </w:r>
      <w:r>
        <w:rPr>
          <w:rFonts w:hint="default" w:ascii="Times New Roman" w:hAnsi="Times New Roman" w:eastAsia="方正仿宋_GBK" w:cs="Times New Roman"/>
          <w:color w:val="auto"/>
          <w:sz w:val="32"/>
          <w:szCs w:val="32"/>
          <w:highlight w:val="none"/>
        </w:rPr>
        <w:t>万元，全年预算</w:t>
      </w:r>
      <w:r>
        <w:rPr>
          <w:rFonts w:hint="eastAsia" w:eastAsia="方正仿宋_GBK" w:cs="Times New Roman"/>
          <w:color w:val="auto"/>
          <w:sz w:val="32"/>
          <w:szCs w:val="32"/>
          <w:highlight w:val="none"/>
          <w:lang w:val="en-US" w:eastAsia="zh-CN"/>
        </w:rPr>
        <w:t>40</w:t>
      </w:r>
      <w:r>
        <w:rPr>
          <w:rFonts w:hint="default" w:ascii="Times New Roman" w:hAnsi="Times New Roman" w:eastAsia="方正仿宋_GBK" w:cs="Times New Roman"/>
          <w:color w:val="auto"/>
          <w:sz w:val="32"/>
          <w:szCs w:val="32"/>
          <w:highlight w:val="none"/>
        </w:rPr>
        <w:t>万元，实际支出</w:t>
      </w:r>
      <w:r>
        <w:rPr>
          <w:rFonts w:hint="eastAsia" w:eastAsia="方正仿宋_GBK" w:cs="Times New Roman"/>
          <w:color w:val="auto"/>
          <w:sz w:val="32"/>
          <w:szCs w:val="32"/>
          <w:highlight w:val="none"/>
          <w:lang w:val="en-US" w:eastAsia="zh-CN"/>
        </w:rPr>
        <w:t>39.93</w:t>
      </w:r>
      <w:r>
        <w:rPr>
          <w:rFonts w:hint="default" w:ascii="Times New Roman" w:hAnsi="Times New Roman" w:eastAsia="方正仿宋_GBK" w:cs="Times New Roman"/>
          <w:color w:val="auto"/>
          <w:sz w:val="32"/>
          <w:szCs w:val="32"/>
          <w:highlight w:val="none"/>
        </w:rPr>
        <w:t>万元，预算执行率为</w:t>
      </w:r>
      <w:r>
        <w:rPr>
          <w:rFonts w:hint="eastAsia" w:eastAsia="方正仿宋_GBK" w:cs="Times New Roman"/>
          <w:color w:val="auto"/>
          <w:sz w:val="32"/>
          <w:szCs w:val="32"/>
          <w:highlight w:val="none"/>
          <w:lang w:val="en-US" w:eastAsia="zh-CN"/>
        </w:rPr>
        <w:t>99.83</w:t>
      </w:r>
      <w:r>
        <w:rPr>
          <w:rFonts w:hint="default" w:ascii="Times New Roman" w:hAnsi="Times New Roman" w:eastAsia="方正仿宋_GBK" w:cs="Times New Roman"/>
          <w:color w:val="auto"/>
          <w:sz w:val="32"/>
          <w:szCs w:val="32"/>
          <w:highlight w:val="none"/>
        </w:rPr>
        <w:t>%，项目绩效指标总体完成率为</w:t>
      </w:r>
      <w:r>
        <w:rPr>
          <w:rFonts w:hint="eastAsia" w:eastAsia="方正仿宋_GBK" w:cs="Times New Roman"/>
          <w:color w:val="auto"/>
          <w:sz w:val="32"/>
          <w:szCs w:val="32"/>
          <w:highlight w:val="none"/>
          <w:lang w:val="en-US" w:eastAsia="zh-CN"/>
        </w:rPr>
        <w:t>103.36</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Hans"/>
        </w:rPr>
        <w:t>总体</w:t>
      </w:r>
      <w:r>
        <w:rPr>
          <w:rFonts w:hint="default" w:ascii="Times New Roman" w:hAnsi="Times New Roman" w:eastAsia="方正仿宋_GBK" w:cs="Times New Roman"/>
          <w:color w:val="auto"/>
          <w:sz w:val="32"/>
          <w:szCs w:val="32"/>
          <w:highlight w:val="none"/>
        </w:rPr>
        <w:t>偏差率为</w:t>
      </w:r>
      <w:r>
        <w:rPr>
          <w:rFonts w:hint="eastAsia" w:eastAsia="方正仿宋_GBK" w:cs="Times New Roman"/>
          <w:color w:val="auto"/>
          <w:sz w:val="32"/>
          <w:szCs w:val="32"/>
          <w:highlight w:val="none"/>
          <w:lang w:val="en-US" w:eastAsia="zh-CN"/>
        </w:rPr>
        <w:t>3.53</w:t>
      </w:r>
      <w:r>
        <w:rPr>
          <w:rFonts w:hint="default" w:ascii="Times New Roman" w:hAnsi="Times New Roman" w:eastAsia="方正仿宋_GBK" w:cs="Times New Roman"/>
          <w:color w:val="auto"/>
          <w:sz w:val="32"/>
          <w:szCs w:val="32"/>
          <w:highlight w:val="none"/>
        </w:rPr>
        <w:t>%</w:t>
      </w:r>
      <w:r>
        <w:rPr>
          <w:rFonts w:hint="eastAsia" w:ascii="Times New Roman" w:hAnsi="Times New Roman" w:cs="Times New Roman"/>
          <w:color w:val="auto"/>
          <w:highlight w:val="none"/>
          <w:lang w:eastAsia="zh-CN"/>
        </w:rPr>
        <w:t>，</w:t>
      </w:r>
      <w:r>
        <w:rPr>
          <w:rFonts w:hint="default" w:ascii="Times New Roman" w:hAnsi="Times New Roman" w:eastAsia="方正仿宋_GBK" w:cs="Times New Roman"/>
          <w:color w:val="auto"/>
          <w:sz w:val="32"/>
          <w:szCs w:val="32"/>
          <w:highlight w:val="none"/>
          <w:lang w:eastAsia="zh-Hans"/>
        </w:rPr>
        <w:t>偏差原因：因资金使用审批流程缓慢，影响经费及时支出</w:t>
      </w:r>
      <w:r>
        <w:rPr>
          <w:rFonts w:hint="eastAsia"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eastAsia="zh-Hans"/>
        </w:rPr>
        <w:t>年初指标值设置偏低，后期因工作需要受益居民较多。改进措施：加快办理资金审批支付手续</w:t>
      </w:r>
      <w:r>
        <w:rPr>
          <w:rFonts w:hint="eastAsia"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eastAsia="zh-Hans"/>
        </w:rPr>
        <w:t>下年度合理设置指标。</w:t>
      </w:r>
    </w:p>
    <w:p>
      <w:pPr>
        <w:spacing w:line="560" w:lineRule="exact"/>
        <w:ind w:firstLine="640" w:firstLineChars="200"/>
        <w:rPr>
          <w:rStyle w:val="17"/>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 w:cs="Times New Roman"/>
          <w:b/>
          <w:color w:val="auto"/>
          <w:spacing w:val="0"/>
          <w:sz w:val="32"/>
          <w:szCs w:val="32"/>
          <w:highlight w:val="none"/>
        </w:rPr>
      </w:pPr>
      <w:r>
        <w:rPr>
          <w:rFonts w:hint="default" w:ascii="Times New Roman" w:hAnsi="Times New Roman" w:eastAsia="楷体" w:cs="Times New Roman"/>
          <w:b/>
          <w:color w:val="auto"/>
          <w:spacing w:val="0"/>
          <w:sz w:val="32"/>
          <w:szCs w:val="32"/>
          <w:highlight w:val="none"/>
        </w:rPr>
        <w:t>（一）主要经验及做法</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val="0"/>
          <w:bCs w:val="0"/>
          <w:color w:val="auto"/>
          <w:spacing w:val="0"/>
          <w:sz w:val="32"/>
          <w:szCs w:val="32"/>
          <w:highlight w:val="none"/>
        </w:rPr>
      </w:pPr>
      <w:r>
        <w:rPr>
          <w:rFonts w:hint="eastAsia" w:ascii="方正仿宋_GBK" w:hAnsi="方正仿宋_GBK" w:eastAsia="方正仿宋_GBK" w:cs="方正仿宋_GBK"/>
          <w:b/>
          <w:bCs/>
          <w:color w:val="auto"/>
          <w:spacing w:val="0"/>
          <w:sz w:val="32"/>
          <w:szCs w:val="32"/>
          <w:highlight w:val="none"/>
          <w:lang w:eastAsia="zh-CN"/>
        </w:rPr>
        <w:t>一是</w:t>
      </w:r>
      <w:r>
        <w:rPr>
          <w:rFonts w:hint="eastAsia" w:ascii="方正仿宋_GBK" w:hAnsi="方正仿宋_GBK" w:eastAsia="方正仿宋_GBK" w:cs="方正仿宋_GBK"/>
          <w:b/>
          <w:bCs/>
          <w:color w:val="auto"/>
          <w:spacing w:val="0"/>
          <w:sz w:val="32"/>
          <w:szCs w:val="32"/>
          <w:highlight w:val="none"/>
        </w:rPr>
        <w:t>科学规划，确保经费使用效益</w:t>
      </w:r>
      <w:r>
        <w:rPr>
          <w:rFonts w:hint="eastAsia" w:ascii="方正仿宋_GBK" w:hAnsi="方正仿宋_GBK" w:eastAsia="方正仿宋_GBK" w:cs="方正仿宋_GBK"/>
          <w:b/>
          <w:bCs/>
          <w:color w:val="auto"/>
          <w:spacing w:val="0"/>
          <w:sz w:val="32"/>
          <w:szCs w:val="32"/>
          <w:highlight w:val="none"/>
          <w:lang w:eastAsia="zh-CN"/>
        </w:rPr>
        <w:t>。</w:t>
      </w:r>
      <w:r>
        <w:rPr>
          <w:rFonts w:hint="eastAsia" w:ascii="方正仿宋_GBK" w:hAnsi="方正仿宋_GBK" w:eastAsia="方正仿宋_GBK" w:cs="方正仿宋_GBK"/>
          <w:b w:val="0"/>
          <w:bCs w:val="0"/>
          <w:color w:val="auto"/>
          <w:spacing w:val="0"/>
          <w:sz w:val="32"/>
          <w:szCs w:val="32"/>
          <w:highlight w:val="none"/>
        </w:rPr>
        <w:t>精准立项：深入调研社区党员群众需求，聚焦基层治理难点，确保项目与社区发展紧密结合，避免“撒胡椒面”式投入。预算细化：制定详细的经费使用计划，明确支出标准和范围，强化预算约束，杜绝浪费和挪用</w:t>
      </w:r>
      <w:r>
        <w:rPr>
          <w:rFonts w:hint="eastAsia" w:ascii="方正仿宋_GBK" w:hAnsi="方正仿宋_GBK" w:eastAsia="方正仿宋_GBK" w:cs="方正仿宋_GBK"/>
          <w:b w:val="0"/>
          <w:bCs w:val="0"/>
          <w:color w:val="auto"/>
          <w:spacing w:val="0"/>
          <w:sz w:val="32"/>
          <w:szCs w:val="32"/>
          <w:highlight w:val="none"/>
          <w:lang w:eastAsia="zh-CN"/>
        </w:rPr>
        <w:t>。</w:t>
      </w:r>
      <w:r>
        <w:rPr>
          <w:rFonts w:hint="eastAsia" w:ascii="方正仿宋_GBK" w:hAnsi="方正仿宋_GBK" w:eastAsia="方正仿宋_GBK" w:cs="方正仿宋_GBK"/>
          <w:b w:val="0"/>
          <w:bCs w:val="0"/>
          <w:color w:val="auto"/>
          <w:spacing w:val="0"/>
          <w:sz w:val="32"/>
          <w:szCs w:val="32"/>
          <w:highlight w:val="none"/>
        </w:rPr>
        <w:t>绩效评估：建立科学的绩效评估体系，对项目执行情况和效果进行跟踪评估，及时调整优化，确保资金效益最大化。</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val="0"/>
          <w:bCs w:val="0"/>
          <w:color w:val="auto"/>
          <w:spacing w:val="0"/>
          <w:sz w:val="32"/>
          <w:szCs w:val="32"/>
          <w:highlight w:val="none"/>
        </w:rPr>
      </w:pPr>
      <w:r>
        <w:rPr>
          <w:rFonts w:hint="eastAsia" w:ascii="方正仿宋_GBK" w:hAnsi="方正仿宋_GBK" w:eastAsia="方正仿宋_GBK" w:cs="方正仿宋_GBK"/>
          <w:b/>
          <w:bCs/>
          <w:color w:val="auto"/>
          <w:spacing w:val="0"/>
          <w:sz w:val="32"/>
          <w:szCs w:val="32"/>
          <w:highlight w:val="none"/>
          <w:lang w:eastAsia="zh-CN"/>
        </w:rPr>
        <w:t>二是规范管理，保障经费使用安全。</w:t>
      </w:r>
      <w:r>
        <w:rPr>
          <w:rFonts w:hint="eastAsia" w:ascii="方正仿宋_GBK" w:hAnsi="方正仿宋_GBK" w:eastAsia="方正仿宋_GBK" w:cs="方正仿宋_GBK"/>
          <w:b w:val="0"/>
          <w:bCs w:val="0"/>
          <w:color w:val="auto"/>
          <w:spacing w:val="0"/>
          <w:sz w:val="32"/>
          <w:szCs w:val="32"/>
          <w:highlight w:val="none"/>
        </w:rPr>
        <w:t>制度先行：建立健全经费管理制度，明确审批流程、使用规范和监管责任，做到有章可循、有据可依。公开透明：推行党务公开，定期公示经费使用情况，接受党员群众监督，增强资金使用透明度。强化监督：发挥社区纪检组织和党员群众的监督作用，对经费使用进行全过程监督，严肃查处违规违纪行为。</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val="0"/>
          <w:bCs w:val="0"/>
          <w:color w:val="auto"/>
          <w:spacing w:val="0"/>
          <w:sz w:val="32"/>
          <w:szCs w:val="32"/>
          <w:highlight w:val="none"/>
        </w:rPr>
      </w:pPr>
      <w:r>
        <w:rPr>
          <w:rFonts w:hint="eastAsia" w:ascii="方正仿宋_GBK" w:hAnsi="方正仿宋_GBK" w:eastAsia="方正仿宋_GBK" w:cs="方正仿宋_GBK"/>
          <w:b/>
          <w:bCs/>
          <w:color w:val="auto"/>
          <w:spacing w:val="0"/>
          <w:sz w:val="32"/>
          <w:szCs w:val="32"/>
          <w:highlight w:val="none"/>
          <w:lang w:eastAsia="zh-CN"/>
        </w:rPr>
        <w:t>三是创新形式，激发党建工作活力。</w:t>
      </w:r>
      <w:r>
        <w:rPr>
          <w:rFonts w:hint="eastAsia" w:ascii="方正仿宋_GBK" w:hAnsi="方正仿宋_GBK" w:eastAsia="方正仿宋_GBK" w:cs="方正仿宋_GBK"/>
          <w:b w:val="0"/>
          <w:bCs w:val="0"/>
          <w:color w:val="auto"/>
          <w:spacing w:val="0"/>
          <w:sz w:val="32"/>
          <w:szCs w:val="32"/>
          <w:highlight w:val="none"/>
        </w:rPr>
        <w:t>项目化运作：将党建工作融入具体项目，以项目化方式推进，提升党建工作的针对性和实效性。社会化参与：鼓励社会组织、企事业单位等参与社区党建项目，形成共建共治共享的良好局面。信息化赋能：利用互联网、大数据等技术手段，提高经费管理效率，拓宽党建工作渠道，增强党建工作吸引力。</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val="0"/>
          <w:bCs w:val="0"/>
          <w:color w:val="auto"/>
          <w:spacing w:val="0"/>
          <w:sz w:val="32"/>
          <w:szCs w:val="32"/>
          <w:highlight w:val="none"/>
        </w:rPr>
      </w:pPr>
      <w:r>
        <w:rPr>
          <w:rFonts w:hint="eastAsia" w:ascii="方正仿宋_GBK" w:hAnsi="方正仿宋_GBK" w:eastAsia="方正仿宋_GBK" w:cs="方正仿宋_GBK"/>
          <w:b/>
          <w:bCs/>
          <w:color w:val="auto"/>
          <w:spacing w:val="0"/>
          <w:sz w:val="32"/>
          <w:szCs w:val="32"/>
          <w:highlight w:val="none"/>
          <w:lang w:eastAsia="zh-CN"/>
        </w:rPr>
        <w:t>四是注重实效，提升党员群众获得感。</w:t>
      </w:r>
      <w:r>
        <w:rPr>
          <w:rFonts w:hint="eastAsia" w:ascii="方正仿宋_GBK" w:hAnsi="方正仿宋_GBK" w:eastAsia="方正仿宋_GBK" w:cs="方正仿宋_GBK"/>
          <w:b w:val="0"/>
          <w:bCs w:val="0"/>
          <w:color w:val="auto"/>
          <w:spacing w:val="0"/>
          <w:sz w:val="32"/>
          <w:szCs w:val="32"/>
          <w:highlight w:val="none"/>
        </w:rPr>
        <w:t>服务群众：将经费主要用于服务党员群众，开展形式多样的党建活动，解决群众实际困难，增强党组织的凝聚力和向心力。促进发展：通过党建项目推动社区经济发展、文化繁荣、环境改善，提升居民幸福感和获得感。打造品牌：注重总结经验，培育特色党建品牌，发挥示范引领作用，推动社区党建工作整体水平提升。</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val="0"/>
          <w:bCs w:val="0"/>
          <w:color w:val="auto"/>
          <w:spacing w:val="0"/>
          <w:sz w:val="32"/>
          <w:szCs w:val="32"/>
          <w:highlight w:val="none"/>
        </w:rPr>
      </w:pPr>
      <w:r>
        <w:rPr>
          <w:rFonts w:hint="eastAsia" w:ascii="方正仿宋_GBK" w:hAnsi="方正仿宋_GBK" w:eastAsia="方正仿宋_GBK" w:cs="方正仿宋_GBK"/>
          <w:b w:val="0"/>
          <w:bCs w:val="0"/>
          <w:color w:val="auto"/>
          <w:spacing w:val="0"/>
          <w:sz w:val="32"/>
          <w:szCs w:val="32"/>
          <w:highlight w:val="none"/>
        </w:rPr>
        <w:t>通过以上做法，我们有效提升了社区党建工作经费的使用效益，为社区党建工作的创新发展提供了有力保障。</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color w:val="auto"/>
          <w:spacing w:val="0"/>
          <w:sz w:val="32"/>
          <w:szCs w:val="32"/>
          <w:highlight w:val="none"/>
        </w:rPr>
      </w:pPr>
      <w:r>
        <w:rPr>
          <w:rFonts w:hint="eastAsia" w:eastAsia="楷体_GB2312" w:cs="Times New Roman"/>
          <w:b/>
          <w:bCs/>
          <w:color w:val="auto"/>
          <w:spacing w:val="0"/>
          <w:sz w:val="32"/>
          <w:szCs w:val="32"/>
          <w:highlight w:val="none"/>
          <w:lang w:eastAsia="zh-CN"/>
        </w:rPr>
        <w:t>（二）</w:t>
      </w:r>
      <w:r>
        <w:rPr>
          <w:rFonts w:hint="default" w:ascii="Times New Roman" w:hAnsi="Times New Roman" w:eastAsia="楷体_GB2312" w:cs="Times New Roman"/>
          <w:b/>
          <w:bCs/>
          <w:color w:val="auto"/>
          <w:spacing w:val="0"/>
          <w:sz w:val="32"/>
          <w:szCs w:val="32"/>
          <w:highlight w:val="none"/>
        </w:rPr>
        <w:t>存在的问题及原因分析</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b w:val="0"/>
          <w:bCs w:val="0"/>
          <w:color w:val="auto"/>
          <w:spacing w:val="0"/>
          <w:sz w:val="32"/>
          <w:szCs w:val="32"/>
          <w:highlight w:val="none"/>
          <w:lang w:val="en-US" w:eastAsia="zh-CN"/>
        </w:rPr>
      </w:pPr>
      <w:r>
        <w:rPr>
          <w:rFonts w:hint="eastAsia" w:ascii="方正仿宋_GBK" w:hAnsi="方正仿宋_GBK" w:eastAsia="方正仿宋_GBK" w:cs="方正仿宋_GBK"/>
          <w:b w:val="0"/>
          <w:bCs w:val="0"/>
          <w:color w:val="auto"/>
          <w:spacing w:val="0"/>
          <w:sz w:val="32"/>
          <w:szCs w:val="32"/>
          <w:highlight w:val="none"/>
          <w:lang w:val="en-US" w:eastAsia="zh-CN"/>
        </w:rPr>
        <w:t>1.</w:t>
      </w:r>
      <w:r>
        <w:rPr>
          <w:rFonts w:hint="default" w:ascii="方正仿宋_GBK" w:hAnsi="方正仿宋_GBK" w:eastAsia="方正仿宋_GBK" w:cs="方正仿宋_GBK"/>
          <w:b w:val="0"/>
          <w:bCs w:val="0"/>
          <w:color w:val="auto"/>
          <w:spacing w:val="0"/>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b w:val="0"/>
          <w:bCs w:val="0"/>
          <w:color w:val="auto"/>
          <w:spacing w:val="0"/>
          <w:sz w:val="32"/>
          <w:szCs w:val="32"/>
          <w:highlight w:val="none"/>
          <w:lang w:val="en-US" w:eastAsia="zh-CN"/>
        </w:rPr>
      </w:pPr>
      <w:r>
        <w:rPr>
          <w:rFonts w:hint="eastAsia" w:ascii="方正仿宋_GBK" w:hAnsi="方正仿宋_GBK" w:eastAsia="方正仿宋_GBK" w:cs="方正仿宋_GBK"/>
          <w:b w:val="0"/>
          <w:bCs w:val="0"/>
          <w:color w:val="auto"/>
          <w:spacing w:val="0"/>
          <w:sz w:val="32"/>
          <w:szCs w:val="32"/>
          <w:highlight w:val="none"/>
          <w:lang w:val="en-US" w:eastAsia="zh-CN"/>
        </w:rPr>
        <w:t>2.</w:t>
      </w:r>
      <w:r>
        <w:rPr>
          <w:rFonts w:hint="default" w:ascii="方正仿宋_GBK" w:hAnsi="方正仿宋_GBK" w:eastAsia="方正仿宋_GBK" w:cs="方正仿宋_GBK"/>
          <w:b w:val="0"/>
          <w:bCs w:val="0"/>
          <w:color w:val="auto"/>
          <w:spacing w:val="0"/>
          <w:sz w:val="32"/>
          <w:szCs w:val="32"/>
          <w:highlight w:val="none"/>
          <w:lang w:val="en-US" w:eastAsia="zh-CN"/>
        </w:rPr>
        <w:t>人员专业能力欠缺</w:t>
      </w:r>
      <w:r>
        <w:rPr>
          <w:rFonts w:hint="eastAsia" w:ascii="方正仿宋_GBK" w:hAnsi="方正仿宋_GBK" w:eastAsia="方正仿宋_GBK" w:cs="方正仿宋_GBK"/>
          <w:b w:val="0"/>
          <w:bCs w:val="0"/>
          <w:color w:val="auto"/>
          <w:spacing w:val="0"/>
          <w:sz w:val="32"/>
          <w:szCs w:val="32"/>
          <w:highlight w:val="none"/>
          <w:lang w:val="en-US" w:eastAsia="zh-CN"/>
        </w:rPr>
        <w:t>。</w:t>
      </w:r>
      <w:r>
        <w:rPr>
          <w:rFonts w:hint="default" w:ascii="方正仿宋_GBK" w:hAnsi="方正仿宋_GBK" w:eastAsia="方正仿宋_GBK" w:cs="方正仿宋_GBK"/>
          <w:b w:val="0"/>
          <w:bCs w:val="0"/>
          <w:color w:val="auto"/>
          <w:spacing w:val="0"/>
          <w:sz w:val="32"/>
          <w:szCs w:val="32"/>
          <w:highlight w:val="none"/>
          <w:lang w:val="en-US" w:eastAsia="zh-CN"/>
        </w:rPr>
        <w:t>社区党务工作者对经费管理和项目运作的专业知识不足，导致项目策划和执行水平不高，影响整体成效。</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b w:val="0"/>
          <w:bCs w:val="0"/>
          <w:color w:val="auto"/>
          <w:spacing w:val="0"/>
          <w:sz w:val="32"/>
          <w:szCs w:val="32"/>
          <w:highlight w:val="none"/>
          <w:lang w:val="en-US" w:eastAsia="zh-CN"/>
        </w:rPr>
      </w:pPr>
      <w:r>
        <w:rPr>
          <w:rFonts w:hint="eastAsia" w:ascii="方正仿宋_GBK" w:hAnsi="方正仿宋_GBK" w:eastAsia="方正仿宋_GBK" w:cs="方正仿宋_GBK"/>
          <w:b w:val="0"/>
          <w:bCs w:val="0"/>
          <w:color w:val="auto"/>
          <w:spacing w:val="0"/>
          <w:sz w:val="32"/>
          <w:szCs w:val="32"/>
          <w:highlight w:val="none"/>
          <w:lang w:val="en-US" w:eastAsia="zh-CN"/>
        </w:rPr>
        <w:t>3.</w:t>
      </w:r>
      <w:r>
        <w:rPr>
          <w:rFonts w:hint="default" w:ascii="方正仿宋_GBK" w:hAnsi="方正仿宋_GBK" w:eastAsia="方正仿宋_GBK" w:cs="方正仿宋_GBK"/>
          <w:b w:val="0"/>
          <w:bCs w:val="0"/>
          <w:color w:val="auto"/>
          <w:spacing w:val="0"/>
          <w:sz w:val="32"/>
          <w:szCs w:val="32"/>
          <w:highlight w:val="none"/>
          <w:lang w:val="en-US" w:eastAsia="zh-CN"/>
        </w:rPr>
        <w:t>项目创新不足</w:t>
      </w:r>
      <w:r>
        <w:rPr>
          <w:rFonts w:hint="eastAsia" w:ascii="方正仿宋_GBK" w:hAnsi="方正仿宋_GBK" w:eastAsia="方正仿宋_GBK" w:cs="方正仿宋_GBK"/>
          <w:b w:val="0"/>
          <w:bCs w:val="0"/>
          <w:color w:val="auto"/>
          <w:spacing w:val="0"/>
          <w:sz w:val="32"/>
          <w:szCs w:val="32"/>
          <w:highlight w:val="none"/>
          <w:lang w:val="en-US" w:eastAsia="zh-CN"/>
        </w:rPr>
        <w:t>。</w:t>
      </w:r>
      <w:r>
        <w:rPr>
          <w:rFonts w:hint="default" w:ascii="方正仿宋_GBK" w:hAnsi="方正仿宋_GBK" w:eastAsia="方正仿宋_GBK" w:cs="方正仿宋_GBK"/>
          <w:b w:val="0"/>
          <w:bCs w:val="0"/>
          <w:color w:val="auto"/>
          <w:spacing w:val="0"/>
          <w:sz w:val="32"/>
          <w:szCs w:val="32"/>
          <w:highlight w:val="none"/>
          <w:lang w:val="en-US" w:eastAsia="zh-CN"/>
        </w:rPr>
        <w:t>部分项目形式单一，内容缺乏吸引力，未能充分调动党员群众的参与热情。同时，对社会资源的整合利用不足，未能形成共建共享的良好格局。</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b w:val="0"/>
          <w:bCs w:val="0"/>
          <w:color w:val="auto"/>
          <w:spacing w:val="0"/>
          <w:sz w:val="32"/>
          <w:szCs w:val="32"/>
          <w:highlight w:val="none"/>
          <w:lang w:val="en-US" w:eastAsia="zh-CN"/>
        </w:rPr>
      </w:pPr>
      <w:r>
        <w:rPr>
          <w:rFonts w:hint="eastAsia" w:ascii="方正仿宋_GBK" w:hAnsi="方正仿宋_GBK" w:eastAsia="方正仿宋_GBK" w:cs="方正仿宋_GBK"/>
          <w:b w:val="0"/>
          <w:bCs w:val="0"/>
          <w:color w:val="auto"/>
          <w:spacing w:val="0"/>
          <w:sz w:val="32"/>
          <w:szCs w:val="32"/>
          <w:highlight w:val="none"/>
          <w:lang w:val="en-US" w:eastAsia="zh-CN"/>
        </w:rPr>
        <w:t>4.</w:t>
      </w:r>
      <w:r>
        <w:rPr>
          <w:rFonts w:hint="default" w:ascii="方正仿宋_GBK" w:hAnsi="方正仿宋_GBK" w:eastAsia="方正仿宋_GBK" w:cs="方正仿宋_GBK"/>
          <w:b w:val="0"/>
          <w:bCs w:val="0"/>
          <w:color w:val="auto"/>
          <w:spacing w:val="0"/>
          <w:sz w:val="32"/>
          <w:szCs w:val="32"/>
          <w:highlight w:val="none"/>
          <w:lang w:val="en-US" w:eastAsia="zh-CN"/>
        </w:rPr>
        <w:t>因轮岗、调动</w:t>
      </w:r>
      <w:r>
        <w:rPr>
          <w:rFonts w:hint="eastAsia" w:ascii="方正仿宋_GBK" w:hAnsi="方正仿宋_GBK" w:eastAsia="方正仿宋_GBK" w:cs="方正仿宋_GBK"/>
          <w:b w:val="0"/>
          <w:bCs w:val="0"/>
          <w:color w:val="auto"/>
          <w:spacing w:val="0"/>
          <w:sz w:val="32"/>
          <w:szCs w:val="32"/>
          <w:highlight w:val="none"/>
          <w:lang w:val="en-US" w:eastAsia="zh-CN"/>
        </w:rPr>
        <w:t>等</w:t>
      </w:r>
      <w:r>
        <w:rPr>
          <w:rFonts w:hint="default" w:ascii="方正仿宋_GBK" w:hAnsi="方正仿宋_GBK" w:eastAsia="方正仿宋_GBK" w:cs="方正仿宋_GBK"/>
          <w:b w:val="0"/>
          <w:bCs w:val="0"/>
          <w:color w:val="auto"/>
          <w:spacing w:val="0"/>
          <w:sz w:val="32"/>
          <w:szCs w:val="32"/>
          <w:highlight w:val="none"/>
          <w:lang w:val="en-US" w:eastAsia="zh-CN"/>
        </w:rPr>
        <w:t>因素使我单位绩效工作人员流动频繁，</w:t>
      </w:r>
      <w:r>
        <w:rPr>
          <w:rFonts w:hint="eastAsia" w:ascii="方正仿宋_GBK" w:hAnsi="方正仿宋_GBK" w:eastAsia="方正仿宋_GBK" w:cs="方正仿宋_GBK"/>
          <w:b w:val="0"/>
          <w:bCs w:val="0"/>
          <w:color w:val="auto"/>
          <w:spacing w:val="0"/>
          <w:sz w:val="32"/>
          <w:szCs w:val="32"/>
          <w:highlight w:val="none"/>
          <w:lang w:val="en-US" w:eastAsia="zh-CN"/>
        </w:rPr>
        <w:t>造成</w:t>
      </w:r>
      <w:r>
        <w:rPr>
          <w:rFonts w:hint="default" w:ascii="方正仿宋_GBK" w:hAnsi="方正仿宋_GBK" w:eastAsia="方正仿宋_GBK" w:cs="方正仿宋_GBK"/>
          <w:b w:val="0"/>
          <w:bCs w:val="0"/>
          <w:color w:val="auto"/>
          <w:spacing w:val="0"/>
          <w:sz w:val="32"/>
          <w:szCs w:val="32"/>
          <w:highlight w:val="none"/>
          <w:lang w:val="en-US" w:eastAsia="zh-CN"/>
        </w:rPr>
        <w:t>工作衔接不到位的情况。</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b w:val="0"/>
          <w:bCs w:val="0"/>
          <w:color w:val="auto"/>
          <w:spacing w:val="0"/>
          <w:sz w:val="32"/>
          <w:szCs w:val="32"/>
          <w:highlight w:val="none"/>
          <w:lang w:val="en-US" w:eastAsia="zh-CN"/>
        </w:rPr>
      </w:pPr>
      <w:r>
        <w:rPr>
          <w:rFonts w:hint="default" w:ascii="方正仿宋_GBK" w:hAnsi="方正仿宋_GBK" w:eastAsia="方正仿宋_GBK" w:cs="方正仿宋_GBK"/>
          <w:b w:val="0"/>
          <w:bCs w:val="0"/>
          <w:color w:val="auto"/>
          <w:spacing w:val="0"/>
          <w:sz w:val="32"/>
          <w:szCs w:val="32"/>
          <w:highlight w:val="none"/>
          <w:lang w:val="en-US" w:eastAsia="zh-CN"/>
        </w:rPr>
        <w:t>以上问题主要源于制度落实不到位、监督机制不健全以及人员培训不足，需通过加强规范化管理、创新工作方式和提升人员素质加以解决。</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b w:val="0"/>
          <w:bCs w:val="0"/>
          <w:color w:val="auto"/>
          <w:spacing w:val="0"/>
          <w:sz w:val="32"/>
          <w:szCs w:val="32"/>
          <w:highlight w:val="none"/>
        </w:rPr>
      </w:pPr>
      <w:r>
        <w:rPr>
          <w:rFonts w:hint="eastAsia" w:ascii="方正仿宋_GBK" w:hAnsi="方正仿宋_GBK" w:eastAsia="方正仿宋_GBK" w:cs="方正仿宋_GBK"/>
          <w:b w:val="0"/>
          <w:bCs w:val="0"/>
          <w:color w:val="auto"/>
          <w:spacing w:val="0"/>
          <w:sz w:val="32"/>
          <w:szCs w:val="32"/>
          <w:highlight w:val="none"/>
          <w:lang w:val="en-US" w:eastAsia="zh-CN"/>
        </w:rPr>
        <w:t>六</w:t>
      </w:r>
      <w:r>
        <w:rPr>
          <w:rFonts w:hint="default" w:ascii="方正仿宋_GBK" w:hAnsi="方正仿宋_GBK" w:eastAsia="方正仿宋_GBK" w:cs="方正仿宋_GBK"/>
          <w:b w:val="0"/>
          <w:bCs w:val="0"/>
          <w:color w:val="auto"/>
          <w:spacing w:val="0"/>
          <w:sz w:val="32"/>
          <w:szCs w:val="32"/>
          <w:highlight w:val="none"/>
          <w:lang w:val="en-US" w:eastAsia="zh-CN"/>
        </w:rPr>
        <w:t>.</w:t>
      </w:r>
      <w:r>
        <w:rPr>
          <w:rFonts w:hint="default" w:ascii="方正仿宋_GBK" w:hAnsi="方正仿宋_GBK" w:eastAsia="方正仿宋_GBK" w:cs="方正仿宋_GBK"/>
          <w:b w:val="0"/>
          <w:bCs w:val="0"/>
          <w:color w:val="auto"/>
          <w:spacing w:val="0"/>
          <w:sz w:val="32"/>
          <w:szCs w:val="32"/>
          <w:highlight w:val="none"/>
        </w:rPr>
        <w:t>有关建议</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b w:val="0"/>
          <w:bCs w:val="0"/>
          <w:color w:val="auto"/>
          <w:spacing w:val="0"/>
          <w:sz w:val="32"/>
          <w:szCs w:val="32"/>
          <w:highlight w:val="none"/>
          <w:lang w:val="en-US" w:eastAsia="zh-CN"/>
        </w:rPr>
      </w:pPr>
      <w:r>
        <w:rPr>
          <w:rFonts w:hint="default" w:ascii="方正仿宋_GBK" w:hAnsi="方正仿宋_GBK" w:eastAsia="方正仿宋_GBK" w:cs="方正仿宋_GBK"/>
          <w:b w:val="0"/>
          <w:bCs w:val="0"/>
          <w:color w:val="auto"/>
          <w:spacing w:val="0"/>
          <w:sz w:val="32"/>
          <w:szCs w:val="32"/>
          <w:highlight w:val="none"/>
          <w:lang w:val="en-US" w:eastAsia="zh-CN"/>
        </w:rPr>
        <w:t>1.多进行有关绩效管理工作方面的培训。积极组织第三方开展绩效管理工作培训，进一步夯实业务基础，提高我单位绩效人员水平。</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b w:val="0"/>
          <w:bCs w:val="0"/>
          <w:color w:val="auto"/>
          <w:spacing w:val="0"/>
          <w:sz w:val="32"/>
          <w:szCs w:val="32"/>
          <w:highlight w:val="none"/>
          <w:lang w:val="en-US" w:eastAsia="zh-CN"/>
        </w:rPr>
      </w:pPr>
      <w:r>
        <w:rPr>
          <w:rFonts w:hint="default" w:ascii="方正仿宋_GBK" w:hAnsi="方正仿宋_GBK" w:eastAsia="方正仿宋_GBK" w:cs="方正仿宋_GBK"/>
          <w:b w:val="0"/>
          <w:bCs w:val="0"/>
          <w:color w:val="auto"/>
          <w:spacing w:val="0"/>
          <w:sz w:val="32"/>
          <w:szCs w:val="32"/>
          <w:highlight w:val="none"/>
          <w:lang w:val="en-US" w:eastAsia="zh-CN"/>
        </w:rPr>
        <w:t>2.</w:t>
      </w:r>
      <w:r>
        <w:rPr>
          <w:rFonts w:hint="eastAsia" w:ascii="方正仿宋_GBK" w:hAnsi="方正仿宋_GBK" w:eastAsia="方正仿宋_GBK" w:cs="方正仿宋_GBK"/>
          <w:b w:val="0"/>
          <w:bCs w:val="0"/>
          <w:color w:val="auto"/>
          <w:spacing w:val="0"/>
          <w:sz w:val="32"/>
          <w:szCs w:val="32"/>
          <w:highlight w:val="none"/>
          <w:lang w:val="en-US" w:eastAsia="zh-CN"/>
        </w:rPr>
        <w:t>开展形式多样的项目，制定具有吸引力的内容，充分调动党员群众的参与热情，并整合利用好社会资源，形成共建共享的良好格局。</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b w:val="0"/>
          <w:bCs w:val="0"/>
          <w:color w:val="auto"/>
          <w:spacing w:val="0"/>
          <w:sz w:val="32"/>
          <w:szCs w:val="32"/>
          <w:highlight w:val="none"/>
          <w:lang w:val="en-US" w:eastAsia="zh-CN"/>
        </w:rPr>
      </w:pPr>
      <w:r>
        <w:rPr>
          <w:rFonts w:hint="eastAsia" w:ascii="方正仿宋_GBK" w:hAnsi="方正仿宋_GBK" w:eastAsia="方正仿宋_GBK" w:cs="方正仿宋_GBK"/>
          <w:b w:val="0"/>
          <w:bCs w:val="0"/>
          <w:color w:val="auto"/>
          <w:spacing w:val="0"/>
          <w:sz w:val="32"/>
          <w:szCs w:val="32"/>
          <w:highlight w:val="none"/>
          <w:lang w:val="en-US" w:eastAsia="zh-CN"/>
        </w:rPr>
        <w:t>3.</w:t>
      </w:r>
      <w:r>
        <w:rPr>
          <w:rFonts w:hint="default" w:ascii="方正仿宋_GBK" w:hAnsi="方正仿宋_GBK" w:eastAsia="方正仿宋_GBK" w:cs="方正仿宋_GBK"/>
          <w:b w:val="0"/>
          <w:bCs w:val="0"/>
          <w:color w:val="auto"/>
          <w:spacing w:val="0"/>
          <w:sz w:val="32"/>
          <w:szCs w:val="32"/>
          <w:highlight w:val="none"/>
          <w:lang w:val="en-US" w:eastAsia="zh-CN"/>
        </w:rPr>
        <w:t>专门设定对绩效工作人员定职、定岗、定责等相关制度措施，进一步提升我单位绩效管理工作业务水平，扎实做好绩效管理工作。</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b w:val="0"/>
          <w:bCs w:val="0"/>
          <w:color w:val="auto"/>
          <w:spacing w:val="0"/>
          <w:sz w:val="32"/>
          <w:szCs w:val="32"/>
          <w:highlight w:val="none"/>
          <w:lang w:val="en-US" w:eastAsia="zh-CN"/>
        </w:rPr>
      </w:pPr>
      <w:r>
        <w:rPr>
          <w:rFonts w:hint="default" w:ascii="方正仿宋_GBK" w:hAnsi="方正仿宋_GBK" w:eastAsia="方正仿宋_GBK" w:cs="方正仿宋_GBK"/>
          <w:b w:val="0"/>
          <w:bCs w:val="0"/>
          <w:color w:val="auto"/>
          <w:spacing w:val="0"/>
          <w:sz w:val="32"/>
          <w:szCs w:val="32"/>
          <w:highlight w:val="none"/>
          <w:lang w:val="en-US" w:eastAsia="zh-CN"/>
        </w:rPr>
        <w:t>4.进一步加强对绩效管理工作的组织领导，提高对预算绩效管理工作重要性的认识，总结经验查找问题，抓紧研究制定更全面更完善的绩效评价管理办法。</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b w:val="0"/>
          <w:bCs w:val="0"/>
          <w:color w:val="auto"/>
          <w:spacing w:val="0"/>
          <w:sz w:val="32"/>
          <w:szCs w:val="32"/>
          <w:highlight w:val="none"/>
          <w:lang w:val="en-US" w:eastAsia="zh-CN"/>
        </w:rPr>
      </w:pPr>
      <w:r>
        <w:rPr>
          <w:rFonts w:hint="default" w:ascii="方正仿宋_GBK" w:hAnsi="方正仿宋_GBK" w:eastAsia="方正仿宋_GBK" w:cs="方正仿宋_GBK"/>
          <w:b w:val="0"/>
          <w:bCs w:val="0"/>
          <w:color w:val="auto"/>
          <w:spacing w:val="0"/>
          <w:sz w:val="32"/>
          <w:szCs w:val="32"/>
          <w:highlight w:val="none"/>
          <w:lang w:val="en-US" w:eastAsia="zh-CN"/>
        </w:rPr>
        <w:t>结合</w:t>
      </w:r>
      <w:r>
        <w:rPr>
          <w:rFonts w:hint="eastAsia" w:ascii="方正仿宋_GBK" w:hAnsi="方正仿宋_GBK" w:eastAsia="方正仿宋_GBK" w:cs="方正仿宋_GBK"/>
          <w:b w:val="0"/>
          <w:bCs w:val="0"/>
          <w:color w:val="auto"/>
          <w:spacing w:val="0"/>
          <w:sz w:val="32"/>
          <w:szCs w:val="32"/>
          <w:highlight w:val="none"/>
          <w:lang w:val="en-US" w:eastAsia="zh-CN"/>
        </w:rPr>
        <w:t>年终</w:t>
      </w:r>
      <w:r>
        <w:rPr>
          <w:rFonts w:hint="default" w:ascii="方正仿宋_GBK" w:hAnsi="方正仿宋_GBK" w:eastAsia="方正仿宋_GBK" w:cs="方正仿宋_GBK"/>
          <w:b w:val="0"/>
          <w:bCs w:val="0"/>
          <w:color w:val="auto"/>
          <w:spacing w:val="0"/>
          <w:sz w:val="32"/>
          <w:szCs w:val="32"/>
          <w:highlight w:val="none"/>
          <w:lang w:val="en-US" w:eastAsia="zh-CN"/>
        </w:rPr>
        <w:t>考核建立绩效工作考核制度，加大全局对全面实施预算绩效管理和绩效管理工作的学习力度，让“花钱必问效，无效必问责”的理念深入工作每个环节。</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color w:val="auto"/>
          <w:spacing w:val="0"/>
          <w:sz w:val="32"/>
          <w:szCs w:val="32"/>
          <w:highlight w:val="none"/>
        </w:rPr>
      </w:pPr>
      <w:r>
        <w:rPr>
          <w:rFonts w:hint="eastAsia" w:eastAsia="黑体" w:cs="Times New Roman"/>
          <w:color w:val="auto"/>
          <w:spacing w:val="0"/>
          <w:sz w:val="32"/>
          <w:szCs w:val="32"/>
          <w:highlight w:val="none"/>
          <w:lang w:val="en-US" w:eastAsia="zh-CN"/>
        </w:rPr>
        <w:t>七</w:t>
      </w:r>
      <w:r>
        <w:rPr>
          <w:rFonts w:hint="default" w:ascii="Times New Roman" w:hAnsi="Times New Roman" w:eastAsia="仿宋_GB2312" w:cs="Times New Roman"/>
          <w:b/>
          <w:bCs/>
          <w:color w:val="auto"/>
          <w:spacing w:val="0"/>
          <w:sz w:val="32"/>
          <w:szCs w:val="32"/>
          <w:highlight w:val="none"/>
          <w:lang w:val="en-US" w:eastAsia="zh-CN"/>
        </w:rPr>
        <w:t>.</w:t>
      </w:r>
      <w:r>
        <w:rPr>
          <w:rFonts w:hint="default" w:ascii="Times New Roman" w:hAnsi="Times New Roman" w:eastAsia="黑体" w:cs="Times New Roman"/>
          <w:color w:val="auto"/>
          <w:spacing w:val="0"/>
          <w:sz w:val="32"/>
          <w:szCs w:val="32"/>
          <w:highlight w:val="none"/>
        </w:rPr>
        <w:t>其他需要说</w:t>
      </w:r>
      <w:bookmarkStart w:id="10" w:name="page8"/>
      <w:bookmarkEnd w:id="10"/>
      <w:r>
        <w:rPr>
          <w:rFonts w:hint="default" w:ascii="Times New Roman" w:hAnsi="Times New Roman" w:eastAsia="黑体" w:cs="Times New Roman"/>
          <w:color w:val="auto"/>
          <w:spacing w:val="0"/>
          <w:sz w:val="32"/>
          <w:szCs w:val="32"/>
          <w:highlight w:val="none"/>
        </w:rPr>
        <w:t>明的问题</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b w:val="0"/>
          <w:bCs w:val="0"/>
          <w:color w:val="auto"/>
          <w:spacing w:val="0"/>
          <w:sz w:val="32"/>
          <w:szCs w:val="32"/>
          <w:highlight w:val="none"/>
          <w:lang w:val="en-US" w:eastAsia="zh-Hans"/>
        </w:rPr>
      </w:pPr>
      <w:r>
        <w:rPr>
          <w:rFonts w:hint="default" w:ascii="方正仿宋_GBK" w:hAnsi="方正仿宋_GBK" w:eastAsia="方正仿宋_GBK" w:cs="方正仿宋_GBK"/>
          <w:b w:val="0"/>
          <w:bCs w:val="0"/>
          <w:color w:val="auto"/>
          <w:spacing w:val="0"/>
          <w:sz w:val="32"/>
          <w:szCs w:val="32"/>
          <w:highlight w:val="none"/>
          <w:lang w:val="en-US" w:eastAsia="zh-Hans"/>
        </w:rPr>
        <w:t>本项目无其他需说明的问题。</w:t>
      </w:r>
    </w:p>
    <w:p>
      <w:pPr>
        <w:pStyle w:val="12"/>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2"/>
        <w:spacing w:after="0" w:line="560" w:lineRule="exact"/>
        <w:ind w:left="0" w:leftChars="0" w:firstLine="0" w:firstLineChars="0"/>
        <w:rPr>
          <w:rFonts w:hint="default" w:ascii="Times New Roman" w:hAnsi="Times New Roman" w:eastAsia="仿宋_GB2312" w:cs="Times New Roman"/>
          <w:color w:val="auto"/>
          <w:sz w:val="32"/>
          <w:szCs w:val="32"/>
          <w:highlight w:val="none"/>
        </w:rPr>
      </w:pPr>
    </w:p>
    <w:p>
      <w:pPr>
        <w:pStyle w:val="12"/>
        <w:spacing w:after="0" w:line="560" w:lineRule="exact"/>
        <w:ind w:left="0" w:leftChars="0" w:firstLine="640"/>
        <w:rPr>
          <w:rFonts w:hint="default" w:ascii="Times New Roman" w:hAnsi="Times New Roman" w:eastAsia="仿宋_GB2312" w:cs="Times New Roman"/>
          <w:color w:val="auto"/>
          <w:sz w:val="32"/>
          <w:szCs w:val="32"/>
          <w:highlight w:val="none"/>
        </w:rPr>
      </w:pPr>
    </w:p>
    <w:p>
      <w:pPr>
        <w:pStyle w:val="12"/>
        <w:spacing w:after="0" w:line="560" w:lineRule="exact"/>
        <w:ind w:left="0" w:leftChars="0" w:firstLine="0" w:firstLineChars="0"/>
        <w:rPr>
          <w:rFonts w:hint="default" w:ascii="Times New Roman" w:hAnsi="Times New Roman" w:eastAsia="仿宋_GB2312" w:cs="Times New Roman"/>
          <w:color w:val="auto"/>
          <w:sz w:val="32"/>
          <w:szCs w:val="32"/>
          <w:highlight w:val="none"/>
        </w:rPr>
      </w:pPr>
    </w:p>
    <w:p>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6"/>
        <w:ind w:firstLine="562"/>
        <w:jc w:val="center"/>
        <w:rPr>
          <w:rFonts w:hint="eastAsia" w:ascii="仿宋_GB2312" w:hAnsi="仿宋_GB2312" w:eastAsia="仿宋_GB2312" w:cs="仿宋_GB2312"/>
          <w:color w:val="auto"/>
          <w:sz w:val="28"/>
          <w:szCs w:val="40"/>
          <w:highlight w:val="none"/>
        </w:rPr>
      </w:pPr>
      <w:bookmarkStart w:id="11" w:name="_Toc26499_WPSOffice_Level2"/>
      <w:bookmarkStart w:id="12" w:name="_Toc30064_WPSOffice_Level1"/>
      <w:r>
        <w:rPr>
          <w:rFonts w:hint="eastAsia" w:ascii="仿宋_GB2312" w:hAnsi="仿宋_GB2312" w:eastAsia="仿宋_GB2312" w:cs="仿宋_GB2312"/>
          <w:b/>
          <w:bCs/>
          <w:color w:val="auto"/>
          <w:sz w:val="28"/>
          <w:szCs w:val="40"/>
          <w:highlight w:val="none"/>
          <w:lang w:val="en-US" w:eastAsia="zh-CN"/>
        </w:rPr>
        <w:t>部门专项-社区党建工作经费</w:t>
      </w:r>
      <w:r>
        <w:rPr>
          <w:rFonts w:hint="eastAsia" w:ascii="仿宋_GB2312" w:hAnsi="仿宋_GB2312" w:eastAsia="仿宋_GB2312" w:cs="仿宋_GB2312"/>
          <w:b/>
          <w:bCs/>
          <w:color w:val="auto"/>
          <w:sz w:val="28"/>
          <w:szCs w:val="40"/>
          <w:highlight w:val="none"/>
        </w:rPr>
        <w:t>项目绩效评价指标体系及综合评分表</w:t>
      </w:r>
      <w:bookmarkEnd w:id="11"/>
      <w:bookmarkEnd w:id="12"/>
    </w:p>
    <w:tbl>
      <w:tblPr>
        <w:tblStyle w:val="1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139"/>
        <w:gridCol w:w="1104"/>
        <w:gridCol w:w="1322"/>
        <w:gridCol w:w="1814"/>
        <w:gridCol w:w="5826"/>
        <w:gridCol w:w="746"/>
        <w:gridCol w:w="7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449" w:type="pct"/>
            <w:shd w:val="clear" w:color="auto" w:fill="FFFFFF"/>
            <w:vAlign w:val="center"/>
          </w:tcPr>
          <w:p>
            <w:pPr>
              <w:rPr>
                <w:rFonts w:hint="default"/>
                <w:color w:val="auto"/>
                <w:highlight w:val="none"/>
              </w:rPr>
            </w:pPr>
            <w:r>
              <w:rPr>
                <w:rFonts w:hint="default"/>
                <w:color w:val="auto"/>
                <w:highlight w:val="none"/>
              </w:rPr>
              <w:t>一级指标</w:t>
            </w:r>
          </w:p>
        </w:tc>
        <w:tc>
          <w:tcPr>
            <w:tcW w:w="435" w:type="pct"/>
            <w:shd w:val="clear" w:color="auto" w:fill="FFFFFF"/>
            <w:vAlign w:val="center"/>
          </w:tcPr>
          <w:p>
            <w:pPr>
              <w:rPr>
                <w:rFonts w:hint="default"/>
                <w:color w:val="auto"/>
                <w:highlight w:val="none"/>
              </w:rPr>
            </w:pPr>
            <w:r>
              <w:rPr>
                <w:rFonts w:hint="default"/>
                <w:color w:val="auto"/>
                <w:highlight w:val="none"/>
              </w:rPr>
              <w:t>二级指标</w:t>
            </w:r>
          </w:p>
        </w:tc>
        <w:tc>
          <w:tcPr>
            <w:tcW w:w="521" w:type="pct"/>
            <w:shd w:val="clear" w:color="auto" w:fill="FFFFFF"/>
            <w:vAlign w:val="center"/>
          </w:tcPr>
          <w:p>
            <w:pPr>
              <w:rPr>
                <w:rFonts w:hint="default"/>
                <w:color w:val="auto"/>
                <w:highlight w:val="none"/>
              </w:rPr>
            </w:pPr>
            <w:r>
              <w:rPr>
                <w:rFonts w:hint="default"/>
                <w:color w:val="auto"/>
                <w:highlight w:val="none"/>
              </w:rPr>
              <w:t>三级指标</w:t>
            </w:r>
          </w:p>
        </w:tc>
        <w:tc>
          <w:tcPr>
            <w:tcW w:w="715" w:type="pct"/>
            <w:shd w:val="clear" w:color="auto" w:fill="FFFFFF"/>
            <w:vAlign w:val="center"/>
          </w:tcPr>
          <w:p>
            <w:pPr>
              <w:rPr>
                <w:rFonts w:hint="default"/>
                <w:color w:val="auto"/>
                <w:highlight w:val="none"/>
              </w:rPr>
            </w:pPr>
            <w:r>
              <w:rPr>
                <w:rFonts w:hint="default"/>
                <w:color w:val="auto"/>
                <w:highlight w:val="none"/>
              </w:rPr>
              <w:t>指标解释</w:t>
            </w:r>
          </w:p>
        </w:tc>
        <w:tc>
          <w:tcPr>
            <w:tcW w:w="2296" w:type="pct"/>
            <w:shd w:val="clear" w:color="auto" w:fill="FFFFFF"/>
            <w:vAlign w:val="center"/>
          </w:tcPr>
          <w:p>
            <w:pPr>
              <w:rPr>
                <w:rFonts w:hint="default"/>
                <w:color w:val="auto"/>
                <w:highlight w:val="none"/>
              </w:rPr>
            </w:pPr>
            <w:r>
              <w:rPr>
                <w:rFonts w:hint="default"/>
                <w:color w:val="auto"/>
                <w:highlight w:val="none"/>
              </w:rPr>
              <w:t>指标说明</w:t>
            </w:r>
          </w:p>
        </w:tc>
        <w:tc>
          <w:tcPr>
            <w:tcW w:w="294" w:type="pct"/>
            <w:shd w:val="clear" w:color="auto" w:fill="FFFFFF"/>
            <w:vAlign w:val="center"/>
          </w:tcPr>
          <w:p>
            <w:pPr>
              <w:rPr>
                <w:rFonts w:hint="default"/>
                <w:color w:val="auto"/>
                <w:highlight w:val="none"/>
              </w:rPr>
            </w:pPr>
            <w:r>
              <w:rPr>
                <w:rFonts w:hint="default"/>
                <w:color w:val="auto"/>
                <w:highlight w:val="none"/>
              </w:rPr>
              <w:t>权重</w:t>
            </w:r>
          </w:p>
        </w:tc>
        <w:tc>
          <w:tcPr>
            <w:tcW w:w="288" w:type="pct"/>
            <w:shd w:val="clear" w:color="auto" w:fill="FFFFFF"/>
            <w:vAlign w:val="center"/>
          </w:tcPr>
          <w:p>
            <w:pPr>
              <w:rPr>
                <w:rFonts w:hint="default"/>
                <w:color w:val="auto"/>
                <w:highlight w:val="none"/>
              </w:rPr>
            </w:pPr>
            <w:r>
              <w:rPr>
                <w:rFonts w:hint="default"/>
                <w:color w:val="auto"/>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05" w:hRule="atLeast"/>
          <w:jc w:val="center"/>
        </w:trPr>
        <w:tc>
          <w:tcPr>
            <w:tcW w:w="449" w:type="pct"/>
            <w:vMerge w:val="restart"/>
            <w:shd w:val="clear" w:color="auto" w:fill="FFFFFF"/>
            <w:vAlign w:val="center"/>
          </w:tcPr>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r>
              <w:rPr>
                <w:rFonts w:hint="default"/>
                <w:color w:val="auto"/>
                <w:highlight w:val="none"/>
              </w:rPr>
              <w:t>决策　</w:t>
            </w:r>
          </w:p>
        </w:tc>
        <w:tc>
          <w:tcPr>
            <w:tcW w:w="435" w:type="pct"/>
            <w:vMerge w:val="restart"/>
            <w:shd w:val="clear" w:color="auto" w:fill="FFFFFF"/>
            <w:vAlign w:val="center"/>
          </w:tcPr>
          <w:p>
            <w:pPr>
              <w:rPr>
                <w:rFonts w:hint="default"/>
                <w:color w:val="auto"/>
                <w:highlight w:val="none"/>
              </w:rPr>
            </w:pPr>
            <w:r>
              <w:rPr>
                <w:rFonts w:hint="default"/>
                <w:color w:val="auto"/>
                <w:highlight w:val="none"/>
              </w:rPr>
              <w:t>项目立项　</w:t>
            </w:r>
          </w:p>
        </w:tc>
        <w:tc>
          <w:tcPr>
            <w:tcW w:w="521" w:type="pct"/>
            <w:shd w:val="clear" w:color="auto" w:fill="FFFFFF"/>
            <w:vAlign w:val="center"/>
          </w:tcPr>
          <w:p>
            <w:pPr>
              <w:rPr>
                <w:rFonts w:hint="default"/>
                <w:color w:val="auto"/>
                <w:highlight w:val="none"/>
              </w:rPr>
            </w:pPr>
            <w:r>
              <w:rPr>
                <w:rFonts w:hint="default"/>
                <w:color w:val="auto"/>
                <w:highlight w:val="none"/>
              </w:rPr>
              <w:t>立项依据</w:t>
            </w:r>
          </w:p>
          <w:p>
            <w:pPr>
              <w:rPr>
                <w:rFonts w:hint="default"/>
                <w:color w:val="auto"/>
                <w:highlight w:val="none"/>
              </w:rPr>
            </w:pPr>
            <w:r>
              <w:rPr>
                <w:rFonts w:hint="default"/>
                <w:color w:val="auto"/>
                <w:highlight w:val="none"/>
              </w:rPr>
              <w:t>充分性</w:t>
            </w:r>
          </w:p>
        </w:tc>
        <w:tc>
          <w:tcPr>
            <w:tcW w:w="715" w:type="pct"/>
            <w:shd w:val="clear" w:color="auto" w:fill="FFFFFF"/>
            <w:vAlign w:val="center"/>
          </w:tcPr>
          <w:p>
            <w:pPr>
              <w:rPr>
                <w:rFonts w:hint="default"/>
                <w:color w:val="auto"/>
                <w:highlight w:val="none"/>
              </w:rPr>
            </w:pPr>
            <w:r>
              <w:rPr>
                <w:rFonts w:hint="default"/>
                <w:color w:val="auto"/>
                <w:highlight w:val="none"/>
              </w:rPr>
              <w:t>项目立项是否符合法律法规、相关政策、发展规划以及部门职责，用以反映和考核项目立项依据情况。</w:t>
            </w:r>
          </w:p>
        </w:tc>
        <w:tc>
          <w:tcPr>
            <w:tcW w:w="2296" w:type="pct"/>
            <w:shd w:val="clear" w:color="auto" w:fill="FFFFFF"/>
            <w:vAlign w:val="center"/>
          </w:tcPr>
          <w:p>
            <w:pPr>
              <w:rPr>
                <w:rFonts w:hint="default"/>
                <w:color w:val="auto"/>
                <w:highlight w:val="none"/>
              </w:rPr>
            </w:pPr>
            <w:r>
              <w:rPr>
                <w:rFonts w:hint="default"/>
                <w:color w:val="auto"/>
                <w:highlight w:val="none"/>
              </w:rPr>
              <w:t>评价要点：</w:t>
            </w:r>
            <w:r>
              <w:rPr>
                <w:rFonts w:hint="default"/>
                <w:color w:val="auto"/>
                <w:highlight w:val="none"/>
              </w:rPr>
              <w:br w:type="textWrapping"/>
            </w:r>
            <w:r>
              <w:rPr>
                <w:rFonts w:hint="default"/>
                <w:color w:val="auto"/>
                <w:highlight w:val="none"/>
              </w:rPr>
              <w:t>①项目立项是否符合国家法律法规、国民经济发展规划和相关政策；</w:t>
            </w:r>
            <w:r>
              <w:rPr>
                <w:rFonts w:hint="default"/>
                <w:color w:val="auto"/>
                <w:highlight w:val="none"/>
              </w:rPr>
              <w:br w:type="textWrapping"/>
            </w:r>
            <w:r>
              <w:rPr>
                <w:rFonts w:hint="default"/>
                <w:color w:val="auto"/>
                <w:highlight w:val="none"/>
              </w:rPr>
              <w:t>②项目立项是否符合行业发展规划和政策要求；</w:t>
            </w:r>
            <w:r>
              <w:rPr>
                <w:rFonts w:hint="default"/>
                <w:color w:val="auto"/>
                <w:highlight w:val="none"/>
              </w:rPr>
              <w:br w:type="textWrapping"/>
            </w:r>
            <w:r>
              <w:rPr>
                <w:rFonts w:hint="default"/>
                <w:color w:val="auto"/>
                <w:highlight w:val="none"/>
              </w:rPr>
              <w:t>③项目立项是否与部门职责范围相符，属于部门履职所需；</w:t>
            </w:r>
            <w:r>
              <w:rPr>
                <w:rFonts w:hint="default"/>
                <w:color w:val="auto"/>
                <w:highlight w:val="none"/>
              </w:rPr>
              <w:br w:type="textWrapping"/>
            </w:r>
            <w:r>
              <w:rPr>
                <w:rFonts w:hint="default"/>
                <w:color w:val="auto"/>
                <w:highlight w:val="none"/>
              </w:rPr>
              <w:t>④项目是否属于公共财政支持范围，是否符合中央、地方事权支出责任划分原则；</w:t>
            </w:r>
            <w:r>
              <w:rPr>
                <w:rFonts w:hint="default"/>
                <w:color w:val="auto"/>
                <w:highlight w:val="none"/>
              </w:rPr>
              <w:br w:type="textWrapping"/>
            </w:r>
            <w:r>
              <w:rPr>
                <w:rFonts w:hint="default"/>
                <w:color w:val="auto"/>
                <w:highlight w:val="none"/>
              </w:rPr>
              <w:t>⑤项目是否与相关部门同类项目或部门内部相关项目重复。</w:t>
            </w:r>
          </w:p>
        </w:tc>
        <w:tc>
          <w:tcPr>
            <w:tcW w:w="294" w:type="pct"/>
            <w:shd w:val="clear" w:color="auto" w:fill="FFFFFF"/>
            <w:vAlign w:val="center"/>
          </w:tcPr>
          <w:p>
            <w:pPr>
              <w:rPr>
                <w:rFonts w:hint="default"/>
                <w:color w:val="auto"/>
                <w:highlight w:val="none"/>
              </w:rPr>
            </w:pPr>
            <w:r>
              <w:rPr>
                <w:rFonts w:hint="default"/>
                <w:color w:val="auto"/>
                <w:highlight w:val="none"/>
              </w:rPr>
              <w:t>3</w:t>
            </w:r>
          </w:p>
        </w:tc>
        <w:tc>
          <w:tcPr>
            <w:tcW w:w="288" w:type="pct"/>
            <w:shd w:val="clear" w:color="auto" w:fill="FFFFFF"/>
            <w:vAlign w:val="center"/>
          </w:tcPr>
          <w:p>
            <w:pPr>
              <w:rPr>
                <w:rFonts w:hint="eastAsia"/>
                <w:color w:val="auto"/>
                <w:highlight w:val="none"/>
                <w:lang w:eastAsia="zh-CN"/>
              </w:rPr>
            </w:pPr>
            <w:r>
              <w:rPr>
                <w:rFonts w:hint="eastAsia"/>
                <w:color w:val="auto"/>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449" w:type="pct"/>
            <w:vMerge w:val="continue"/>
            <w:shd w:val="clear" w:color="auto" w:fill="FFFFFF"/>
            <w:vAlign w:val="center"/>
          </w:tcPr>
          <w:p>
            <w:pPr>
              <w:rPr>
                <w:rFonts w:hint="default"/>
                <w:color w:val="auto"/>
                <w:highlight w:val="none"/>
              </w:rPr>
            </w:pPr>
          </w:p>
        </w:tc>
        <w:tc>
          <w:tcPr>
            <w:tcW w:w="435" w:type="pct"/>
            <w:vMerge w:val="continue"/>
            <w:shd w:val="clear" w:color="auto" w:fill="FFFFFF"/>
            <w:vAlign w:val="center"/>
          </w:tcPr>
          <w:p>
            <w:pPr>
              <w:rPr>
                <w:rFonts w:hint="default"/>
                <w:color w:val="auto"/>
                <w:highlight w:val="none"/>
              </w:rPr>
            </w:pPr>
          </w:p>
        </w:tc>
        <w:tc>
          <w:tcPr>
            <w:tcW w:w="521" w:type="pct"/>
            <w:shd w:val="clear" w:color="auto" w:fill="FFFFFF"/>
            <w:vAlign w:val="center"/>
          </w:tcPr>
          <w:p>
            <w:pPr>
              <w:rPr>
                <w:rFonts w:hint="default"/>
                <w:color w:val="auto"/>
                <w:highlight w:val="none"/>
              </w:rPr>
            </w:pPr>
            <w:r>
              <w:rPr>
                <w:rFonts w:hint="default"/>
                <w:color w:val="auto"/>
                <w:highlight w:val="none"/>
              </w:rPr>
              <w:t>立项程序</w:t>
            </w:r>
          </w:p>
          <w:p>
            <w:pPr>
              <w:rPr>
                <w:rFonts w:hint="default"/>
                <w:color w:val="auto"/>
                <w:highlight w:val="none"/>
              </w:rPr>
            </w:pPr>
            <w:r>
              <w:rPr>
                <w:rFonts w:hint="default"/>
                <w:color w:val="auto"/>
                <w:highlight w:val="none"/>
              </w:rPr>
              <w:t>规范性</w:t>
            </w:r>
          </w:p>
        </w:tc>
        <w:tc>
          <w:tcPr>
            <w:tcW w:w="715" w:type="pct"/>
            <w:shd w:val="clear" w:color="auto" w:fill="FFFFFF"/>
            <w:vAlign w:val="center"/>
          </w:tcPr>
          <w:p>
            <w:pPr>
              <w:rPr>
                <w:rFonts w:hint="default"/>
                <w:color w:val="auto"/>
                <w:highlight w:val="none"/>
              </w:rPr>
            </w:pPr>
            <w:r>
              <w:rPr>
                <w:rFonts w:hint="default"/>
                <w:color w:val="auto"/>
                <w:highlight w:val="none"/>
              </w:rPr>
              <w:t>项目申请、设立过程是否符合相关要求，用以反映和考核项目立项的规范情况。</w:t>
            </w:r>
          </w:p>
        </w:tc>
        <w:tc>
          <w:tcPr>
            <w:tcW w:w="2296" w:type="pct"/>
            <w:shd w:val="clear" w:color="auto" w:fill="FFFFFF"/>
            <w:vAlign w:val="center"/>
          </w:tcPr>
          <w:p>
            <w:pPr>
              <w:rPr>
                <w:rFonts w:hint="default"/>
                <w:color w:val="auto"/>
                <w:highlight w:val="none"/>
              </w:rPr>
            </w:pPr>
            <w:r>
              <w:rPr>
                <w:rFonts w:hint="default"/>
                <w:color w:val="auto"/>
                <w:highlight w:val="none"/>
              </w:rPr>
              <w:t>评价要点：</w:t>
            </w:r>
            <w:r>
              <w:rPr>
                <w:rFonts w:hint="default"/>
                <w:color w:val="auto"/>
                <w:highlight w:val="none"/>
              </w:rPr>
              <w:br w:type="textWrapping"/>
            </w:r>
            <w:r>
              <w:rPr>
                <w:rFonts w:hint="default"/>
                <w:color w:val="auto"/>
                <w:highlight w:val="none"/>
              </w:rPr>
              <w:t>①项目是否按照规定的程序申请设立；</w:t>
            </w:r>
            <w:r>
              <w:rPr>
                <w:rFonts w:hint="default"/>
                <w:color w:val="auto"/>
                <w:highlight w:val="none"/>
              </w:rPr>
              <w:br w:type="textWrapping"/>
            </w:r>
            <w:r>
              <w:rPr>
                <w:rFonts w:hint="default"/>
                <w:color w:val="auto"/>
                <w:highlight w:val="none"/>
              </w:rPr>
              <w:t>②审批文件、材料是否符合相关要求；</w:t>
            </w:r>
            <w:r>
              <w:rPr>
                <w:rFonts w:hint="default"/>
                <w:color w:val="auto"/>
                <w:highlight w:val="none"/>
              </w:rPr>
              <w:br w:type="textWrapping"/>
            </w:r>
            <w:r>
              <w:rPr>
                <w:rFonts w:hint="default"/>
                <w:color w:val="auto"/>
                <w:highlight w:val="none"/>
              </w:rPr>
              <w:t>③事前是否已经过必要的可行性研究、专家论证、风险评估、绩效评估、集体决策。</w:t>
            </w:r>
          </w:p>
        </w:tc>
        <w:tc>
          <w:tcPr>
            <w:tcW w:w="294" w:type="pct"/>
            <w:shd w:val="clear" w:color="auto" w:fill="FFFFFF"/>
            <w:vAlign w:val="center"/>
          </w:tcPr>
          <w:p>
            <w:pPr>
              <w:rPr>
                <w:rFonts w:hint="default"/>
                <w:color w:val="auto"/>
                <w:highlight w:val="none"/>
              </w:rPr>
            </w:pPr>
            <w:r>
              <w:rPr>
                <w:rFonts w:hint="default"/>
                <w:color w:val="auto"/>
                <w:highlight w:val="none"/>
              </w:rPr>
              <w:t>3</w:t>
            </w:r>
          </w:p>
        </w:tc>
        <w:tc>
          <w:tcPr>
            <w:tcW w:w="288" w:type="pct"/>
            <w:shd w:val="clear" w:color="auto" w:fill="FFFFFF"/>
            <w:vAlign w:val="center"/>
          </w:tcPr>
          <w:p>
            <w:pPr>
              <w:rPr>
                <w:rFonts w:hint="eastAsia"/>
                <w:color w:val="auto"/>
                <w:highlight w:val="none"/>
                <w:lang w:eastAsia="zh-CN"/>
              </w:rPr>
            </w:pPr>
            <w:r>
              <w:rPr>
                <w:rFonts w:hint="eastAsia"/>
                <w:color w:val="auto"/>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449" w:type="pct"/>
            <w:vMerge w:val="continue"/>
            <w:shd w:val="clear" w:color="auto" w:fill="FFFFFF"/>
            <w:vAlign w:val="center"/>
          </w:tcPr>
          <w:p>
            <w:pPr>
              <w:rPr>
                <w:rFonts w:hint="default"/>
                <w:color w:val="auto"/>
                <w:highlight w:val="none"/>
              </w:rPr>
            </w:pPr>
          </w:p>
        </w:tc>
        <w:tc>
          <w:tcPr>
            <w:tcW w:w="435" w:type="pct"/>
            <w:vMerge w:val="restart"/>
            <w:shd w:val="clear" w:color="auto" w:fill="FFFFFF"/>
            <w:vAlign w:val="center"/>
          </w:tcPr>
          <w:p>
            <w:pPr>
              <w:rPr>
                <w:rFonts w:hint="default"/>
                <w:color w:val="auto"/>
                <w:highlight w:val="none"/>
              </w:rPr>
            </w:pPr>
            <w:r>
              <w:rPr>
                <w:rFonts w:hint="default"/>
                <w:color w:val="auto"/>
                <w:highlight w:val="none"/>
              </w:rPr>
              <w:t>绩效目标　</w:t>
            </w:r>
          </w:p>
        </w:tc>
        <w:tc>
          <w:tcPr>
            <w:tcW w:w="521" w:type="pct"/>
            <w:shd w:val="clear" w:color="auto" w:fill="FFFFFF"/>
            <w:vAlign w:val="center"/>
          </w:tcPr>
          <w:p>
            <w:pPr>
              <w:rPr>
                <w:rFonts w:hint="default"/>
                <w:color w:val="auto"/>
                <w:highlight w:val="none"/>
              </w:rPr>
            </w:pPr>
            <w:r>
              <w:rPr>
                <w:rFonts w:hint="default"/>
                <w:color w:val="auto"/>
                <w:highlight w:val="none"/>
              </w:rPr>
              <w:t>绩效目标</w:t>
            </w:r>
          </w:p>
          <w:p>
            <w:pPr>
              <w:rPr>
                <w:rFonts w:hint="default"/>
                <w:color w:val="auto"/>
                <w:highlight w:val="none"/>
              </w:rPr>
            </w:pPr>
            <w:r>
              <w:rPr>
                <w:rFonts w:hint="default"/>
                <w:color w:val="auto"/>
                <w:highlight w:val="none"/>
              </w:rPr>
              <w:t>合理性</w:t>
            </w:r>
          </w:p>
        </w:tc>
        <w:tc>
          <w:tcPr>
            <w:tcW w:w="715" w:type="pct"/>
            <w:shd w:val="clear" w:color="000000" w:fill="FFFFFF"/>
            <w:vAlign w:val="center"/>
          </w:tcPr>
          <w:p>
            <w:pPr>
              <w:rPr>
                <w:rFonts w:hint="default"/>
                <w:color w:val="auto"/>
                <w:highlight w:val="none"/>
              </w:rPr>
            </w:pPr>
            <w:r>
              <w:rPr>
                <w:rFonts w:hint="default"/>
                <w:color w:val="auto"/>
                <w:highlight w:val="none"/>
              </w:rPr>
              <w:t>项目所设定的绩效目标是否依据充分，是否符合客观实际，用以反映和考核项目绩效目标与项目实施的相符情况。</w:t>
            </w:r>
          </w:p>
        </w:tc>
        <w:tc>
          <w:tcPr>
            <w:tcW w:w="2296" w:type="pct"/>
            <w:shd w:val="clear" w:color="000000" w:fill="FFFFFF"/>
            <w:vAlign w:val="center"/>
          </w:tcPr>
          <w:p>
            <w:pPr>
              <w:rPr>
                <w:rFonts w:hint="default"/>
                <w:color w:val="auto"/>
                <w:highlight w:val="none"/>
              </w:rPr>
            </w:pPr>
            <w:r>
              <w:rPr>
                <w:rFonts w:hint="default"/>
                <w:color w:val="auto"/>
                <w:highlight w:val="none"/>
              </w:rPr>
              <w:t>评价要点：</w:t>
            </w:r>
            <w:r>
              <w:rPr>
                <w:rFonts w:hint="default"/>
                <w:color w:val="auto"/>
                <w:highlight w:val="none"/>
              </w:rPr>
              <w:br w:type="textWrapping"/>
            </w:r>
            <w:r>
              <w:rPr>
                <w:rFonts w:hint="default"/>
                <w:color w:val="auto"/>
                <w:highlight w:val="none"/>
              </w:rPr>
              <w:t>（如未设定预算绩效目标，也可考核其他工作任务目标）</w:t>
            </w:r>
            <w:r>
              <w:rPr>
                <w:rFonts w:hint="default"/>
                <w:color w:val="auto"/>
                <w:highlight w:val="none"/>
              </w:rPr>
              <w:br w:type="textWrapping"/>
            </w:r>
            <w:r>
              <w:rPr>
                <w:rFonts w:hint="default"/>
                <w:color w:val="auto"/>
                <w:highlight w:val="none"/>
              </w:rPr>
              <w:t>①项目是否有绩效目标；</w:t>
            </w:r>
            <w:r>
              <w:rPr>
                <w:rFonts w:hint="default"/>
                <w:color w:val="auto"/>
                <w:highlight w:val="none"/>
              </w:rPr>
              <w:br w:type="textWrapping"/>
            </w:r>
            <w:r>
              <w:rPr>
                <w:rFonts w:hint="default"/>
                <w:color w:val="auto"/>
                <w:highlight w:val="none"/>
              </w:rPr>
              <w:t>②项目绩效目标与实际工作内容是否具有相关性；</w:t>
            </w:r>
            <w:r>
              <w:rPr>
                <w:rFonts w:hint="default"/>
                <w:color w:val="auto"/>
                <w:highlight w:val="none"/>
              </w:rPr>
              <w:br w:type="textWrapping"/>
            </w:r>
            <w:r>
              <w:rPr>
                <w:rFonts w:hint="default"/>
                <w:color w:val="auto"/>
                <w:highlight w:val="none"/>
              </w:rPr>
              <w:t>③项目预期产出效益和效果是否符合正常的业绩水平；</w:t>
            </w:r>
          </w:p>
          <w:p>
            <w:pPr>
              <w:rPr>
                <w:rFonts w:hint="default"/>
                <w:color w:val="auto"/>
                <w:highlight w:val="none"/>
              </w:rPr>
            </w:pPr>
            <w:r>
              <w:rPr>
                <w:rFonts w:hint="default"/>
                <w:color w:val="auto"/>
                <w:highlight w:val="none"/>
              </w:rPr>
              <w:t>④是否与预算确定的项目投资额或资金量相匹配。</w:t>
            </w:r>
          </w:p>
        </w:tc>
        <w:tc>
          <w:tcPr>
            <w:tcW w:w="294" w:type="pct"/>
            <w:shd w:val="clear" w:color="000000" w:fill="FFFFFF"/>
            <w:vAlign w:val="center"/>
          </w:tcPr>
          <w:p>
            <w:pPr>
              <w:rPr>
                <w:rFonts w:hint="default"/>
                <w:color w:val="auto"/>
                <w:highlight w:val="none"/>
              </w:rPr>
            </w:pPr>
            <w:r>
              <w:rPr>
                <w:rFonts w:hint="default"/>
                <w:color w:val="auto"/>
                <w:highlight w:val="none"/>
              </w:rPr>
              <w:t>3</w:t>
            </w:r>
          </w:p>
        </w:tc>
        <w:tc>
          <w:tcPr>
            <w:tcW w:w="288" w:type="pct"/>
            <w:shd w:val="clear" w:color="000000" w:fill="FFFFFF"/>
            <w:vAlign w:val="center"/>
          </w:tcPr>
          <w:p>
            <w:pPr>
              <w:rPr>
                <w:rFonts w:hint="eastAsia"/>
                <w:color w:val="auto"/>
                <w:highlight w:val="none"/>
                <w:lang w:eastAsia="zh-CN"/>
              </w:rPr>
            </w:pPr>
            <w:r>
              <w:rPr>
                <w:rFonts w:hint="eastAsia"/>
                <w:color w:val="auto"/>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449" w:type="pct"/>
            <w:vMerge w:val="continue"/>
            <w:shd w:val="clear" w:color="auto" w:fill="FFFFFF"/>
            <w:vAlign w:val="center"/>
          </w:tcPr>
          <w:p>
            <w:pPr>
              <w:rPr>
                <w:rFonts w:hint="default"/>
                <w:color w:val="auto"/>
                <w:highlight w:val="none"/>
              </w:rPr>
            </w:pPr>
          </w:p>
        </w:tc>
        <w:tc>
          <w:tcPr>
            <w:tcW w:w="435" w:type="pct"/>
            <w:vMerge w:val="continue"/>
            <w:shd w:val="clear" w:color="auto" w:fill="FFFFFF"/>
            <w:vAlign w:val="center"/>
          </w:tcPr>
          <w:p>
            <w:pPr>
              <w:rPr>
                <w:rFonts w:hint="default"/>
                <w:color w:val="auto"/>
                <w:highlight w:val="none"/>
              </w:rPr>
            </w:pPr>
          </w:p>
        </w:tc>
        <w:tc>
          <w:tcPr>
            <w:tcW w:w="521" w:type="pct"/>
            <w:shd w:val="clear" w:color="auto" w:fill="FFFFFF"/>
            <w:vAlign w:val="center"/>
          </w:tcPr>
          <w:p>
            <w:pPr>
              <w:rPr>
                <w:rFonts w:hint="default"/>
                <w:color w:val="auto"/>
                <w:highlight w:val="none"/>
              </w:rPr>
            </w:pPr>
            <w:r>
              <w:rPr>
                <w:rFonts w:hint="default"/>
                <w:color w:val="auto"/>
                <w:highlight w:val="none"/>
              </w:rPr>
              <w:t>绩效指标</w:t>
            </w:r>
          </w:p>
          <w:p>
            <w:pPr>
              <w:rPr>
                <w:rFonts w:hint="default"/>
                <w:color w:val="auto"/>
                <w:highlight w:val="none"/>
              </w:rPr>
            </w:pPr>
            <w:r>
              <w:rPr>
                <w:rFonts w:hint="default"/>
                <w:color w:val="auto"/>
                <w:highlight w:val="none"/>
              </w:rPr>
              <w:t>明确性</w:t>
            </w:r>
          </w:p>
        </w:tc>
        <w:tc>
          <w:tcPr>
            <w:tcW w:w="715" w:type="pct"/>
            <w:shd w:val="clear" w:color="000000" w:fill="FFFFFF"/>
            <w:vAlign w:val="center"/>
          </w:tcPr>
          <w:p>
            <w:pPr>
              <w:rPr>
                <w:rFonts w:hint="default"/>
                <w:color w:val="auto"/>
                <w:highlight w:val="none"/>
              </w:rPr>
            </w:pPr>
            <w:r>
              <w:rPr>
                <w:rFonts w:hint="default"/>
                <w:color w:val="auto"/>
                <w:highlight w:val="none"/>
              </w:rPr>
              <w:t>依据绩效目标设定的绩效指标是否清晰、细化、可衡量等，用以反映和考核项目绩效目标的明细化情况。</w:t>
            </w:r>
          </w:p>
        </w:tc>
        <w:tc>
          <w:tcPr>
            <w:tcW w:w="2296" w:type="pct"/>
            <w:shd w:val="clear" w:color="000000" w:fill="FFFFFF"/>
            <w:vAlign w:val="center"/>
          </w:tcPr>
          <w:p>
            <w:pPr>
              <w:rPr>
                <w:rFonts w:hint="default"/>
                <w:color w:val="auto"/>
                <w:highlight w:val="none"/>
              </w:rPr>
            </w:pPr>
            <w:r>
              <w:rPr>
                <w:rFonts w:hint="default"/>
                <w:color w:val="auto"/>
                <w:highlight w:val="none"/>
              </w:rPr>
              <w:t>评价要点：</w:t>
            </w:r>
            <w:r>
              <w:rPr>
                <w:rFonts w:hint="default"/>
                <w:color w:val="auto"/>
                <w:highlight w:val="none"/>
              </w:rPr>
              <w:br w:type="textWrapping"/>
            </w:r>
            <w:r>
              <w:rPr>
                <w:rFonts w:hint="default"/>
                <w:color w:val="auto"/>
                <w:highlight w:val="none"/>
              </w:rPr>
              <w:t>①是否将项目绩效目标细化分解为具体的绩效指标；</w:t>
            </w:r>
            <w:r>
              <w:rPr>
                <w:rFonts w:hint="default"/>
                <w:color w:val="auto"/>
                <w:highlight w:val="none"/>
              </w:rPr>
              <w:br w:type="textWrapping"/>
            </w:r>
            <w:r>
              <w:rPr>
                <w:rFonts w:hint="default"/>
                <w:color w:val="auto"/>
                <w:highlight w:val="none"/>
              </w:rPr>
              <w:t>②是否通过清晰、可衡量的指标值予以体现；</w:t>
            </w:r>
            <w:r>
              <w:rPr>
                <w:rFonts w:hint="default"/>
                <w:color w:val="auto"/>
                <w:highlight w:val="none"/>
              </w:rPr>
              <w:br w:type="textWrapping"/>
            </w:r>
            <w:r>
              <w:rPr>
                <w:rFonts w:hint="default"/>
                <w:color w:val="auto"/>
                <w:highlight w:val="none"/>
              </w:rPr>
              <w:t>③是否与项目目标任务数或计划数相对应。</w:t>
            </w:r>
            <w:r>
              <w:rPr>
                <w:rFonts w:hint="default"/>
                <w:color w:val="auto"/>
                <w:highlight w:val="none"/>
              </w:rPr>
              <w:br w:type="textWrapping"/>
            </w:r>
          </w:p>
        </w:tc>
        <w:tc>
          <w:tcPr>
            <w:tcW w:w="294" w:type="pct"/>
            <w:shd w:val="clear" w:color="000000" w:fill="FFFFFF"/>
            <w:vAlign w:val="center"/>
          </w:tcPr>
          <w:p>
            <w:pPr>
              <w:rPr>
                <w:rFonts w:hint="default"/>
                <w:color w:val="auto"/>
                <w:highlight w:val="none"/>
              </w:rPr>
            </w:pPr>
            <w:r>
              <w:rPr>
                <w:rFonts w:hint="default"/>
                <w:color w:val="auto"/>
                <w:highlight w:val="none"/>
              </w:rPr>
              <w:t>3</w:t>
            </w:r>
          </w:p>
        </w:tc>
        <w:tc>
          <w:tcPr>
            <w:tcW w:w="288" w:type="pct"/>
            <w:shd w:val="clear" w:color="000000" w:fill="FFFFFF"/>
            <w:vAlign w:val="center"/>
          </w:tcPr>
          <w:p>
            <w:pPr>
              <w:rPr>
                <w:rFonts w:hint="eastAsia"/>
                <w:color w:val="auto"/>
                <w:highlight w:val="none"/>
                <w:lang w:eastAsia="zh-CN"/>
              </w:rPr>
            </w:pPr>
            <w:r>
              <w:rPr>
                <w:rFonts w:hint="eastAsia"/>
                <w:color w:val="auto"/>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449" w:type="pct"/>
            <w:vMerge w:val="continue"/>
            <w:shd w:val="clear" w:color="auto" w:fill="FFFFFF"/>
            <w:vAlign w:val="center"/>
          </w:tcPr>
          <w:p>
            <w:pPr>
              <w:rPr>
                <w:rFonts w:hint="default"/>
                <w:color w:val="auto"/>
                <w:highlight w:val="none"/>
              </w:rPr>
            </w:pPr>
          </w:p>
        </w:tc>
        <w:tc>
          <w:tcPr>
            <w:tcW w:w="435" w:type="pct"/>
            <w:vMerge w:val="restart"/>
            <w:shd w:val="clear" w:color="auto" w:fill="FFFFFF"/>
            <w:vAlign w:val="center"/>
          </w:tcPr>
          <w:p>
            <w:pPr>
              <w:rPr>
                <w:rFonts w:hint="default"/>
                <w:color w:val="auto"/>
                <w:highlight w:val="none"/>
              </w:rPr>
            </w:pPr>
            <w:r>
              <w:rPr>
                <w:rFonts w:hint="default"/>
                <w:color w:val="auto"/>
                <w:highlight w:val="none"/>
              </w:rPr>
              <w:t>资金投入</w:t>
            </w:r>
          </w:p>
          <w:p>
            <w:pPr>
              <w:rPr>
                <w:rFonts w:hint="default"/>
                <w:color w:val="auto"/>
                <w:highlight w:val="none"/>
              </w:rPr>
            </w:pPr>
            <w:r>
              <w:rPr>
                <w:rFonts w:hint="default"/>
                <w:color w:val="auto"/>
                <w:highlight w:val="none"/>
              </w:rPr>
              <w:t>　</w:t>
            </w:r>
          </w:p>
        </w:tc>
        <w:tc>
          <w:tcPr>
            <w:tcW w:w="521" w:type="pct"/>
            <w:shd w:val="clear" w:color="auto" w:fill="FFFFFF"/>
            <w:vAlign w:val="center"/>
          </w:tcPr>
          <w:p>
            <w:pPr>
              <w:rPr>
                <w:rFonts w:hint="default"/>
                <w:color w:val="auto"/>
                <w:highlight w:val="none"/>
              </w:rPr>
            </w:pPr>
            <w:r>
              <w:rPr>
                <w:rFonts w:hint="default"/>
                <w:color w:val="auto"/>
                <w:highlight w:val="none"/>
              </w:rPr>
              <w:t>预算编制</w:t>
            </w:r>
          </w:p>
          <w:p>
            <w:pPr>
              <w:rPr>
                <w:rFonts w:hint="default"/>
                <w:color w:val="auto"/>
                <w:highlight w:val="none"/>
              </w:rPr>
            </w:pPr>
            <w:r>
              <w:rPr>
                <w:rFonts w:hint="default"/>
                <w:color w:val="auto"/>
                <w:highlight w:val="none"/>
              </w:rPr>
              <w:t>科学性</w:t>
            </w:r>
          </w:p>
        </w:tc>
        <w:tc>
          <w:tcPr>
            <w:tcW w:w="715" w:type="pct"/>
            <w:shd w:val="clear" w:color="auto" w:fill="FFFFFF"/>
            <w:vAlign w:val="center"/>
          </w:tcPr>
          <w:p>
            <w:pPr>
              <w:rPr>
                <w:rFonts w:hint="default"/>
                <w:color w:val="auto"/>
                <w:highlight w:val="none"/>
              </w:rPr>
            </w:pPr>
            <w:r>
              <w:rPr>
                <w:rFonts w:hint="default"/>
                <w:color w:val="auto"/>
                <w:highlight w:val="none"/>
              </w:rPr>
              <w:t>项目预算编制是否经过科学论证、有明确标准，资金额度与年度目标是否相适应，用以反映和考核项目预算编制的科学性、合理性情况。</w:t>
            </w:r>
          </w:p>
        </w:tc>
        <w:tc>
          <w:tcPr>
            <w:tcW w:w="2296" w:type="pct"/>
            <w:shd w:val="clear" w:color="auto" w:fill="FFFFFF"/>
            <w:vAlign w:val="center"/>
          </w:tcPr>
          <w:p>
            <w:pPr>
              <w:rPr>
                <w:rFonts w:hint="default"/>
                <w:color w:val="auto"/>
                <w:highlight w:val="none"/>
              </w:rPr>
            </w:pPr>
            <w:r>
              <w:rPr>
                <w:rFonts w:hint="default"/>
                <w:color w:val="auto"/>
                <w:highlight w:val="none"/>
              </w:rPr>
              <w:t>评价要点：</w:t>
            </w:r>
            <w:r>
              <w:rPr>
                <w:rFonts w:hint="default"/>
                <w:color w:val="auto"/>
                <w:highlight w:val="none"/>
              </w:rPr>
              <w:br w:type="textWrapping"/>
            </w:r>
            <w:r>
              <w:rPr>
                <w:rFonts w:hint="default"/>
                <w:color w:val="auto"/>
                <w:highlight w:val="none"/>
              </w:rPr>
              <w:t>①预算编制是否经过科学论证；</w:t>
            </w:r>
            <w:r>
              <w:rPr>
                <w:rFonts w:hint="default"/>
                <w:color w:val="auto"/>
                <w:highlight w:val="none"/>
              </w:rPr>
              <w:br w:type="textWrapping"/>
            </w:r>
            <w:r>
              <w:rPr>
                <w:rFonts w:hint="default"/>
                <w:color w:val="auto"/>
                <w:highlight w:val="none"/>
              </w:rPr>
              <w:t>②预算内容与项目内容是否匹配；</w:t>
            </w:r>
            <w:r>
              <w:rPr>
                <w:rFonts w:hint="default"/>
                <w:color w:val="auto"/>
                <w:highlight w:val="none"/>
              </w:rPr>
              <w:br w:type="textWrapping"/>
            </w:r>
            <w:r>
              <w:rPr>
                <w:rFonts w:hint="default"/>
                <w:color w:val="auto"/>
                <w:highlight w:val="none"/>
              </w:rPr>
              <w:t>③预算额度测算依据是否充分，是否按照标准编制；</w:t>
            </w:r>
            <w:r>
              <w:rPr>
                <w:rFonts w:hint="default"/>
                <w:color w:val="auto"/>
                <w:highlight w:val="none"/>
              </w:rPr>
              <w:br w:type="textWrapping"/>
            </w:r>
            <w:r>
              <w:rPr>
                <w:rFonts w:hint="default"/>
                <w:color w:val="auto"/>
                <w:highlight w:val="none"/>
              </w:rPr>
              <w:t>④预算确定的项目投资额或资金量是否与工作任务相匹配。</w:t>
            </w:r>
          </w:p>
        </w:tc>
        <w:tc>
          <w:tcPr>
            <w:tcW w:w="294" w:type="pct"/>
            <w:shd w:val="clear" w:color="auto" w:fill="FFFFFF"/>
            <w:vAlign w:val="center"/>
          </w:tcPr>
          <w:p>
            <w:pPr>
              <w:rPr>
                <w:rFonts w:hint="default"/>
                <w:color w:val="auto"/>
                <w:highlight w:val="none"/>
              </w:rPr>
            </w:pPr>
            <w:r>
              <w:rPr>
                <w:rFonts w:hint="default"/>
                <w:color w:val="auto"/>
                <w:highlight w:val="none"/>
              </w:rPr>
              <w:t>4</w:t>
            </w:r>
          </w:p>
        </w:tc>
        <w:tc>
          <w:tcPr>
            <w:tcW w:w="288" w:type="pct"/>
            <w:shd w:val="clear" w:color="auto" w:fill="FFFFFF"/>
            <w:vAlign w:val="center"/>
          </w:tcPr>
          <w:p>
            <w:pPr>
              <w:rPr>
                <w:rFonts w:hint="eastAsia"/>
                <w:color w:val="auto"/>
                <w:highlight w:val="none"/>
                <w:lang w:eastAsia="zh-CN"/>
              </w:rPr>
            </w:pPr>
            <w:r>
              <w:rPr>
                <w:rFonts w:hint="eastAsia"/>
                <w:color w:val="auto"/>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449" w:type="pct"/>
            <w:vMerge w:val="continue"/>
            <w:shd w:val="clear" w:color="auto" w:fill="FFFFFF"/>
            <w:vAlign w:val="center"/>
          </w:tcPr>
          <w:p>
            <w:pPr>
              <w:rPr>
                <w:rFonts w:hint="default"/>
                <w:color w:val="auto"/>
                <w:highlight w:val="none"/>
              </w:rPr>
            </w:pPr>
          </w:p>
        </w:tc>
        <w:tc>
          <w:tcPr>
            <w:tcW w:w="435" w:type="pct"/>
            <w:vMerge w:val="continue"/>
            <w:shd w:val="clear" w:color="auto" w:fill="FFFFFF"/>
            <w:vAlign w:val="center"/>
          </w:tcPr>
          <w:p>
            <w:pPr>
              <w:rPr>
                <w:rFonts w:hint="default"/>
                <w:color w:val="auto"/>
                <w:highlight w:val="none"/>
              </w:rPr>
            </w:pPr>
          </w:p>
        </w:tc>
        <w:tc>
          <w:tcPr>
            <w:tcW w:w="521" w:type="pct"/>
            <w:shd w:val="clear" w:color="auto" w:fill="FFFFFF"/>
            <w:vAlign w:val="center"/>
          </w:tcPr>
          <w:p>
            <w:pPr>
              <w:rPr>
                <w:rFonts w:hint="default"/>
                <w:color w:val="auto"/>
                <w:highlight w:val="none"/>
              </w:rPr>
            </w:pPr>
            <w:r>
              <w:rPr>
                <w:rFonts w:hint="default"/>
                <w:color w:val="auto"/>
                <w:highlight w:val="none"/>
              </w:rPr>
              <w:t>资金分配</w:t>
            </w:r>
          </w:p>
          <w:p>
            <w:pPr>
              <w:rPr>
                <w:rFonts w:hint="default"/>
                <w:color w:val="auto"/>
                <w:highlight w:val="none"/>
              </w:rPr>
            </w:pPr>
            <w:r>
              <w:rPr>
                <w:rFonts w:hint="default"/>
                <w:color w:val="auto"/>
                <w:highlight w:val="none"/>
              </w:rPr>
              <w:t>合理性</w:t>
            </w:r>
          </w:p>
        </w:tc>
        <w:tc>
          <w:tcPr>
            <w:tcW w:w="715" w:type="pct"/>
            <w:shd w:val="clear" w:color="auto" w:fill="FFFFFF"/>
            <w:vAlign w:val="center"/>
          </w:tcPr>
          <w:p>
            <w:pPr>
              <w:rPr>
                <w:rFonts w:hint="default"/>
                <w:color w:val="auto"/>
                <w:highlight w:val="none"/>
              </w:rPr>
            </w:pPr>
            <w:r>
              <w:rPr>
                <w:rFonts w:hint="default"/>
                <w:color w:val="auto"/>
                <w:highlight w:val="none"/>
              </w:rPr>
              <w:t>项目预算资金分配是否有测算依据，与补助单位或地方实际是否相适应，用以反映和考核项目预算资金分配的科学性、合理性情况。</w:t>
            </w:r>
          </w:p>
        </w:tc>
        <w:tc>
          <w:tcPr>
            <w:tcW w:w="2296" w:type="pct"/>
            <w:shd w:val="clear" w:color="auto" w:fill="FFFFFF"/>
            <w:vAlign w:val="center"/>
          </w:tcPr>
          <w:p>
            <w:pPr>
              <w:rPr>
                <w:rFonts w:hint="default"/>
                <w:color w:val="auto"/>
                <w:highlight w:val="none"/>
              </w:rPr>
            </w:pPr>
            <w:r>
              <w:rPr>
                <w:rFonts w:hint="default"/>
                <w:color w:val="auto"/>
                <w:highlight w:val="none"/>
              </w:rPr>
              <w:t>评价要点：</w:t>
            </w:r>
            <w:r>
              <w:rPr>
                <w:rFonts w:hint="default"/>
                <w:color w:val="auto"/>
                <w:highlight w:val="none"/>
              </w:rPr>
              <w:br w:type="textWrapping"/>
            </w:r>
            <w:r>
              <w:rPr>
                <w:rFonts w:hint="default"/>
                <w:color w:val="auto"/>
                <w:highlight w:val="none"/>
              </w:rPr>
              <w:t>①预算资金分配依据是否充分；</w:t>
            </w:r>
            <w:r>
              <w:rPr>
                <w:rFonts w:hint="default"/>
                <w:color w:val="auto"/>
                <w:highlight w:val="none"/>
              </w:rPr>
              <w:br w:type="textWrapping"/>
            </w:r>
            <w:r>
              <w:rPr>
                <w:rFonts w:hint="default"/>
                <w:color w:val="auto"/>
                <w:highlight w:val="none"/>
              </w:rPr>
              <w:t>②资金分配额度是否合理，与项目单位或地方实际是否相适应。</w:t>
            </w:r>
          </w:p>
        </w:tc>
        <w:tc>
          <w:tcPr>
            <w:tcW w:w="294" w:type="pct"/>
            <w:shd w:val="clear" w:color="auto" w:fill="FFFFFF"/>
            <w:vAlign w:val="center"/>
          </w:tcPr>
          <w:p>
            <w:pPr>
              <w:rPr>
                <w:rFonts w:hint="default"/>
                <w:color w:val="auto"/>
                <w:highlight w:val="none"/>
              </w:rPr>
            </w:pPr>
            <w:r>
              <w:rPr>
                <w:rFonts w:hint="default"/>
                <w:color w:val="auto"/>
                <w:highlight w:val="none"/>
              </w:rPr>
              <w:t>4</w:t>
            </w:r>
          </w:p>
        </w:tc>
        <w:tc>
          <w:tcPr>
            <w:tcW w:w="288" w:type="pct"/>
            <w:shd w:val="clear" w:color="auto" w:fill="FFFFFF"/>
            <w:vAlign w:val="center"/>
          </w:tcPr>
          <w:p>
            <w:pPr>
              <w:rPr>
                <w:rFonts w:hint="eastAsia"/>
                <w:color w:val="auto"/>
                <w:highlight w:val="none"/>
                <w:lang w:eastAsia="zh-CN"/>
              </w:rPr>
            </w:pPr>
            <w:r>
              <w:rPr>
                <w:rFonts w:hint="eastAsia"/>
                <w:color w:val="auto"/>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449" w:type="pct"/>
            <w:vMerge w:val="restart"/>
            <w:shd w:val="clear" w:color="auto" w:fill="FFFFFF"/>
            <w:vAlign w:val="center"/>
          </w:tcPr>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p>
          <w:p>
            <w:pPr>
              <w:rPr>
                <w:rFonts w:hint="default"/>
                <w:color w:val="auto"/>
                <w:highlight w:val="none"/>
              </w:rPr>
            </w:pPr>
            <w:r>
              <w:rPr>
                <w:rFonts w:hint="default"/>
                <w:color w:val="auto"/>
                <w:highlight w:val="none"/>
              </w:rPr>
              <w:t>过程</w:t>
            </w:r>
          </w:p>
          <w:p>
            <w:pPr>
              <w:rPr>
                <w:rFonts w:hint="default"/>
                <w:color w:val="auto"/>
                <w:highlight w:val="none"/>
              </w:rPr>
            </w:pPr>
            <w:r>
              <w:rPr>
                <w:rFonts w:hint="default"/>
                <w:color w:val="auto"/>
                <w:highlight w:val="none"/>
              </w:rPr>
              <w:t>　　</w:t>
            </w:r>
          </w:p>
        </w:tc>
        <w:tc>
          <w:tcPr>
            <w:tcW w:w="435" w:type="pct"/>
            <w:vMerge w:val="restart"/>
            <w:shd w:val="clear" w:color="auto" w:fill="FFFFFF"/>
            <w:vAlign w:val="center"/>
          </w:tcPr>
          <w:p>
            <w:pPr>
              <w:rPr>
                <w:rFonts w:hint="default"/>
                <w:color w:val="auto"/>
                <w:highlight w:val="none"/>
              </w:rPr>
            </w:pPr>
            <w:r>
              <w:rPr>
                <w:rFonts w:hint="default"/>
                <w:color w:val="auto"/>
                <w:highlight w:val="none"/>
              </w:rPr>
              <w:t>资金管理</w:t>
            </w:r>
          </w:p>
        </w:tc>
        <w:tc>
          <w:tcPr>
            <w:tcW w:w="521" w:type="pct"/>
            <w:shd w:val="clear" w:color="auto" w:fill="FFFFFF"/>
            <w:vAlign w:val="center"/>
          </w:tcPr>
          <w:p>
            <w:pPr>
              <w:rPr>
                <w:rFonts w:hint="default"/>
                <w:color w:val="auto"/>
                <w:highlight w:val="none"/>
              </w:rPr>
            </w:pPr>
            <w:r>
              <w:rPr>
                <w:rFonts w:hint="default"/>
                <w:color w:val="auto"/>
                <w:highlight w:val="none"/>
              </w:rPr>
              <w:t>资金到位率</w:t>
            </w:r>
          </w:p>
        </w:tc>
        <w:tc>
          <w:tcPr>
            <w:tcW w:w="715" w:type="pct"/>
            <w:shd w:val="clear" w:color="000000" w:fill="FFFFFF"/>
            <w:vAlign w:val="center"/>
          </w:tcPr>
          <w:p>
            <w:pPr>
              <w:rPr>
                <w:rFonts w:hint="default"/>
                <w:color w:val="auto"/>
                <w:highlight w:val="none"/>
              </w:rPr>
            </w:pPr>
            <w:r>
              <w:rPr>
                <w:rFonts w:hint="default"/>
                <w:color w:val="auto"/>
                <w:highlight w:val="none"/>
              </w:rPr>
              <w:t>实际到位资金与预算资金的比率，用以反映和考核资金落实情况对项目实施的总体保障程度。</w:t>
            </w:r>
          </w:p>
        </w:tc>
        <w:tc>
          <w:tcPr>
            <w:tcW w:w="2296" w:type="pct"/>
            <w:shd w:val="clear" w:color="000000" w:fill="FFFFFF"/>
            <w:vAlign w:val="center"/>
          </w:tcPr>
          <w:p>
            <w:pPr>
              <w:rPr>
                <w:rFonts w:hint="default"/>
                <w:color w:val="auto"/>
                <w:highlight w:val="none"/>
              </w:rPr>
            </w:pPr>
            <w:r>
              <w:rPr>
                <w:rFonts w:hint="default"/>
                <w:color w:val="auto"/>
                <w:highlight w:val="none"/>
              </w:rPr>
              <w:t>资金到位率=（实际到位资金/预算资金）×100%。</w:t>
            </w:r>
          </w:p>
          <w:p>
            <w:pPr>
              <w:rPr>
                <w:rFonts w:hint="default"/>
                <w:color w:val="auto"/>
                <w:highlight w:val="none"/>
              </w:rPr>
            </w:pPr>
            <w:r>
              <w:rPr>
                <w:rFonts w:hint="default"/>
                <w:color w:val="auto"/>
                <w:highlight w:val="none"/>
              </w:rPr>
              <w:t>实际到位资金：一定时期（本年度或项目期）内落实到具体项目的资金。</w:t>
            </w:r>
          </w:p>
          <w:p>
            <w:pPr>
              <w:rPr>
                <w:rFonts w:hint="default"/>
                <w:color w:val="auto"/>
                <w:highlight w:val="none"/>
              </w:rPr>
            </w:pPr>
            <w:r>
              <w:rPr>
                <w:rFonts w:hint="default"/>
                <w:color w:val="auto"/>
                <w:highlight w:val="none"/>
              </w:rPr>
              <w:t>预算资金：一定时期（本年度或项目期）内预算安排到具体项目的资金。</w:t>
            </w:r>
          </w:p>
        </w:tc>
        <w:tc>
          <w:tcPr>
            <w:tcW w:w="294" w:type="pct"/>
            <w:shd w:val="clear" w:color="000000" w:fill="FFFFFF"/>
            <w:vAlign w:val="center"/>
          </w:tcPr>
          <w:p>
            <w:pPr>
              <w:rPr>
                <w:rFonts w:hint="default"/>
                <w:color w:val="auto"/>
                <w:highlight w:val="none"/>
              </w:rPr>
            </w:pPr>
            <w:r>
              <w:rPr>
                <w:rFonts w:hint="default"/>
                <w:color w:val="auto"/>
                <w:highlight w:val="none"/>
              </w:rPr>
              <w:t>4</w:t>
            </w:r>
          </w:p>
        </w:tc>
        <w:tc>
          <w:tcPr>
            <w:tcW w:w="288" w:type="pct"/>
            <w:shd w:val="clear" w:color="000000" w:fill="FFFFFF"/>
            <w:vAlign w:val="center"/>
          </w:tcPr>
          <w:p>
            <w:pPr>
              <w:rPr>
                <w:rFonts w:hint="eastAsia"/>
                <w:color w:val="auto"/>
                <w:highlight w:val="none"/>
                <w:lang w:eastAsia="zh-CN"/>
              </w:rPr>
            </w:pPr>
            <w:r>
              <w:rPr>
                <w:rFonts w:hint="eastAsia"/>
                <w:color w:val="auto"/>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449" w:type="pct"/>
            <w:vMerge w:val="continue"/>
            <w:shd w:val="clear" w:color="auto" w:fill="FFFFFF"/>
            <w:vAlign w:val="center"/>
          </w:tcPr>
          <w:p>
            <w:pPr>
              <w:rPr>
                <w:rFonts w:hint="default"/>
                <w:color w:val="auto"/>
                <w:highlight w:val="none"/>
              </w:rPr>
            </w:pPr>
          </w:p>
        </w:tc>
        <w:tc>
          <w:tcPr>
            <w:tcW w:w="435" w:type="pct"/>
            <w:vMerge w:val="continue"/>
            <w:shd w:val="clear" w:color="auto" w:fill="FFFFFF"/>
            <w:vAlign w:val="center"/>
          </w:tcPr>
          <w:p>
            <w:pPr>
              <w:rPr>
                <w:rFonts w:hint="default"/>
                <w:color w:val="auto"/>
                <w:highlight w:val="none"/>
              </w:rPr>
            </w:pPr>
          </w:p>
        </w:tc>
        <w:tc>
          <w:tcPr>
            <w:tcW w:w="521" w:type="pct"/>
            <w:shd w:val="clear" w:color="auto" w:fill="FFFFFF"/>
            <w:vAlign w:val="center"/>
          </w:tcPr>
          <w:p>
            <w:pPr>
              <w:rPr>
                <w:rFonts w:hint="default"/>
                <w:color w:val="auto"/>
                <w:highlight w:val="none"/>
              </w:rPr>
            </w:pPr>
            <w:r>
              <w:rPr>
                <w:rFonts w:hint="default"/>
                <w:color w:val="auto"/>
                <w:highlight w:val="none"/>
              </w:rPr>
              <w:t>预算执行率</w:t>
            </w:r>
          </w:p>
        </w:tc>
        <w:tc>
          <w:tcPr>
            <w:tcW w:w="715" w:type="pct"/>
            <w:shd w:val="clear" w:color="auto" w:fill="FFFFFF"/>
            <w:vAlign w:val="center"/>
          </w:tcPr>
          <w:p>
            <w:pPr>
              <w:rPr>
                <w:rFonts w:hint="default"/>
                <w:color w:val="auto"/>
                <w:highlight w:val="none"/>
              </w:rPr>
            </w:pPr>
            <w:r>
              <w:rPr>
                <w:rFonts w:hint="default"/>
                <w:color w:val="auto"/>
                <w:highlight w:val="none"/>
              </w:rPr>
              <w:t>项目预算资金是否按照计划执行，用以反映或考核项目预算执行情况。</w:t>
            </w:r>
          </w:p>
        </w:tc>
        <w:tc>
          <w:tcPr>
            <w:tcW w:w="2296" w:type="pct"/>
            <w:shd w:val="clear" w:color="auto" w:fill="FFFFFF"/>
            <w:vAlign w:val="center"/>
          </w:tcPr>
          <w:p>
            <w:pPr>
              <w:rPr>
                <w:rFonts w:hint="default"/>
                <w:color w:val="auto"/>
                <w:highlight w:val="none"/>
              </w:rPr>
            </w:pPr>
            <w:r>
              <w:rPr>
                <w:rFonts w:hint="default"/>
                <w:color w:val="auto"/>
                <w:highlight w:val="none"/>
              </w:rPr>
              <w:t>预算执行率=（实际支出资金/实际到位资金）×100%。</w:t>
            </w:r>
            <w:r>
              <w:rPr>
                <w:rFonts w:hint="default"/>
                <w:color w:val="auto"/>
                <w:highlight w:val="none"/>
              </w:rPr>
              <w:br w:type="textWrapping"/>
            </w:r>
            <w:r>
              <w:rPr>
                <w:rFonts w:hint="default"/>
                <w:color w:val="auto"/>
                <w:highlight w:val="none"/>
              </w:rPr>
              <w:t>实际支出资金：一定时期（本年度或项目期）内项目实际拨付的资金。</w:t>
            </w:r>
          </w:p>
        </w:tc>
        <w:tc>
          <w:tcPr>
            <w:tcW w:w="294" w:type="pct"/>
            <w:shd w:val="clear" w:color="auto" w:fill="FFFFFF"/>
            <w:vAlign w:val="center"/>
          </w:tcPr>
          <w:p>
            <w:pPr>
              <w:rPr>
                <w:rFonts w:hint="default"/>
                <w:color w:val="auto"/>
                <w:highlight w:val="none"/>
              </w:rPr>
            </w:pPr>
            <w:r>
              <w:rPr>
                <w:rFonts w:hint="default"/>
                <w:color w:val="auto"/>
                <w:highlight w:val="none"/>
              </w:rPr>
              <w:t>4</w:t>
            </w:r>
          </w:p>
        </w:tc>
        <w:tc>
          <w:tcPr>
            <w:tcW w:w="288" w:type="pct"/>
            <w:shd w:val="clear" w:color="auto" w:fill="FFFFFF"/>
            <w:vAlign w:val="center"/>
          </w:tcPr>
          <w:p>
            <w:pPr>
              <w:rPr>
                <w:rFonts w:hint="eastAsia"/>
                <w:color w:val="auto"/>
                <w:highlight w:val="none"/>
                <w:lang w:eastAsia="zh-CN"/>
              </w:rPr>
            </w:pPr>
            <w:r>
              <w:rPr>
                <w:rFonts w:hint="eastAsia"/>
                <w:color w:val="auto"/>
                <w:highlight w:val="none"/>
                <w:lang w:val="en-US" w:eastAsia="zh-CN"/>
              </w:rPr>
              <w:t>3.99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449" w:type="pct"/>
            <w:vMerge w:val="continue"/>
            <w:shd w:val="clear" w:color="auto" w:fill="FFFFFF"/>
            <w:vAlign w:val="center"/>
          </w:tcPr>
          <w:p>
            <w:pPr>
              <w:rPr>
                <w:rFonts w:hint="default"/>
                <w:color w:val="auto"/>
                <w:highlight w:val="none"/>
              </w:rPr>
            </w:pPr>
          </w:p>
        </w:tc>
        <w:tc>
          <w:tcPr>
            <w:tcW w:w="435" w:type="pct"/>
            <w:shd w:val="clear" w:color="auto" w:fill="FFFFFF"/>
            <w:vAlign w:val="center"/>
          </w:tcPr>
          <w:p>
            <w:pPr>
              <w:rPr>
                <w:rFonts w:hint="default"/>
                <w:color w:val="auto"/>
                <w:highlight w:val="none"/>
              </w:rPr>
            </w:pPr>
            <w:r>
              <w:rPr>
                <w:rFonts w:hint="default"/>
                <w:color w:val="auto"/>
                <w:highlight w:val="none"/>
              </w:rPr>
              <w:t>资金管理</w:t>
            </w:r>
          </w:p>
        </w:tc>
        <w:tc>
          <w:tcPr>
            <w:tcW w:w="521" w:type="pct"/>
            <w:shd w:val="clear" w:color="auto" w:fill="FFFFFF"/>
            <w:vAlign w:val="center"/>
          </w:tcPr>
          <w:p>
            <w:pPr>
              <w:rPr>
                <w:rFonts w:hint="default"/>
                <w:color w:val="auto"/>
                <w:highlight w:val="none"/>
              </w:rPr>
            </w:pPr>
            <w:r>
              <w:rPr>
                <w:rFonts w:hint="default"/>
                <w:color w:val="auto"/>
                <w:highlight w:val="none"/>
              </w:rPr>
              <w:t>资金使用</w:t>
            </w:r>
          </w:p>
          <w:p>
            <w:pPr>
              <w:rPr>
                <w:rFonts w:hint="default"/>
                <w:color w:val="auto"/>
                <w:highlight w:val="none"/>
              </w:rPr>
            </w:pPr>
            <w:r>
              <w:rPr>
                <w:rFonts w:hint="default"/>
                <w:color w:val="auto"/>
                <w:highlight w:val="none"/>
              </w:rPr>
              <w:t>合规性</w:t>
            </w:r>
          </w:p>
        </w:tc>
        <w:tc>
          <w:tcPr>
            <w:tcW w:w="715" w:type="pct"/>
            <w:shd w:val="clear" w:color="000000" w:fill="FFFFFF"/>
            <w:vAlign w:val="center"/>
          </w:tcPr>
          <w:p>
            <w:pPr>
              <w:rPr>
                <w:rFonts w:hint="default"/>
                <w:color w:val="auto"/>
                <w:highlight w:val="none"/>
              </w:rPr>
            </w:pPr>
            <w:r>
              <w:rPr>
                <w:rFonts w:hint="default"/>
                <w:color w:val="auto"/>
                <w:highlight w:val="none"/>
              </w:rPr>
              <w:t>项目资金使用是否符合相关的财务管理制度规定，用以反映和考核项目资金的规范运行情况。</w:t>
            </w:r>
          </w:p>
        </w:tc>
        <w:tc>
          <w:tcPr>
            <w:tcW w:w="2296" w:type="pct"/>
            <w:shd w:val="clear" w:color="000000" w:fill="FFFFFF"/>
            <w:vAlign w:val="center"/>
          </w:tcPr>
          <w:p>
            <w:pPr>
              <w:rPr>
                <w:rFonts w:hint="default"/>
                <w:color w:val="auto"/>
                <w:highlight w:val="none"/>
              </w:rPr>
            </w:pPr>
            <w:r>
              <w:rPr>
                <w:rFonts w:hint="default"/>
                <w:color w:val="auto"/>
                <w:highlight w:val="none"/>
              </w:rPr>
              <w:t>评价要点：</w:t>
            </w:r>
            <w:r>
              <w:rPr>
                <w:rFonts w:hint="default"/>
                <w:color w:val="auto"/>
                <w:highlight w:val="none"/>
              </w:rPr>
              <w:br w:type="textWrapping"/>
            </w:r>
            <w:r>
              <w:rPr>
                <w:rFonts w:hint="default"/>
                <w:color w:val="auto"/>
                <w:highlight w:val="none"/>
              </w:rPr>
              <w:t>①是否符合国家财经法规和财务管理制度以及有关专项资金管理办法的规定；</w:t>
            </w:r>
            <w:r>
              <w:rPr>
                <w:rFonts w:hint="default"/>
                <w:color w:val="auto"/>
                <w:highlight w:val="none"/>
              </w:rPr>
              <w:br w:type="textWrapping"/>
            </w:r>
            <w:r>
              <w:rPr>
                <w:rFonts w:hint="default"/>
                <w:color w:val="auto"/>
                <w:highlight w:val="none"/>
              </w:rPr>
              <w:t>②资金的拨付是否有完整的审批程序和手续；</w:t>
            </w:r>
            <w:r>
              <w:rPr>
                <w:rFonts w:hint="default"/>
                <w:color w:val="auto"/>
                <w:highlight w:val="none"/>
              </w:rPr>
              <w:br w:type="textWrapping"/>
            </w:r>
            <w:r>
              <w:rPr>
                <w:rFonts w:hint="default"/>
                <w:color w:val="auto"/>
                <w:highlight w:val="none"/>
              </w:rPr>
              <w:t>③是否符合项目预算批复或合同规定的用途；</w:t>
            </w:r>
            <w:r>
              <w:rPr>
                <w:rFonts w:hint="default"/>
                <w:color w:val="auto"/>
                <w:highlight w:val="none"/>
              </w:rPr>
              <w:br w:type="textWrapping"/>
            </w:r>
            <w:r>
              <w:rPr>
                <w:rFonts w:hint="default"/>
                <w:color w:val="auto"/>
                <w:highlight w:val="none"/>
              </w:rPr>
              <w:t>④是否存在截留、挤占、挪用、虚列支出等情况。</w:t>
            </w:r>
          </w:p>
        </w:tc>
        <w:tc>
          <w:tcPr>
            <w:tcW w:w="294" w:type="pct"/>
            <w:shd w:val="clear" w:color="000000" w:fill="FFFFFF"/>
            <w:vAlign w:val="center"/>
          </w:tcPr>
          <w:p>
            <w:pPr>
              <w:rPr>
                <w:rFonts w:hint="default"/>
                <w:color w:val="auto"/>
                <w:highlight w:val="none"/>
              </w:rPr>
            </w:pPr>
            <w:r>
              <w:rPr>
                <w:rFonts w:hint="default"/>
                <w:color w:val="auto"/>
                <w:highlight w:val="none"/>
              </w:rPr>
              <w:t>4</w:t>
            </w:r>
          </w:p>
        </w:tc>
        <w:tc>
          <w:tcPr>
            <w:tcW w:w="288" w:type="pct"/>
            <w:shd w:val="clear" w:color="000000" w:fill="FFFFFF"/>
            <w:vAlign w:val="center"/>
          </w:tcPr>
          <w:p>
            <w:pPr>
              <w:rPr>
                <w:rFonts w:hint="default"/>
                <w:color w:val="auto"/>
                <w:highlight w:val="none"/>
                <w:lang w:val="en-US" w:eastAsia="zh-CN"/>
              </w:rPr>
            </w:pPr>
            <w:r>
              <w:rPr>
                <w:rFonts w:hint="eastAsia"/>
                <w:color w:val="auto"/>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449" w:type="pct"/>
            <w:vMerge w:val="continue"/>
            <w:shd w:val="clear" w:color="auto" w:fill="FFFFFF"/>
            <w:vAlign w:val="center"/>
          </w:tcPr>
          <w:p>
            <w:pPr>
              <w:rPr>
                <w:rFonts w:hint="default"/>
                <w:color w:val="auto"/>
                <w:highlight w:val="none"/>
              </w:rPr>
            </w:pPr>
          </w:p>
        </w:tc>
        <w:tc>
          <w:tcPr>
            <w:tcW w:w="435" w:type="pct"/>
            <w:vMerge w:val="restart"/>
            <w:shd w:val="clear" w:color="auto" w:fill="FFFFFF"/>
            <w:vAlign w:val="center"/>
          </w:tcPr>
          <w:p>
            <w:pPr>
              <w:rPr>
                <w:rFonts w:hint="default"/>
                <w:color w:val="auto"/>
                <w:highlight w:val="none"/>
              </w:rPr>
            </w:pPr>
            <w:r>
              <w:rPr>
                <w:rFonts w:hint="default"/>
                <w:color w:val="auto"/>
                <w:highlight w:val="none"/>
              </w:rPr>
              <w:t>组织实施</w:t>
            </w:r>
          </w:p>
          <w:p>
            <w:pPr>
              <w:rPr>
                <w:rFonts w:hint="default"/>
                <w:color w:val="auto"/>
                <w:highlight w:val="none"/>
              </w:rPr>
            </w:pPr>
            <w:r>
              <w:rPr>
                <w:rFonts w:hint="default"/>
                <w:color w:val="auto"/>
                <w:highlight w:val="none"/>
              </w:rPr>
              <w:t>　</w:t>
            </w:r>
          </w:p>
        </w:tc>
        <w:tc>
          <w:tcPr>
            <w:tcW w:w="521" w:type="pct"/>
            <w:shd w:val="clear" w:color="auto" w:fill="FFFFFF"/>
            <w:vAlign w:val="center"/>
          </w:tcPr>
          <w:p>
            <w:pPr>
              <w:rPr>
                <w:rFonts w:hint="default"/>
                <w:color w:val="auto"/>
                <w:highlight w:val="none"/>
              </w:rPr>
            </w:pPr>
            <w:r>
              <w:rPr>
                <w:rFonts w:hint="default"/>
                <w:color w:val="auto"/>
                <w:highlight w:val="none"/>
              </w:rPr>
              <w:t>管理制度</w:t>
            </w:r>
          </w:p>
          <w:p>
            <w:pPr>
              <w:rPr>
                <w:rFonts w:hint="default"/>
                <w:color w:val="auto"/>
                <w:highlight w:val="none"/>
              </w:rPr>
            </w:pPr>
            <w:r>
              <w:rPr>
                <w:rFonts w:hint="default"/>
                <w:color w:val="auto"/>
                <w:highlight w:val="none"/>
              </w:rPr>
              <w:t>健全性</w:t>
            </w:r>
          </w:p>
        </w:tc>
        <w:tc>
          <w:tcPr>
            <w:tcW w:w="715" w:type="pct"/>
            <w:shd w:val="clear" w:color="000000" w:fill="FFFFFF"/>
            <w:vAlign w:val="center"/>
          </w:tcPr>
          <w:p>
            <w:pPr>
              <w:rPr>
                <w:rFonts w:hint="default"/>
                <w:color w:val="auto"/>
                <w:highlight w:val="none"/>
              </w:rPr>
            </w:pPr>
            <w:r>
              <w:rPr>
                <w:rFonts w:hint="default"/>
                <w:color w:val="auto"/>
                <w:highlight w:val="none"/>
              </w:rPr>
              <w:t>项目实施单位的财务和业务管理制度是否健全，用以反映和考核财务和业务管理制度对项目顺利实施的保障情况。</w:t>
            </w:r>
          </w:p>
        </w:tc>
        <w:tc>
          <w:tcPr>
            <w:tcW w:w="2296" w:type="pct"/>
            <w:shd w:val="clear" w:color="000000" w:fill="FFFFFF"/>
            <w:vAlign w:val="center"/>
          </w:tcPr>
          <w:p>
            <w:pPr>
              <w:rPr>
                <w:rFonts w:hint="default"/>
                <w:color w:val="auto"/>
                <w:highlight w:val="none"/>
              </w:rPr>
            </w:pPr>
            <w:r>
              <w:rPr>
                <w:rFonts w:hint="default"/>
                <w:color w:val="auto"/>
                <w:highlight w:val="none"/>
              </w:rPr>
              <w:t>评价要点：</w:t>
            </w:r>
            <w:r>
              <w:rPr>
                <w:rFonts w:hint="default"/>
                <w:color w:val="auto"/>
                <w:highlight w:val="none"/>
              </w:rPr>
              <w:br w:type="textWrapping"/>
            </w:r>
            <w:r>
              <w:rPr>
                <w:rFonts w:hint="default"/>
                <w:color w:val="auto"/>
                <w:highlight w:val="none"/>
              </w:rPr>
              <w:t>①是否已制定或具有相应的财务和业务管理制度；</w:t>
            </w:r>
            <w:r>
              <w:rPr>
                <w:rFonts w:hint="default"/>
                <w:color w:val="auto"/>
                <w:highlight w:val="none"/>
              </w:rPr>
              <w:br w:type="textWrapping"/>
            </w:r>
            <w:r>
              <w:rPr>
                <w:rFonts w:hint="default"/>
                <w:color w:val="auto"/>
                <w:highlight w:val="none"/>
              </w:rPr>
              <w:t>②财务和业务管理制度是否合法、合规、完整。</w:t>
            </w:r>
          </w:p>
        </w:tc>
        <w:tc>
          <w:tcPr>
            <w:tcW w:w="294" w:type="pct"/>
            <w:shd w:val="clear" w:color="000000" w:fill="FFFFFF"/>
            <w:vAlign w:val="center"/>
          </w:tcPr>
          <w:p>
            <w:pPr>
              <w:rPr>
                <w:rFonts w:hint="default"/>
                <w:color w:val="auto"/>
                <w:highlight w:val="none"/>
              </w:rPr>
            </w:pPr>
            <w:r>
              <w:rPr>
                <w:rFonts w:hint="default"/>
                <w:color w:val="auto"/>
                <w:highlight w:val="none"/>
              </w:rPr>
              <w:t>4</w:t>
            </w:r>
          </w:p>
        </w:tc>
        <w:tc>
          <w:tcPr>
            <w:tcW w:w="288" w:type="pct"/>
            <w:shd w:val="clear" w:color="000000" w:fill="FFFFFF"/>
            <w:vAlign w:val="center"/>
          </w:tcPr>
          <w:p>
            <w:pPr>
              <w:rPr>
                <w:rFonts w:hint="eastAsia"/>
                <w:color w:val="auto"/>
                <w:highlight w:val="none"/>
                <w:lang w:eastAsia="zh-CN"/>
              </w:rPr>
            </w:pPr>
            <w:r>
              <w:rPr>
                <w:rFonts w:hint="eastAsia"/>
                <w:color w:val="auto"/>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449" w:type="pct"/>
            <w:vMerge w:val="continue"/>
            <w:shd w:val="clear" w:color="auto" w:fill="FFFFFF"/>
            <w:vAlign w:val="center"/>
          </w:tcPr>
          <w:p>
            <w:pPr>
              <w:rPr>
                <w:rFonts w:hint="default"/>
                <w:color w:val="auto"/>
                <w:highlight w:val="none"/>
              </w:rPr>
            </w:pPr>
          </w:p>
        </w:tc>
        <w:tc>
          <w:tcPr>
            <w:tcW w:w="435" w:type="pct"/>
            <w:vMerge w:val="continue"/>
            <w:shd w:val="clear" w:color="auto" w:fill="FFFFFF"/>
            <w:vAlign w:val="center"/>
          </w:tcPr>
          <w:p>
            <w:pPr>
              <w:rPr>
                <w:rFonts w:hint="default"/>
                <w:color w:val="auto"/>
                <w:highlight w:val="none"/>
              </w:rPr>
            </w:pPr>
          </w:p>
        </w:tc>
        <w:tc>
          <w:tcPr>
            <w:tcW w:w="521" w:type="pct"/>
            <w:shd w:val="clear" w:color="auto" w:fill="FFFFFF"/>
            <w:vAlign w:val="center"/>
          </w:tcPr>
          <w:p>
            <w:pPr>
              <w:rPr>
                <w:rFonts w:hint="default"/>
                <w:color w:val="auto"/>
                <w:highlight w:val="none"/>
              </w:rPr>
            </w:pPr>
            <w:r>
              <w:rPr>
                <w:rFonts w:hint="default"/>
                <w:color w:val="auto"/>
                <w:highlight w:val="none"/>
              </w:rPr>
              <w:t>制度执行</w:t>
            </w:r>
          </w:p>
          <w:p>
            <w:pPr>
              <w:rPr>
                <w:rFonts w:hint="default"/>
                <w:color w:val="auto"/>
                <w:highlight w:val="none"/>
              </w:rPr>
            </w:pPr>
            <w:r>
              <w:rPr>
                <w:rFonts w:hint="default"/>
                <w:color w:val="auto"/>
                <w:highlight w:val="none"/>
              </w:rPr>
              <w:t>有效性</w:t>
            </w:r>
          </w:p>
        </w:tc>
        <w:tc>
          <w:tcPr>
            <w:tcW w:w="715" w:type="pct"/>
            <w:shd w:val="clear" w:color="000000" w:fill="FFFFFF"/>
            <w:vAlign w:val="center"/>
          </w:tcPr>
          <w:p>
            <w:pPr>
              <w:rPr>
                <w:rFonts w:hint="default"/>
                <w:color w:val="auto"/>
                <w:highlight w:val="none"/>
              </w:rPr>
            </w:pPr>
            <w:r>
              <w:rPr>
                <w:rFonts w:hint="default"/>
                <w:color w:val="auto"/>
                <w:highlight w:val="none"/>
              </w:rPr>
              <w:t>项目实施是否符合相关管理规定，用以反映和考核相关管理制度的有效执行情况。</w:t>
            </w:r>
          </w:p>
        </w:tc>
        <w:tc>
          <w:tcPr>
            <w:tcW w:w="2296" w:type="pct"/>
            <w:shd w:val="clear" w:color="000000" w:fill="FFFFFF"/>
            <w:vAlign w:val="center"/>
          </w:tcPr>
          <w:p>
            <w:pPr>
              <w:rPr>
                <w:rFonts w:hint="default"/>
                <w:color w:val="auto"/>
                <w:highlight w:val="none"/>
              </w:rPr>
            </w:pPr>
            <w:r>
              <w:rPr>
                <w:rFonts w:hint="default"/>
                <w:color w:val="auto"/>
                <w:highlight w:val="none"/>
              </w:rPr>
              <w:t>评价要点：</w:t>
            </w:r>
            <w:r>
              <w:rPr>
                <w:rFonts w:hint="default"/>
                <w:color w:val="auto"/>
                <w:highlight w:val="none"/>
              </w:rPr>
              <w:br w:type="textWrapping"/>
            </w:r>
            <w:r>
              <w:rPr>
                <w:rFonts w:hint="default"/>
                <w:color w:val="auto"/>
                <w:highlight w:val="none"/>
              </w:rPr>
              <w:t>①是否遵守相关法律法规和相关管理规定；</w:t>
            </w:r>
            <w:r>
              <w:rPr>
                <w:rFonts w:hint="default"/>
                <w:color w:val="auto"/>
                <w:highlight w:val="none"/>
              </w:rPr>
              <w:br w:type="textWrapping"/>
            </w:r>
            <w:r>
              <w:rPr>
                <w:rFonts w:hint="default"/>
                <w:color w:val="auto"/>
                <w:highlight w:val="none"/>
              </w:rPr>
              <w:t>②项目调整及支出调整手续是否完备；</w:t>
            </w:r>
            <w:r>
              <w:rPr>
                <w:rFonts w:hint="default"/>
                <w:color w:val="auto"/>
                <w:highlight w:val="none"/>
              </w:rPr>
              <w:br w:type="textWrapping"/>
            </w:r>
            <w:r>
              <w:rPr>
                <w:rFonts w:hint="default"/>
                <w:color w:val="auto"/>
                <w:highlight w:val="none"/>
              </w:rPr>
              <w:t>③项目合同书、验收报告、技术鉴定等资料是否齐全并及时归档；</w:t>
            </w:r>
            <w:r>
              <w:rPr>
                <w:rFonts w:hint="default"/>
                <w:color w:val="auto"/>
                <w:highlight w:val="none"/>
              </w:rPr>
              <w:br w:type="textWrapping"/>
            </w:r>
            <w:r>
              <w:rPr>
                <w:rFonts w:hint="default"/>
                <w:color w:val="auto"/>
                <w:highlight w:val="none"/>
              </w:rPr>
              <w:t>④项目实施的人员条件、场地设备、信息支撑等是否落实到位。</w:t>
            </w:r>
          </w:p>
        </w:tc>
        <w:tc>
          <w:tcPr>
            <w:tcW w:w="294" w:type="pct"/>
            <w:shd w:val="clear" w:color="000000" w:fill="FFFFFF"/>
            <w:vAlign w:val="center"/>
          </w:tcPr>
          <w:p>
            <w:pPr>
              <w:rPr>
                <w:rFonts w:hint="default"/>
                <w:color w:val="auto"/>
                <w:highlight w:val="none"/>
              </w:rPr>
            </w:pPr>
            <w:r>
              <w:rPr>
                <w:rFonts w:hint="default"/>
                <w:color w:val="auto"/>
                <w:highlight w:val="none"/>
              </w:rPr>
              <w:t>4</w:t>
            </w:r>
          </w:p>
        </w:tc>
        <w:tc>
          <w:tcPr>
            <w:tcW w:w="288" w:type="pct"/>
            <w:shd w:val="clear" w:color="000000" w:fill="FFFFFF"/>
            <w:vAlign w:val="center"/>
          </w:tcPr>
          <w:p>
            <w:pPr>
              <w:rPr>
                <w:rFonts w:hint="eastAsia"/>
                <w:color w:val="auto"/>
                <w:highlight w:val="none"/>
                <w:lang w:eastAsia="zh-CN"/>
              </w:rPr>
            </w:pPr>
            <w:r>
              <w:rPr>
                <w:rFonts w:hint="eastAsia"/>
                <w:color w:val="auto"/>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449" w:type="pct"/>
            <w:vMerge w:val="restart"/>
            <w:shd w:val="clear" w:color="auto" w:fill="FFFFFF"/>
            <w:vAlign w:val="center"/>
          </w:tcPr>
          <w:p>
            <w:pPr>
              <w:rPr>
                <w:rFonts w:hint="default"/>
                <w:color w:val="auto"/>
                <w:highlight w:val="none"/>
              </w:rPr>
            </w:pPr>
            <w:bookmarkStart w:id="13" w:name="OLE_LINK8" w:colFirst="6" w:colLast="6"/>
            <w:r>
              <w:rPr>
                <w:rFonts w:hint="default"/>
                <w:color w:val="auto"/>
                <w:highlight w:val="none"/>
              </w:rPr>
              <w:t>产出</w:t>
            </w:r>
          </w:p>
        </w:tc>
        <w:tc>
          <w:tcPr>
            <w:tcW w:w="435" w:type="pct"/>
            <w:shd w:val="clear" w:color="auto" w:fill="FFFFFF"/>
            <w:vAlign w:val="center"/>
          </w:tcPr>
          <w:p>
            <w:pPr>
              <w:rPr>
                <w:rFonts w:hint="default"/>
                <w:color w:val="auto"/>
                <w:highlight w:val="none"/>
              </w:rPr>
            </w:pPr>
            <w:r>
              <w:rPr>
                <w:rFonts w:hint="default"/>
                <w:color w:val="auto"/>
                <w:highlight w:val="none"/>
              </w:rPr>
              <w:t>产出数量</w:t>
            </w:r>
          </w:p>
        </w:tc>
        <w:tc>
          <w:tcPr>
            <w:tcW w:w="521" w:type="pct"/>
            <w:shd w:val="clear" w:color="auto" w:fill="FFFFFF"/>
            <w:vAlign w:val="center"/>
          </w:tcPr>
          <w:p>
            <w:pPr>
              <w:rPr>
                <w:rFonts w:hint="default"/>
                <w:color w:val="auto"/>
                <w:highlight w:val="none"/>
              </w:rPr>
            </w:pPr>
            <w:r>
              <w:rPr>
                <w:rFonts w:hint="default"/>
                <w:color w:val="auto"/>
                <w:highlight w:val="none"/>
              </w:rPr>
              <w:t>实际完成率</w:t>
            </w:r>
          </w:p>
        </w:tc>
        <w:tc>
          <w:tcPr>
            <w:tcW w:w="715" w:type="pct"/>
            <w:shd w:val="clear" w:color="000000" w:fill="FFFFFF"/>
            <w:vAlign w:val="center"/>
          </w:tcPr>
          <w:p>
            <w:pPr>
              <w:rPr>
                <w:rFonts w:hint="default"/>
                <w:color w:val="auto"/>
                <w:highlight w:val="none"/>
              </w:rPr>
            </w:pPr>
            <w:r>
              <w:rPr>
                <w:rFonts w:hint="default"/>
                <w:color w:val="auto"/>
                <w:highlight w:val="none"/>
              </w:rPr>
              <w:t>项目实施的实际产出数与计划产出数的比率，用以反映和考核项目产出数量目标的实现程度。</w:t>
            </w:r>
          </w:p>
        </w:tc>
        <w:tc>
          <w:tcPr>
            <w:tcW w:w="2296" w:type="pct"/>
            <w:shd w:val="clear" w:color="000000" w:fill="FFFFFF"/>
            <w:vAlign w:val="center"/>
          </w:tcPr>
          <w:p>
            <w:pPr>
              <w:rPr>
                <w:rFonts w:hint="default"/>
                <w:color w:val="auto"/>
                <w:highlight w:val="none"/>
              </w:rPr>
            </w:pPr>
            <w:r>
              <w:rPr>
                <w:rFonts w:hint="default"/>
                <w:color w:val="auto"/>
                <w:highlight w:val="none"/>
              </w:rPr>
              <w:t>实际完成率=（实际产出数/计划产出数）×100%。</w:t>
            </w:r>
            <w:r>
              <w:rPr>
                <w:rFonts w:hint="default"/>
                <w:color w:val="auto"/>
                <w:highlight w:val="none"/>
              </w:rPr>
              <w:br w:type="textWrapping"/>
            </w:r>
            <w:r>
              <w:rPr>
                <w:rFonts w:hint="default"/>
                <w:color w:val="auto"/>
                <w:highlight w:val="none"/>
              </w:rPr>
              <w:t>实际产出数：一定时期（本年度或项目期）内项目实际产出的产品或提供的服务数量。</w:t>
            </w:r>
            <w:r>
              <w:rPr>
                <w:rFonts w:hint="default"/>
                <w:color w:val="auto"/>
                <w:highlight w:val="none"/>
              </w:rPr>
              <w:br w:type="textWrapping"/>
            </w:r>
            <w:r>
              <w:rPr>
                <w:rFonts w:hint="default"/>
                <w:color w:val="auto"/>
                <w:highlight w:val="none"/>
              </w:rPr>
              <w:t>计划产出数：项目绩效目标确定的在一定时期（本年度或项目期）内计划产出的产品或提供的服务数量。</w:t>
            </w:r>
          </w:p>
        </w:tc>
        <w:tc>
          <w:tcPr>
            <w:tcW w:w="294" w:type="pct"/>
            <w:shd w:val="clear" w:color="000000" w:fill="FFFFFF"/>
            <w:vAlign w:val="center"/>
          </w:tcPr>
          <w:p>
            <w:pPr>
              <w:rPr>
                <w:rFonts w:hint="default"/>
                <w:color w:val="auto"/>
                <w:highlight w:val="none"/>
              </w:rPr>
            </w:pPr>
            <w:r>
              <w:rPr>
                <w:rFonts w:hint="default"/>
                <w:color w:val="auto"/>
                <w:highlight w:val="none"/>
              </w:rPr>
              <w:t>10</w:t>
            </w:r>
          </w:p>
        </w:tc>
        <w:tc>
          <w:tcPr>
            <w:tcW w:w="288" w:type="pct"/>
            <w:shd w:val="clear" w:color="000000" w:fill="FFFFFF"/>
            <w:vAlign w:val="center"/>
          </w:tcPr>
          <w:p>
            <w:pPr>
              <w:rPr>
                <w:rFonts w:hint="default"/>
                <w:color w:val="auto"/>
                <w:highlight w:val="none"/>
                <w:lang w:val="en-US" w:eastAsia="zh-CN"/>
              </w:rPr>
            </w:pPr>
            <w:r>
              <w:rPr>
                <w:rFonts w:hint="eastAsia"/>
                <w:color w:val="auto"/>
                <w:highlight w:val="none"/>
                <w:lang w:val="en-US" w:eastAsia="zh-CN"/>
              </w:rPr>
              <w:t>9.94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449" w:type="pct"/>
            <w:vMerge w:val="continue"/>
            <w:shd w:val="clear" w:color="auto" w:fill="FFFFFF"/>
            <w:vAlign w:val="center"/>
          </w:tcPr>
          <w:p>
            <w:pPr>
              <w:rPr>
                <w:rFonts w:hint="default"/>
                <w:color w:val="auto"/>
                <w:highlight w:val="none"/>
              </w:rPr>
            </w:pPr>
          </w:p>
        </w:tc>
        <w:tc>
          <w:tcPr>
            <w:tcW w:w="435" w:type="pct"/>
            <w:shd w:val="clear" w:color="auto" w:fill="FFFFFF"/>
            <w:vAlign w:val="center"/>
          </w:tcPr>
          <w:p>
            <w:pPr>
              <w:rPr>
                <w:rFonts w:hint="default"/>
                <w:color w:val="auto"/>
                <w:highlight w:val="none"/>
              </w:rPr>
            </w:pPr>
            <w:r>
              <w:rPr>
                <w:rFonts w:hint="default"/>
                <w:color w:val="auto"/>
                <w:highlight w:val="none"/>
              </w:rPr>
              <w:t>产出质量</w:t>
            </w:r>
          </w:p>
        </w:tc>
        <w:tc>
          <w:tcPr>
            <w:tcW w:w="521" w:type="pct"/>
            <w:shd w:val="clear" w:color="auto" w:fill="FFFFFF"/>
            <w:vAlign w:val="center"/>
          </w:tcPr>
          <w:p>
            <w:pPr>
              <w:rPr>
                <w:rFonts w:hint="default"/>
                <w:color w:val="auto"/>
                <w:highlight w:val="none"/>
              </w:rPr>
            </w:pPr>
            <w:r>
              <w:rPr>
                <w:rFonts w:hint="default"/>
                <w:color w:val="auto"/>
                <w:highlight w:val="none"/>
              </w:rPr>
              <w:t>质量达标率</w:t>
            </w:r>
          </w:p>
        </w:tc>
        <w:tc>
          <w:tcPr>
            <w:tcW w:w="715" w:type="pct"/>
            <w:shd w:val="clear" w:color="000000" w:fill="FFFFFF"/>
            <w:vAlign w:val="center"/>
          </w:tcPr>
          <w:p>
            <w:pPr>
              <w:rPr>
                <w:rFonts w:hint="default"/>
                <w:color w:val="auto"/>
                <w:highlight w:val="none"/>
              </w:rPr>
            </w:pPr>
            <w:r>
              <w:rPr>
                <w:rFonts w:hint="default"/>
                <w:color w:val="auto"/>
                <w:highlight w:val="none"/>
              </w:rPr>
              <w:t>项目完成的质量达标产出数与实际产出数的比率，用以反映和考核项目产出质量目标的实现程度。</w:t>
            </w:r>
          </w:p>
        </w:tc>
        <w:tc>
          <w:tcPr>
            <w:tcW w:w="2296" w:type="pct"/>
            <w:shd w:val="clear" w:color="000000" w:fill="FFFFFF"/>
            <w:vAlign w:val="center"/>
          </w:tcPr>
          <w:p>
            <w:pPr>
              <w:rPr>
                <w:rFonts w:hint="default"/>
                <w:color w:val="auto"/>
                <w:highlight w:val="none"/>
              </w:rPr>
            </w:pPr>
            <w:r>
              <w:rPr>
                <w:rFonts w:hint="default"/>
                <w:color w:val="auto"/>
                <w:highlight w:val="none"/>
              </w:rPr>
              <w:t>质量达标率=（质量达标产出数/实际产出数）×100%。</w:t>
            </w:r>
          </w:p>
          <w:p>
            <w:pPr>
              <w:rPr>
                <w:rFonts w:hint="default"/>
                <w:color w:val="auto"/>
                <w:highlight w:val="none"/>
              </w:rPr>
            </w:pPr>
            <w:r>
              <w:rPr>
                <w:rFonts w:hint="default"/>
                <w:color w:val="auto"/>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94" w:type="pct"/>
            <w:shd w:val="clear" w:color="000000" w:fill="FFFFFF"/>
            <w:vAlign w:val="center"/>
          </w:tcPr>
          <w:p>
            <w:pPr>
              <w:rPr>
                <w:rFonts w:hint="default"/>
                <w:color w:val="auto"/>
                <w:highlight w:val="none"/>
              </w:rPr>
            </w:pPr>
            <w:r>
              <w:rPr>
                <w:rFonts w:hint="default"/>
                <w:color w:val="auto"/>
                <w:highlight w:val="none"/>
              </w:rPr>
              <w:t>10</w:t>
            </w:r>
          </w:p>
        </w:tc>
        <w:tc>
          <w:tcPr>
            <w:tcW w:w="288" w:type="pct"/>
            <w:shd w:val="clear" w:color="000000" w:fill="FFFFFF"/>
            <w:vAlign w:val="center"/>
          </w:tcPr>
          <w:p>
            <w:pPr>
              <w:rPr>
                <w:rFonts w:hint="default"/>
                <w:color w:val="auto"/>
                <w:highlight w:val="none"/>
                <w:lang w:val="en-US" w:eastAsia="zh-CN"/>
              </w:rPr>
            </w:pPr>
            <w:r>
              <w:rPr>
                <w:rFonts w:hint="eastAsia"/>
                <w:color w:val="auto"/>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449" w:type="pct"/>
            <w:vMerge w:val="continue"/>
            <w:shd w:val="clear" w:color="auto" w:fill="FFFFFF"/>
            <w:vAlign w:val="center"/>
          </w:tcPr>
          <w:p>
            <w:pPr>
              <w:rPr>
                <w:rFonts w:hint="default"/>
                <w:color w:val="auto"/>
                <w:highlight w:val="none"/>
              </w:rPr>
            </w:pPr>
          </w:p>
        </w:tc>
        <w:tc>
          <w:tcPr>
            <w:tcW w:w="435" w:type="pct"/>
            <w:shd w:val="clear" w:color="auto" w:fill="FFFFFF"/>
            <w:vAlign w:val="center"/>
          </w:tcPr>
          <w:p>
            <w:pPr>
              <w:rPr>
                <w:rFonts w:hint="default"/>
                <w:color w:val="auto"/>
                <w:highlight w:val="none"/>
              </w:rPr>
            </w:pPr>
            <w:r>
              <w:rPr>
                <w:rFonts w:hint="default"/>
                <w:color w:val="auto"/>
                <w:highlight w:val="none"/>
              </w:rPr>
              <w:t>产出时效</w:t>
            </w:r>
          </w:p>
        </w:tc>
        <w:tc>
          <w:tcPr>
            <w:tcW w:w="521" w:type="pct"/>
            <w:shd w:val="clear" w:color="auto" w:fill="FFFFFF"/>
            <w:vAlign w:val="center"/>
          </w:tcPr>
          <w:p>
            <w:pPr>
              <w:rPr>
                <w:rFonts w:hint="default"/>
                <w:color w:val="auto"/>
                <w:highlight w:val="none"/>
              </w:rPr>
            </w:pPr>
            <w:r>
              <w:rPr>
                <w:rFonts w:hint="default"/>
                <w:color w:val="auto"/>
                <w:highlight w:val="none"/>
              </w:rPr>
              <w:t>完成及时性</w:t>
            </w:r>
          </w:p>
        </w:tc>
        <w:tc>
          <w:tcPr>
            <w:tcW w:w="715" w:type="pct"/>
            <w:shd w:val="clear" w:color="000000" w:fill="FFFFFF"/>
            <w:vAlign w:val="center"/>
          </w:tcPr>
          <w:p>
            <w:pPr>
              <w:rPr>
                <w:rFonts w:hint="default"/>
                <w:color w:val="auto"/>
                <w:highlight w:val="none"/>
              </w:rPr>
            </w:pPr>
            <w:r>
              <w:rPr>
                <w:rFonts w:hint="default"/>
                <w:color w:val="auto"/>
                <w:highlight w:val="none"/>
              </w:rPr>
              <w:t>项目实际完成时间与计划完成时间的比较，用以反映和考核项目产出时效目标的实现程度。</w:t>
            </w:r>
          </w:p>
        </w:tc>
        <w:tc>
          <w:tcPr>
            <w:tcW w:w="2296" w:type="pct"/>
            <w:shd w:val="clear" w:color="000000" w:fill="FFFFFF"/>
            <w:vAlign w:val="center"/>
          </w:tcPr>
          <w:p>
            <w:pPr>
              <w:rPr>
                <w:rFonts w:hint="default"/>
                <w:color w:val="auto"/>
                <w:highlight w:val="none"/>
              </w:rPr>
            </w:pPr>
            <w:r>
              <w:rPr>
                <w:rFonts w:hint="default"/>
                <w:color w:val="auto"/>
                <w:highlight w:val="none"/>
              </w:rPr>
              <w:t>实际完成时间：项目实施单位完成该项目实际所耗用的时间。</w:t>
            </w:r>
            <w:r>
              <w:rPr>
                <w:rFonts w:hint="default"/>
                <w:color w:val="auto"/>
                <w:highlight w:val="none"/>
              </w:rPr>
              <w:br w:type="textWrapping"/>
            </w:r>
            <w:r>
              <w:rPr>
                <w:rFonts w:hint="default"/>
                <w:color w:val="auto"/>
                <w:highlight w:val="none"/>
              </w:rPr>
              <w:t>计划完成时间：按照项目实施计划或相关规定完成该项目所需的时间。</w:t>
            </w:r>
          </w:p>
        </w:tc>
        <w:tc>
          <w:tcPr>
            <w:tcW w:w="294" w:type="pct"/>
            <w:shd w:val="clear" w:color="000000" w:fill="FFFFFF"/>
            <w:vAlign w:val="center"/>
          </w:tcPr>
          <w:p>
            <w:pPr>
              <w:rPr>
                <w:rFonts w:hint="default"/>
                <w:color w:val="auto"/>
                <w:highlight w:val="none"/>
              </w:rPr>
            </w:pPr>
            <w:r>
              <w:rPr>
                <w:rFonts w:hint="default"/>
                <w:color w:val="auto"/>
                <w:highlight w:val="none"/>
              </w:rPr>
              <w:t>10</w:t>
            </w:r>
          </w:p>
        </w:tc>
        <w:tc>
          <w:tcPr>
            <w:tcW w:w="288" w:type="pct"/>
            <w:shd w:val="clear" w:color="000000" w:fill="FFFFFF"/>
            <w:vAlign w:val="center"/>
          </w:tcPr>
          <w:p>
            <w:pPr>
              <w:rPr>
                <w:rFonts w:hint="default"/>
                <w:color w:val="auto"/>
                <w:highlight w:val="none"/>
                <w:lang w:val="en-US" w:eastAsia="zh-CN"/>
              </w:rPr>
            </w:pPr>
            <w:r>
              <w:rPr>
                <w:rFonts w:hint="eastAsia"/>
                <w:color w:val="auto"/>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449" w:type="pct"/>
            <w:vMerge w:val="continue"/>
            <w:shd w:val="clear" w:color="auto" w:fill="FFFFFF"/>
            <w:vAlign w:val="center"/>
          </w:tcPr>
          <w:p>
            <w:pPr>
              <w:rPr>
                <w:rFonts w:hint="default"/>
                <w:color w:val="auto"/>
                <w:highlight w:val="none"/>
              </w:rPr>
            </w:pPr>
          </w:p>
        </w:tc>
        <w:tc>
          <w:tcPr>
            <w:tcW w:w="435" w:type="pct"/>
            <w:shd w:val="clear" w:color="auto" w:fill="FFFFFF"/>
            <w:vAlign w:val="center"/>
          </w:tcPr>
          <w:p>
            <w:pPr>
              <w:rPr>
                <w:rFonts w:hint="default"/>
                <w:color w:val="auto"/>
                <w:highlight w:val="none"/>
              </w:rPr>
            </w:pPr>
            <w:r>
              <w:rPr>
                <w:rFonts w:hint="default"/>
                <w:color w:val="auto"/>
                <w:highlight w:val="none"/>
              </w:rPr>
              <w:t>产出成本</w:t>
            </w:r>
          </w:p>
        </w:tc>
        <w:tc>
          <w:tcPr>
            <w:tcW w:w="521" w:type="pct"/>
            <w:shd w:val="clear" w:color="auto" w:fill="FFFFFF"/>
            <w:vAlign w:val="center"/>
          </w:tcPr>
          <w:p>
            <w:pPr>
              <w:rPr>
                <w:rFonts w:hint="default"/>
                <w:color w:val="auto"/>
                <w:highlight w:val="none"/>
              </w:rPr>
            </w:pPr>
            <w:r>
              <w:rPr>
                <w:rFonts w:hint="default"/>
                <w:color w:val="auto"/>
                <w:highlight w:val="none"/>
              </w:rPr>
              <w:t>成本节约率</w:t>
            </w:r>
          </w:p>
        </w:tc>
        <w:tc>
          <w:tcPr>
            <w:tcW w:w="715" w:type="pct"/>
            <w:shd w:val="clear" w:color="000000" w:fill="FFFFFF"/>
            <w:vAlign w:val="center"/>
          </w:tcPr>
          <w:p>
            <w:pPr>
              <w:rPr>
                <w:rFonts w:hint="default"/>
                <w:color w:val="auto"/>
                <w:highlight w:val="none"/>
              </w:rPr>
            </w:pPr>
            <w:r>
              <w:rPr>
                <w:rFonts w:hint="default"/>
                <w:color w:val="auto"/>
                <w:highlight w:val="none"/>
              </w:rPr>
              <w:t>完成项目计划工作目标的实际节约成本与计划成本的比率，用以反映和考核项目的成本节约程度。</w:t>
            </w:r>
          </w:p>
        </w:tc>
        <w:tc>
          <w:tcPr>
            <w:tcW w:w="2296" w:type="pct"/>
            <w:shd w:val="clear" w:color="000000" w:fill="FFFFFF"/>
            <w:vAlign w:val="center"/>
          </w:tcPr>
          <w:p>
            <w:pPr>
              <w:rPr>
                <w:rFonts w:hint="default"/>
                <w:color w:val="auto"/>
                <w:highlight w:val="none"/>
              </w:rPr>
            </w:pPr>
            <w:r>
              <w:rPr>
                <w:rFonts w:hint="default"/>
                <w:color w:val="auto"/>
                <w:highlight w:val="none"/>
              </w:rPr>
              <w:br w:type="textWrapping"/>
            </w:r>
            <w:r>
              <w:rPr>
                <w:rFonts w:hint="default"/>
                <w:color w:val="auto"/>
                <w:highlight w:val="none"/>
              </w:rPr>
              <w:t>成本节约率=[（计划成本-实际成本）/计划成本]×100%。</w:t>
            </w:r>
            <w:r>
              <w:rPr>
                <w:rFonts w:hint="default"/>
                <w:color w:val="auto"/>
                <w:highlight w:val="none"/>
              </w:rPr>
              <w:br w:type="textWrapping"/>
            </w:r>
            <w:r>
              <w:rPr>
                <w:rFonts w:hint="default"/>
                <w:color w:val="auto"/>
                <w:highlight w:val="none"/>
              </w:rPr>
              <w:t>实际成本：项目实施单位如期、保质、保量完成既定工作目标实际所耗费的支出。</w:t>
            </w:r>
            <w:r>
              <w:rPr>
                <w:rFonts w:hint="default"/>
                <w:color w:val="auto"/>
                <w:highlight w:val="none"/>
              </w:rPr>
              <w:br w:type="textWrapping"/>
            </w:r>
            <w:r>
              <w:rPr>
                <w:rFonts w:hint="default"/>
                <w:color w:val="auto"/>
                <w:highlight w:val="none"/>
              </w:rPr>
              <w:t>计划成本：项目实施单位为完成工作目标计划安排的支出，一般以项目预算为参考。</w:t>
            </w:r>
          </w:p>
        </w:tc>
        <w:tc>
          <w:tcPr>
            <w:tcW w:w="294" w:type="pct"/>
            <w:shd w:val="clear" w:color="000000" w:fill="FFFFFF"/>
            <w:vAlign w:val="center"/>
          </w:tcPr>
          <w:p>
            <w:pPr>
              <w:rPr>
                <w:rFonts w:hint="default"/>
                <w:color w:val="auto"/>
                <w:highlight w:val="none"/>
              </w:rPr>
            </w:pPr>
            <w:r>
              <w:rPr>
                <w:rFonts w:hint="default"/>
                <w:color w:val="auto"/>
                <w:highlight w:val="none"/>
              </w:rPr>
              <w:t>10</w:t>
            </w:r>
          </w:p>
        </w:tc>
        <w:tc>
          <w:tcPr>
            <w:tcW w:w="288" w:type="pct"/>
            <w:shd w:val="clear" w:color="000000" w:fill="FFFFFF"/>
            <w:vAlign w:val="center"/>
          </w:tcPr>
          <w:p>
            <w:pPr>
              <w:rPr>
                <w:rFonts w:hint="default"/>
                <w:color w:val="auto"/>
                <w:highlight w:val="none"/>
                <w:lang w:val="en-US" w:eastAsia="zh-CN"/>
              </w:rPr>
            </w:pPr>
            <w:r>
              <w:rPr>
                <w:rFonts w:hint="eastAsia"/>
                <w:color w:val="auto"/>
                <w:highlight w:val="none"/>
                <w:lang w:val="en-US" w:eastAsia="zh-CN"/>
              </w:rPr>
              <w:t>10</w:t>
            </w:r>
          </w:p>
        </w:tc>
      </w:tr>
      <w:bookmarkEnd w:id="13"/>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449" w:type="pct"/>
            <w:vMerge w:val="restart"/>
            <w:shd w:val="clear" w:color="auto" w:fill="FFFFFF"/>
            <w:vAlign w:val="center"/>
          </w:tcPr>
          <w:p>
            <w:pPr>
              <w:rPr>
                <w:rFonts w:hint="default"/>
                <w:color w:val="auto"/>
                <w:highlight w:val="none"/>
              </w:rPr>
            </w:pPr>
            <w:r>
              <w:rPr>
                <w:rFonts w:hint="default"/>
                <w:color w:val="auto"/>
                <w:highlight w:val="none"/>
              </w:rPr>
              <w:t>效益　</w:t>
            </w:r>
          </w:p>
        </w:tc>
        <w:tc>
          <w:tcPr>
            <w:tcW w:w="435" w:type="pct"/>
            <w:vMerge w:val="restart"/>
            <w:shd w:val="clear" w:color="auto" w:fill="FFFFFF"/>
            <w:vAlign w:val="center"/>
          </w:tcPr>
          <w:p>
            <w:pPr>
              <w:rPr>
                <w:rFonts w:hint="default"/>
                <w:color w:val="auto"/>
                <w:highlight w:val="none"/>
              </w:rPr>
            </w:pPr>
            <w:r>
              <w:rPr>
                <w:rFonts w:hint="default"/>
                <w:color w:val="auto"/>
                <w:highlight w:val="none"/>
              </w:rPr>
              <w:t>项目效益　</w:t>
            </w:r>
          </w:p>
        </w:tc>
        <w:tc>
          <w:tcPr>
            <w:tcW w:w="521" w:type="pct"/>
            <w:shd w:val="clear" w:color="auto" w:fill="FFFFFF"/>
            <w:vAlign w:val="center"/>
          </w:tcPr>
          <w:p>
            <w:pPr>
              <w:rPr>
                <w:rFonts w:hint="default"/>
                <w:color w:val="auto"/>
                <w:highlight w:val="none"/>
              </w:rPr>
            </w:pPr>
            <w:r>
              <w:rPr>
                <w:rFonts w:hint="default"/>
                <w:color w:val="auto"/>
                <w:highlight w:val="none"/>
              </w:rPr>
              <w:t>实施效益</w:t>
            </w:r>
          </w:p>
        </w:tc>
        <w:tc>
          <w:tcPr>
            <w:tcW w:w="715" w:type="pct"/>
            <w:shd w:val="clear" w:color="auto" w:fill="FFFFFF"/>
            <w:vAlign w:val="center"/>
          </w:tcPr>
          <w:p>
            <w:pPr>
              <w:rPr>
                <w:rFonts w:hint="default"/>
                <w:color w:val="auto"/>
                <w:highlight w:val="none"/>
              </w:rPr>
            </w:pPr>
            <w:r>
              <w:rPr>
                <w:rFonts w:hint="default"/>
                <w:color w:val="auto"/>
                <w:highlight w:val="none"/>
              </w:rPr>
              <w:t>项目实施所产生的效益。</w:t>
            </w:r>
          </w:p>
        </w:tc>
        <w:tc>
          <w:tcPr>
            <w:tcW w:w="2296" w:type="pct"/>
            <w:shd w:val="clear" w:color="auto" w:fill="FFFFFF"/>
            <w:vAlign w:val="center"/>
          </w:tcPr>
          <w:p>
            <w:pPr>
              <w:rPr>
                <w:rFonts w:hint="default"/>
                <w:color w:val="auto"/>
                <w:highlight w:val="none"/>
              </w:rPr>
            </w:pPr>
            <w:r>
              <w:rPr>
                <w:rFonts w:hint="default"/>
                <w:color w:val="auto"/>
                <w:highlight w:val="none"/>
              </w:rPr>
              <w:t>项目实施所产生的社会效益、经济效益、生态效益、可持续影响等。可根据项目实际情况有选择地设置和细化。</w:t>
            </w:r>
          </w:p>
        </w:tc>
        <w:tc>
          <w:tcPr>
            <w:tcW w:w="294" w:type="pct"/>
            <w:shd w:val="clear" w:color="auto" w:fill="FFFFFF"/>
            <w:vAlign w:val="center"/>
          </w:tcPr>
          <w:p>
            <w:pPr>
              <w:rPr>
                <w:rFonts w:hint="default"/>
                <w:color w:val="auto"/>
                <w:highlight w:val="none"/>
              </w:rPr>
            </w:pPr>
            <w:r>
              <w:rPr>
                <w:rFonts w:hint="default"/>
                <w:color w:val="auto"/>
                <w:highlight w:val="none"/>
              </w:rPr>
              <w:t>10</w:t>
            </w:r>
          </w:p>
        </w:tc>
        <w:tc>
          <w:tcPr>
            <w:tcW w:w="288" w:type="pct"/>
            <w:shd w:val="clear" w:color="auto" w:fill="FFFFFF"/>
            <w:vAlign w:val="center"/>
          </w:tcPr>
          <w:p>
            <w:pPr>
              <w:rPr>
                <w:rFonts w:hint="default"/>
                <w:color w:val="auto"/>
                <w:highlight w:val="none"/>
                <w:lang w:val="en-US" w:eastAsia="zh-CN"/>
              </w:rPr>
            </w:pPr>
            <w:r>
              <w:rPr>
                <w:rFonts w:hint="eastAsia"/>
                <w:color w:val="auto"/>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449" w:type="pct"/>
            <w:vMerge w:val="continue"/>
            <w:shd w:val="clear" w:color="auto" w:fill="FFFFFF"/>
            <w:vAlign w:val="center"/>
          </w:tcPr>
          <w:p>
            <w:pPr>
              <w:rPr>
                <w:rFonts w:hint="default"/>
                <w:color w:val="auto"/>
                <w:highlight w:val="none"/>
              </w:rPr>
            </w:pPr>
          </w:p>
        </w:tc>
        <w:tc>
          <w:tcPr>
            <w:tcW w:w="435" w:type="pct"/>
            <w:vMerge w:val="continue"/>
            <w:shd w:val="clear" w:color="auto" w:fill="FFFFFF"/>
            <w:vAlign w:val="center"/>
          </w:tcPr>
          <w:p>
            <w:pPr>
              <w:rPr>
                <w:rFonts w:hint="default"/>
                <w:color w:val="auto"/>
                <w:highlight w:val="none"/>
              </w:rPr>
            </w:pPr>
          </w:p>
        </w:tc>
        <w:tc>
          <w:tcPr>
            <w:tcW w:w="521" w:type="pct"/>
            <w:shd w:val="clear" w:color="auto" w:fill="FFFFFF"/>
            <w:vAlign w:val="center"/>
          </w:tcPr>
          <w:p>
            <w:pPr>
              <w:rPr>
                <w:rFonts w:hint="default"/>
                <w:color w:val="auto"/>
                <w:highlight w:val="none"/>
              </w:rPr>
            </w:pPr>
            <w:r>
              <w:rPr>
                <w:rFonts w:hint="default"/>
                <w:color w:val="auto"/>
                <w:highlight w:val="none"/>
              </w:rPr>
              <w:t>满意度</w:t>
            </w:r>
          </w:p>
        </w:tc>
        <w:tc>
          <w:tcPr>
            <w:tcW w:w="715" w:type="pct"/>
            <w:shd w:val="clear" w:color="000000" w:fill="FFFFFF"/>
            <w:vAlign w:val="center"/>
          </w:tcPr>
          <w:p>
            <w:pPr>
              <w:rPr>
                <w:rFonts w:hint="default"/>
                <w:color w:val="auto"/>
                <w:highlight w:val="none"/>
              </w:rPr>
            </w:pPr>
            <w:r>
              <w:rPr>
                <w:rFonts w:hint="default"/>
                <w:color w:val="auto"/>
                <w:highlight w:val="none"/>
              </w:rPr>
              <w:t>社会公众或服务对象对项目实施效果的满意程度。</w:t>
            </w:r>
          </w:p>
        </w:tc>
        <w:tc>
          <w:tcPr>
            <w:tcW w:w="2296" w:type="pct"/>
            <w:shd w:val="clear" w:color="000000" w:fill="FFFFFF"/>
            <w:vAlign w:val="center"/>
          </w:tcPr>
          <w:p>
            <w:pPr>
              <w:rPr>
                <w:rFonts w:hint="default"/>
                <w:color w:val="auto"/>
                <w:highlight w:val="none"/>
              </w:rPr>
            </w:pPr>
            <w:r>
              <w:rPr>
                <w:rFonts w:hint="default"/>
                <w:color w:val="auto"/>
                <w:highlight w:val="none"/>
              </w:rPr>
              <w:t>社会公众或服务对象是指因该项目实施而受到影响的部门（单位）、群体或个人。一般采取社会调查的方式。</w:t>
            </w:r>
          </w:p>
        </w:tc>
        <w:tc>
          <w:tcPr>
            <w:tcW w:w="294" w:type="pct"/>
            <w:shd w:val="clear" w:color="000000" w:fill="FFFFFF"/>
            <w:vAlign w:val="center"/>
          </w:tcPr>
          <w:p>
            <w:pPr>
              <w:rPr>
                <w:rFonts w:hint="default"/>
                <w:color w:val="auto"/>
                <w:highlight w:val="none"/>
              </w:rPr>
            </w:pPr>
            <w:r>
              <w:rPr>
                <w:rFonts w:hint="default"/>
                <w:color w:val="auto"/>
                <w:highlight w:val="none"/>
              </w:rPr>
              <w:t>10</w:t>
            </w:r>
          </w:p>
        </w:tc>
        <w:tc>
          <w:tcPr>
            <w:tcW w:w="288" w:type="pct"/>
            <w:shd w:val="clear" w:color="000000" w:fill="FFFFFF"/>
            <w:vAlign w:val="center"/>
          </w:tcPr>
          <w:p>
            <w:pPr>
              <w:rPr>
                <w:rFonts w:hint="default"/>
                <w:color w:val="auto"/>
                <w:highlight w:val="none"/>
                <w:lang w:val="en-US" w:eastAsia="zh-CN"/>
              </w:rPr>
            </w:pPr>
            <w:r>
              <w:rPr>
                <w:rFonts w:hint="eastAsia"/>
                <w:color w:val="auto"/>
                <w:highlight w:val="none"/>
                <w:lang w:val="en-US" w:eastAsia="zh-CN"/>
              </w:rPr>
              <w:t>10</w:t>
            </w:r>
          </w:p>
        </w:tc>
      </w:tr>
    </w:tbl>
    <w:p>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r>
        <w:rPr>
          <w:rFonts w:hint="eastAsia" w:ascii="仿宋_GB2312" w:hAnsi="仿宋_GB2312" w:eastAsia="仿宋_GB2312" w:cs="仿宋_GB2312"/>
          <w:b/>
          <w:bCs/>
          <w:i w:val="0"/>
          <w:iCs w:val="0"/>
          <w:color w:val="auto"/>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bidi="ar"/>
        </w:rPr>
      </w:pPr>
      <w:r>
        <w:rPr>
          <w:rFonts w:hint="default" w:ascii="Times New Roman" w:hAnsi="Times New Roman" w:eastAsia="仿宋_GB2312" w:cs="Times New Roman"/>
          <w:b/>
          <w:bCs/>
          <w:i w:val="0"/>
          <w:iCs w:val="0"/>
          <w:color w:val="auto"/>
          <w:kern w:val="0"/>
          <w:sz w:val="22"/>
          <w:szCs w:val="22"/>
          <w:highlight w:val="none"/>
          <w:u w:val="none"/>
          <w:lang w:val="en-US" w:eastAsia="zh-CN" w:bidi="ar"/>
        </w:rPr>
        <w:t>（ 2024年度）</w:t>
      </w:r>
    </w:p>
    <w:bookmarkEnd w:id="1"/>
    <w:p>
      <w:pPr>
        <w:rPr>
          <w:rFonts w:hint="default" w:ascii="Times New Roman" w:hAnsi="Times New Roman" w:cs="Times New Roman"/>
          <w:color w:val="auto"/>
          <w:highlight w:val="none"/>
        </w:rPr>
      </w:pPr>
    </w:p>
    <w:tbl>
      <w:tblPr>
        <w:tblStyle w:val="13"/>
        <w:tblW w:w="1392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3"/>
        <w:gridCol w:w="753"/>
        <w:gridCol w:w="903"/>
        <w:gridCol w:w="1323"/>
        <w:gridCol w:w="1134"/>
        <w:gridCol w:w="1069"/>
        <w:gridCol w:w="982"/>
        <w:gridCol w:w="1025"/>
        <w:gridCol w:w="1059"/>
        <w:gridCol w:w="1036"/>
        <w:gridCol w:w="982"/>
        <w:gridCol w:w="752"/>
        <w:gridCol w:w="830"/>
        <w:gridCol w:w="13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3924"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华文中宋" w:hAnsi="华文中宋" w:eastAsia="华文中宋" w:cs="华文中宋"/>
                <w:b/>
                <w:bCs/>
                <w:i w:val="0"/>
                <w:iCs w:val="0"/>
                <w:color w:val="auto"/>
                <w:sz w:val="40"/>
                <w:szCs w:val="40"/>
                <w:highlight w:val="none"/>
                <w:u w:val="none"/>
              </w:rPr>
            </w:pPr>
            <w:r>
              <w:rPr>
                <w:rFonts w:hint="default" w:ascii="华文中宋" w:hAnsi="华文中宋" w:eastAsia="华文中宋" w:cs="华文中宋"/>
                <w:b/>
                <w:bCs/>
                <w:i w:val="0"/>
                <w:iCs w:val="0"/>
                <w:color w:val="auto"/>
                <w:kern w:val="0"/>
                <w:sz w:val="40"/>
                <w:szCs w:val="40"/>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13924"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项目名称</w:t>
            </w:r>
          </w:p>
        </w:tc>
        <w:tc>
          <w:tcPr>
            <w:tcW w:w="1245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部门专项-社区党建工作经费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主管部门</w:t>
            </w:r>
          </w:p>
        </w:tc>
        <w:tc>
          <w:tcPr>
            <w:tcW w:w="54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库尔勒市希望街道办事处</w:t>
            </w:r>
          </w:p>
        </w:tc>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实施单位</w:t>
            </w:r>
          </w:p>
        </w:tc>
        <w:tc>
          <w:tcPr>
            <w:tcW w:w="49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库尔勒市希望街道办事处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14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项目资金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（万元）</w:t>
            </w:r>
          </w:p>
        </w:tc>
        <w:tc>
          <w:tcPr>
            <w:tcW w:w="2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资金来源</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年初预算数</w:t>
            </w: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全年预算数</w:t>
            </w:r>
          </w:p>
        </w:tc>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全年执行数</w:t>
            </w:r>
          </w:p>
        </w:tc>
        <w:tc>
          <w:tcPr>
            <w:tcW w:w="20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分值权重</w:t>
            </w:r>
          </w:p>
        </w:tc>
        <w:tc>
          <w:tcPr>
            <w:tcW w:w="15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执行率</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14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年度资金总额</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40.00</w:t>
            </w: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40.00</w:t>
            </w:r>
          </w:p>
        </w:tc>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39.93</w:t>
            </w:r>
          </w:p>
        </w:tc>
        <w:tc>
          <w:tcPr>
            <w:tcW w:w="20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5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99.83%</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4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其中：当年财政拨款</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39.93</w:t>
            </w:r>
          </w:p>
        </w:tc>
        <w:tc>
          <w:tcPr>
            <w:tcW w:w="20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15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 w:hRule="atLeast"/>
        </w:trPr>
        <w:tc>
          <w:tcPr>
            <w:tcW w:w="14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w:t>
            </w: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w:t>
            </w:r>
          </w:p>
        </w:tc>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0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15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年度总体目标</w:t>
            </w:r>
          </w:p>
        </w:tc>
        <w:tc>
          <w:tcPr>
            <w:tcW w:w="824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总体目标</w:t>
            </w:r>
          </w:p>
        </w:tc>
        <w:tc>
          <w:tcPr>
            <w:tcW w:w="49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24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目标1：实现社区党委数全覆盖，保障 2个中社区、1个小社区正常运转。目标2：抓好街道各社区基层党组织建设，确保基层党组织各项事业稳定有序开展，保障各项事业规范运行，开展各项活动，受益居民1万余人。</w:t>
            </w:r>
          </w:p>
        </w:tc>
        <w:tc>
          <w:tcPr>
            <w:tcW w:w="49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实现社区党委数全覆盖，保障 2个中社区、1个小社区正常运转，抓好街道各社区基层党组织建设，确保基层党组织各项事业稳定有序开展，保障各项事业规范运行，开展各项活动。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8"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一级指标</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二级指标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三级指标</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指标值</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指标值设置依据</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上年完成值</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指标分值权重</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指标赋分规则</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佐证资料</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指标实际完成值</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完成率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指标得分</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年度绩效指标完成情况</w:t>
            </w:r>
          </w:p>
        </w:tc>
        <w:tc>
          <w:tcPr>
            <w:tcW w:w="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保障中型社区数量</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&gt;=2个</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=2个</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保障小型社区数量</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&gt;=1个</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=1个</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5"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资金使用合规率</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=99.83%</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99.83%</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9.96</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偏差原因：因资金使用审批流程缓慢，影响经费及时支出。改进措施：加快办理资金审批支付手续。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时效指标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资金支付及时率</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=99.83%</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99.83%</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4.98</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偏差原因：因资金使用审批流程缓慢，影响经费及时支出。改进措施：加快办理资金审批支付手续。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保障中型社区正常运转经费成本</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&lt;=30万</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=30万</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保障小型社区正常运转经费成本</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&lt;=10万</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=9.93万</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99.3%</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9.82</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偏差原因：因资金使用审批流程缓慢，影响经费及时支出。改进措施：加快办理资金审批支付手续。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社会成本指标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生态环境成本指标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效益指标</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经济效益指标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6"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受益居民人数</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&gt;=10000人</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=12793人</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127.93%</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14.41</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偏差原因：年初指标值设置偏低，后期因工作需要受益居民较多。改进措施：下年度合理设置指标。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生态效益指标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居民满意度</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满意度赋分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36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总分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auto"/>
                <w:sz w:val="18"/>
                <w:szCs w:val="18"/>
                <w:highlight w:val="none"/>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94.17分</w:t>
            </w:r>
          </w:p>
        </w:tc>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r>
    </w:tbl>
    <w:p>
      <w:pPr>
        <w:rPr>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4A2846B4"/>
    <w:multiLevelType w:val="singleLevel"/>
    <w:tmpl w:val="4A2846B4"/>
    <w:lvl w:ilvl="0" w:tentative="0">
      <w:start w:val="1"/>
      <w:numFmt w:val="decimal"/>
      <w:lvlText w:val="%1."/>
      <w:lvlJc w:val="left"/>
      <w:pPr>
        <w:tabs>
          <w:tab w:val="left" w:pos="312"/>
        </w:tabs>
      </w:p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0NjBmMzBmMjdlOWQzMjI4ODBmY2UxZjUzYzk3MjgifQ=="/>
  </w:docVars>
  <w:rsids>
    <w:rsidRoot w:val="2B735B98"/>
    <w:rsid w:val="03034E52"/>
    <w:rsid w:val="04311F07"/>
    <w:rsid w:val="04656FED"/>
    <w:rsid w:val="047C18B2"/>
    <w:rsid w:val="04E306FF"/>
    <w:rsid w:val="053F0E39"/>
    <w:rsid w:val="07665572"/>
    <w:rsid w:val="09A70689"/>
    <w:rsid w:val="0B094267"/>
    <w:rsid w:val="0B4975CD"/>
    <w:rsid w:val="0F54295C"/>
    <w:rsid w:val="147B2D3E"/>
    <w:rsid w:val="163E59B3"/>
    <w:rsid w:val="18E27EA6"/>
    <w:rsid w:val="192C4A81"/>
    <w:rsid w:val="1B4C23A4"/>
    <w:rsid w:val="1C635B67"/>
    <w:rsid w:val="1E0A5972"/>
    <w:rsid w:val="1E407AA5"/>
    <w:rsid w:val="24574B4C"/>
    <w:rsid w:val="25513497"/>
    <w:rsid w:val="2706307F"/>
    <w:rsid w:val="2727090F"/>
    <w:rsid w:val="2B735B98"/>
    <w:rsid w:val="34920FB1"/>
    <w:rsid w:val="353F5166"/>
    <w:rsid w:val="35AA43E2"/>
    <w:rsid w:val="3635130E"/>
    <w:rsid w:val="36612E47"/>
    <w:rsid w:val="37D35AC7"/>
    <w:rsid w:val="417D116C"/>
    <w:rsid w:val="474618DC"/>
    <w:rsid w:val="4BFB101C"/>
    <w:rsid w:val="4C750882"/>
    <w:rsid w:val="4DE201E7"/>
    <w:rsid w:val="54B84C3A"/>
    <w:rsid w:val="55396E00"/>
    <w:rsid w:val="5E335697"/>
    <w:rsid w:val="5FF70570"/>
    <w:rsid w:val="64965D59"/>
    <w:rsid w:val="67134C72"/>
    <w:rsid w:val="68067777"/>
    <w:rsid w:val="6E97018C"/>
    <w:rsid w:val="6F660BF3"/>
    <w:rsid w:val="6F6C75A5"/>
    <w:rsid w:val="73511533"/>
    <w:rsid w:val="758C66A7"/>
    <w:rsid w:val="77D93811"/>
    <w:rsid w:val="78600FBE"/>
    <w:rsid w:val="79711956"/>
    <w:rsid w:val="79842DE0"/>
    <w:rsid w:val="79BF005C"/>
    <w:rsid w:val="7A253284"/>
    <w:rsid w:val="7ACF3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6"/>
    <w:qFormat/>
    <w:uiPriority w:val="0"/>
    <w:pPr>
      <w:spacing w:after="0"/>
      <w:ind w:firstLine="200" w:firstLineChars="200"/>
    </w:pPr>
  </w:style>
  <w:style w:type="paragraph" w:styleId="12">
    <w:name w:val="Body Text First Indent 2"/>
    <w:basedOn w:val="7"/>
    <w:qFormat/>
    <w:uiPriority w:val="0"/>
    <w:pPr>
      <w:ind w:firstLine="420" w:firstLineChars="200"/>
    </w:pPr>
  </w:style>
  <w:style w:type="character" w:styleId="15">
    <w:name w:val="Strong"/>
    <w:basedOn w:val="14"/>
    <w:qFormat/>
    <w:uiPriority w:val="0"/>
    <w:rPr>
      <w:b/>
      <w:bCs/>
    </w:rPr>
  </w:style>
  <w:style w:type="paragraph" w:customStyle="1" w:styleId="16">
    <w:name w:val="闻政-正文段落文字"/>
    <w:basedOn w:val="1"/>
    <w:qFormat/>
    <w:uiPriority w:val="3"/>
    <w:pPr>
      <w:spacing w:line="500" w:lineRule="exact"/>
      <w:ind w:firstLine="200"/>
    </w:pPr>
    <w:rPr>
      <w:kern w:val="0"/>
      <w:szCs w:val="28"/>
    </w:rPr>
  </w:style>
  <w:style w:type="character" w:customStyle="1" w:styleId="17">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14598</Words>
  <Characters>15124</Characters>
  <Lines>0</Lines>
  <Paragraphs>0</Paragraphs>
  <TotalTime>1</TotalTime>
  <ScaleCrop>false</ScaleCrop>
  <LinksUpToDate>false</LinksUpToDate>
  <CharactersWithSpaces>15150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2025-04-27T03:02:00Z</dcterms:created>
  <dc:creator>Administrator</dc:creator>
  <cp:lastModifiedBy>Administrator</cp:lastModifiedBy>
  <cp:lastPrinted>2025-04-28T09:41:00Z</cp:lastPrinted>
  <dcterms:modified xsi:type="dcterms:W3CDTF">2025-05-21T02:38:14Z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79ECCD2D5AB54641B59F68EA095923A0</vt:lpwstr>
  </property>
</Properties>
</file>